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277C" w14:textId="77777777" w:rsidR="00B269CF" w:rsidRPr="0074792B" w:rsidRDefault="00B269CF" w:rsidP="00B269CF">
      <w:pPr>
        <w:spacing w:line="360" w:lineRule="auto"/>
        <w:jc w:val="both"/>
        <w:rPr>
          <w:color w:val="000000" w:themeColor="text1"/>
          <w:sz w:val="22"/>
          <w:szCs w:val="22"/>
          <w:lang w:val="en-US"/>
        </w:rPr>
      </w:pPr>
      <w:r w:rsidRPr="0074792B">
        <w:rPr>
          <w:b/>
          <w:bCs/>
          <w:sz w:val="22"/>
          <w:szCs w:val="22"/>
          <w:lang w:val="en-US"/>
        </w:rPr>
        <w:t>Table 2.</w:t>
      </w:r>
      <w:r w:rsidRPr="0074792B">
        <w:rPr>
          <w:color w:val="000000" w:themeColor="text1"/>
          <w:sz w:val="22"/>
          <w:szCs w:val="22"/>
          <w:lang w:val="en-US"/>
        </w:rPr>
        <w:t xml:space="preserve"> Summary of the statistical models (regional city scale: Models 1–6, local site scale: Models 7–12) linking visitation rates (response variables in column) to land use characteristics (explanatory variables in line). The density of UGS patches corresponds to the number of UGS patches per hectare at the city (regional) scale and to the number of UGS in a 500m radius around the experimental site at the site (local) scale. Symbols and colors indicate significance and direction of effects on response variables: (*): p &lt; 0.1; *: p &lt; 0.05; **: p &lt; 0.01; ***: p &lt; 0.001; Green cells = significant positive effect; Red = significant negative effect; grey = not significant; (NE): effect not evaluated at that scale. For full model statistics, see Tables S3a (regional) and S3b (local).</w:t>
      </w:r>
    </w:p>
    <w:p w14:paraId="2727B4C9" w14:textId="77777777" w:rsidR="00B269CF" w:rsidRDefault="00B269CF" w:rsidP="00B269CF">
      <w:pPr>
        <w:spacing w:after="160" w:line="259" w:lineRule="auto"/>
        <w:rPr>
          <w:lang w:val="en-US"/>
        </w:rPr>
      </w:pPr>
      <w:r w:rsidRPr="0074792B">
        <w:rPr>
          <w:noProof/>
          <w:sz w:val="22"/>
          <w:szCs w:val="22"/>
          <w:lang w:val="en-US"/>
        </w:rPr>
        <w:drawing>
          <wp:anchor distT="0" distB="0" distL="114300" distR="114300" simplePos="0" relativeHeight="251659264" behindDoc="0" locked="0" layoutInCell="1" allowOverlap="1" wp14:anchorId="4E29D960" wp14:editId="36851516">
            <wp:simplePos x="0" y="0"/>
            <wp:positionH relativeFrom="column">
              <wp:posOffset>-295910</wp:posOffset>
            </wp:positionH>
            <wp:positionV relativeFrom="paragraph">
              <wp:posOffset>220203</wp:posOffset>
            </wp:positionV>
            <wp:extent cx="6285230" cy="2634615"/>
            <wp:effectExtent l="0" t="0" r="0" b="0"/>
            <wp:wrapTopAndBottom/>
            <wp:docPr id="15549752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75260" name=""/>
                    <pic:cNvPicPr/>
                  </pic:nvPicPr>
                  <pic:blipFill>
                    <a:blip r:embed="rId4"/>
                    <a:stretch>
                      <a:fillRect/>
                    </a:stretch>
                  </pic:blipFill>
                  <pic:spPr>
                    <a:xfrm>
                      <a:off x="0" y="0"/>
                      <a:ext cx="6285230" cy="2634615"/>
                    </a:xfrm>
                    <a:prstGeom prst="rect">
                      <a:avLst/>
                    </a:prstGeom>
                  </pic:spPr>
                </pic:pic>
              </a:graphicData>
            </a:graphic>
            <wp14:sizeRelH relativeFrom="margin">
              <wp14:pctWidth>0</wp14:pctWidth>
            </wp14:sizeRelH>
            <wp14:sizeRelV relativeFrom="margin">
              <wp14:pctHeight>0</wp14:pctHeight>
            </wp14:sizeRelV>
          </wp:anchor>
        </w:drawing>
      </w:r>
      <w:r>
        <w:rPr>
          <w:lang w:val="en-US"/>
        </w:rPr>
        <w:br w:type="page"/>
      </w:r>
    </w:p>
    <w:p w14:paraId="394F5CB6" w14:textId="77777777" w:rsidR="00B269CF" w:rsidRPr="0074792B" w:rsidRDefault="00B269CF" w:rsidP="00B269CF">
      <w:pPr>
        <w:spacing w:line="360" w:lineRule="auto"/>
        <w:jc w:val="both"/>
        <w:rPr>
          <w:color w:val="000000" w:themeColor="text1"/>
          <w:sz w:val="22"/>
          <w:szCs w:val="22"/>
        </w:rPr>
      </w:pPr>
      <w:r w:rsidRPr="0074792B">
        <w:rPr>
          <w:b/>
          <w:bCs/>
          <w:sz w:val="22"/>
          <w:szCs w:val="22"/>
          <w:lang w:val="en-US"/>
        </w:rPr>
        <w:lastRenderedPageBreak/>
        <w:t>Table 3.</w:t>
      </w:r>
      <w:r w:rsidRPr="0074792B">
        <w:rPr>
          <w:sz w:val="22"/>
          <w:szCs w:val="22"/>
          <w:lang w:val="en-US"/>
        </w:rPr>
        <w:t xml:space="preserve"> Summary statistics of the models linking mean fruit set to (13) the number of morphogroups and the visitation rate of all morphogroups; (14) each morphogroup visitation rate. Numbers refer to each model’s structure (see Table 1). Control fruits refer to the percentage of flowers that </w:t>
      </w:r>
      <w:r w:rsidRPr="0074792B">
        <w:rPr>
          <w:color w:val="000000" w:themeColor="text1"/>
          <w:sz w:val="22"/>
          <w:szCs w:val="22"/>
          <w:lang w:val="en-US"/>
        </w:rPr>
        <w:t xml:space="preserve">produced fruits on the control plants. </w:t>
      </w:r>
      <w:bookmarkStart w:id="0" w:name="_Hlk189481838"/>
      <w:r w:rsidRPr="0074792B">
        <w:rPr>
          <w:color w:val="000000" w:themeColor="text1"/>
          <w:sz w:val="22"/>
          <w:szCs w:val="22"/>
        </w:rPr>
        <w:t>Total number of observations n = 295.</w:t>
      </w:r>
    </w:p>
    <w:bookmarkEnd w:id="0"/>
    <w:p w14:paraId="34A475DA" w14:textId="77777777" w:rsidR="00B269CF" w:rsidRPr="000A50F4" w:rsidRDefault="00B269CF" w:rsidP="00B269CF">
      <w:pPr>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2127"/>
        <w:gridCol w:w="1077"/>
        <w:gridCol w:w="1077"/>
      </w:tblGrid>
      <w:tr w:rsidR="00B269CF" w:rsidRPr="004B5791" w14:paraId="5828596B" w14:textId="77777777" w:rsidTr="0039129B">
        <w:tc>
          <w:tcPr>
            <w:tcW w:w="4536" w:type="dxa"/>
            <w:vAlign w:val="center"/>
          </w:tcPr>
          <w:p w14:paraId="244A0DD4" w14:textId="77777777" w:rsidR="00B269CF" w:rsidRPr="004B5791" w:rsidRDefault="00B269CF" w:rsidP="0039129B">
            <w:pPr>
              <w:spacing w:line="360" w:lineRule="auto"/>
              <w:jc w:val="center"/>
              <w:rPr>
                <w:b/>
                <w:bCs/>
                <w:lang w:val="en-US"/>
              </w:rPr>
            </w:pPr>
            <w:r w:rsidRPr="005028D4">
              <w:rPr>
                <w:b/>
                <w:bCs/>
                <w:lang w:val="en-US"/>
              </w:rPr>
              <w:t>Model</w:t>
            </w:r>
            <w:r>
              <w:rPr>
                <w:b/>
                <w:bCs/>
                <w:lang w:val="en-US"/>
              </w:rPr>
              <w:t>s</w:t>
            </w:r>
          </w:p>
        </w:tc>
        <w:tc>
          <w:tcPr>
            <w:tcW w:w="2127" w:type="dxa"/>
            <w:vAlign w:val="center"/>
          </w:tcPr>
          <w:p w14:paraId="48014B7E" w14:textId="77777777" w:rsidR="00B269CF" w:rsidRPr="004B5791" w:rsidRDefault="00B269CF" w:rsidP="0039129B">
            <w:pPr>
              <w:spacing w:line="360" w:lineRule="auto"/>
              <w:jc w:val="center"/>
              <w:rPr>
                <w:b/>
                <w:bCs/>
                <w:lang w:val="en-US"/>
              </w:rPr>
            </w:pPr>
            <w:r w:rsidRPr="005028D4">
              <w:rPr>
                <w:b/>
                <w:bCs/>
                <w:lang w:val="en-US"/>
              </w:rPr>
              <w:t>Estimate (</w:t>
            </w:r>
            <w:r w:rsidRPr="005028D4">
              <w:rPr>
                <w:rFonts w:cstheme="minorHAnsi"/>
                <w:b/>
                <w:bCs/>
                <w:lang w:val="en-US"/>
              </w:rPr>
              <w:t>± SE)</w:t>
            </w:r>
          </w:p>
        </w:tc>
        <w:tc>
          <w:tcPr>
            <w:tcW w:w="1077" w:type="dxa"/>
            <w:vAlign w:val="center"/>
          </w:tcPr>
          <w:p w14:paraId="74B9F391" w14:textId="77777777" w:rsidR="00B269CF" w:rsidRPr="004B5791" w:rsidRDefault="00B269CF" w:rsidP="0039129B">
            <w:pPr>
              <w:spacing w:line="360" w:lineRule="auto"/>
              <w:jc w:val="center"/>
              <w:rPr>
                <w:b/>
                <w:bCs/>
                <w:lang w:val="en-US"/>
              </w:rPr>
            </w:pPr>
            <w:r w:rsidRPr="005028D4">
              <w:rPr>
                <w:b/>
                <w:bCs/>
                <w:lang w:val="en-US"/>
              </w:rPr>
              <w:t>z-value</w:t>
            </w:r>
          </w:p>
        </w:tc>
        <w:tc>
          <w:tcPr>
            <w:tcW w:w="1077" w:type="dxa"/>
            <w:vAlign w:val="center"/>
          </w:tcPr>
          <w:p w14:paraId="1CC1F6DE" w14:textId="77777777" w:rsidR="00B269CF" w:rsidRPr="004B5791" w:rsidRDefault="00B269CF" w:rsidP="0039129B">
            <w:pPr>
              <w:spacing w:line="360" w:lineRule="auto"/>
              <w:jc w:val="center"/>
              <w:rPr>
                <w:b/>
                <w:bCs/>
                <w:lang w:val="en-US"/>
              </w:rPr>
            </w:pPr>
            <w:r w:rsidRPr="005028D4">
              <w:rPr>
                <w:b/>
                <w:bCs/>
                <w:lang w:val="en-US"/>
              </w:rPr>
              <w:t>p-value</w:t>
            </w:r>
          </w:p>
        </w:tc>
      </w:tr>
      <w:tr w:rsidR="00B269CF" w:rsidRPr="004B5791" w14:paraId="1AC10E45" w14:textId="77777777" w:rsidTr="0039129B">
        <w:tc>
          <w:tcPr>
            <w:tcW w:w="4536" w:type="dxa"/>
            <w:vAlign w:val="center"/>
          </w:tcPr>
          <w:p w14:paraId="1EFB559C" w14:textId="77777777" w:rsidR="00B269CF" w:rsidRPr="00B40BBD" w:rsidRDefault="00B269CF" w:rsidP="0039129B">
            <w:pPr>
              <w:spacing w:line="360" w:lineRule="auto"/>
              <w:rPr>
                <w:b/>
                <w:bCs/>
                <w:lang w:val="en-US"/>
              </w:rPr>
            </w:pPr>
            <w:r>
              <w:rPr>
                <w:b/>
                <w:bCs/>
                <w:lang w:val="en-US"/>
              </w:rPr>
              <w:t>(13). Effect of the number of morphogroups and total visitation rate</w:t>
            </w:r>
          </w:p>
          <w:p w14:paraId="2B0FFF31" w14:textId="77777777" w:rsidR="00B269CF" w:rsidRDefault="00B269CF" w:rsidP="0039129B">
            <w:pPr>
              <w:spacing w:line="360" w:lineRule="auto"/>
              <w:rPr>
                <w:lang w:val="en-US"/>
              </w:rPr>
            </w:pPr>
            <w:r>
              <w:rPr>
                <w:lang w:val="en-US"/>
              </w:rPr>
              <w:t>Number of morphogroups visiting the plants</w:t>
            </w:r>
          </w:p>
          <w:p w14:paraId="1FBDB326" w14:textId="77777777" w:rsidR="00B269CF" w:rsidRDefault="00B269CF" w:rsidP="0039129B">
            <w:pPr>
              <w:spacing w:line="360" w:lineRule="auto"/>
              <w:rPr>
                <w:lang w:val="en-US"/>
              </w:rPr>
            </w:pPr>
            <w:r>
              <w:rPr>
                <w:lang w:val="en-US"/>
              </w:rPr>
              <w:t>Visitation rate, all morphogroups</w:t>
            </w:r>
          </w:p>
          <w:p w14:paraId="4B8E830F" w14:textId="77777777" w:rsidR="00B269CF" w:rsidRDefault="00B269CF" w:rsidP="0039129B">
            <w:pPr>
              <w:spacing w:line="360" w:lineRule="auto"/>
              <w:rPr>
                <w:lang w:val="en-US"/>
              </w:rPr>
            </w:pPr>
            <w:r>
              <w:rPr>
                <w:lang w:val="en-US"/>
              </w:rPr>
              <w:t>Control fruits</w:t>
            </w:r>
          </w:p>
          <w:p w14:paraId="3546B084" w14:textId="77777777" w:rsidR="00B269CF" w:rsidRPr="004B5791" w:rsidRDefault="00B269CF" w:rsidP="0039129B">
            <w:pPr>
              <w:spacing w:line="360" w:lineRule="auto"/>
              <w:rPr>
                <w:lang w:val="en-US"/>
              </w:rPr>
            </w:pPr>
            <w:r>
              <w:rPr>
                <w:lang w:val="en-US"/>
              </w:rPr>
              <w:t>Number of inflorescences</w:t>
            </w:r>
          </w:p>
        </w:tc>
        <w:tc>
          <w:tcPr>
            <w:tcW w:w="2127" w:type="dxa"/>
            <w:vAlign w:val="center"/>
          </w:tcPr>
          <w:p w14:paraId="73EE782A" w14:textId="77777777" w:rsidR="00B269CF" w:rsidRDefault="00B269CF" w:rsidP="0039129B">
            <w:pPr>
              <w:spacing w:line="360" w:lineRule="auto"/>
              <w:jc w:val="center"/>
              <w:rPr>
                <w:lang w:val="en-US"/>
              </w:rPr>
            </w:pPr>
          </w:p>
          <w:p w14:paraId="1E84D6A6" w14:textId="77777777" w:rsidR="00B269CF" w:rsidRDefault="00B269CF" w:rsidP="0039129B">
            <w:pPr>
              <w:spacing w:line="360" w:lineRule="auto"/>
              <w:jc w:val="center"/>
              <w:rPr>
                <w:lang w:val="en-US"/>
              </w:rPr>
            </w:pPr>
          </w:p>
          <w:p w14:paraId="692B6DA7" w14:textId="77777777" w:rsidR="00B269CF" w:rsidRDefault="00B269CF" w:rsidP="0039129B">
            <w:pPr>
              <w:spacing w:line="360" w:lineRule="auto"/>
              <w:jc w:val="center"/>
              <w:rPr>
                <w:lang w:val="en-US"/>
              </w:rPr>
            </w:pPr>
            <w:r>
              <w:rPr>
                <w:lang w:val="en-US"/>
              </w:rPr>
              <w:t>0.015 (0.007)</w:t>
            </w:r>
          </w:p>
          <w:p w14:paraId="421A8738" w14:textId="77777777" w:rsidR="00B269CF" w:rsidRDefault="00B269CF" w:rsidP="0039129B">
            <w:pPr>
              <w:spacing w:line="360" w:lineRule="auto"/>
              <w:jc w:val="center"/>
              <w:rPr>
                <w:lang w:val="en-US"/>
              </w:rPr>
            </w:pPr>
            <w:r>
              <w:rPr>
                <w:lang w:val="en-US"/>
              </w:rPr>
              <w:t>0.0002 (0.00006)</w:t>
            </w:r>
          </w:p>
          <w:p w14:paraId="0EC24A3C" w14:textId="77777777" w:rsidR="00B269CF" w:rsidRDefault="00B269CF" w:rsidP="0039129B">
            <w:pPr>
              <w:spacing w:line="360" w:lineRule="auto"/>
              <w:jc w:val="center"/>
              <w:rPr>
                <w:lang w:val="en-US"/>
              </w:rPr>
            </w:pPr>
            <w:r>
              <w:rPr>
                <w:lang w:val="en-US"/>
              </w:rPr>
              <w:t>0.66 (0.08)</w:t>
            </w:r>
          </w:p>
          <w:p w14:paraId="4EA69FEF" w14:textId="77777777" w:rsidR="00B269CF" w:rsidRPr="004B5791" w:rsidRDefault="00B269CF" w:rsidP="0039129B">
            <w:pPr>
              <w:spacing w:line="360" w:lineRule="auto"/>
              <w:jc w:val="center"/>
              <w:rPr>
                <w:lang w:val="en-US"/>
              </w:rPr>
            </w:pPr>
            <w:r>
              <w:rPr>
                <w:lang w:val="en-US"/>
              </w:rPr>
              <w:t>0.001 (0.003)</w:t>
            </w:r>
          </w:p>
        </w:tc>
        <w:tc>
          <w:tcPr>
            <w:tcW w:w="1077" w:type="dxa"/>
            <w:vAlign w:val="center"/>
          </w:tcPr>
          <w:p w14:paraId="6952803E" w14:textId="77777777" w:rsidR="00B269CF" w:rsidRDefault="00B269CF" w:rsidP="0039129B">
            <w:pPr>
              <w:spacing w:line="360" w:lineRule="auto"/>
              <w:jc w:val="center"/>
              <w:rPr>
                <w:lang w:val="en-US"/>
              </w:rPr>
            </w:pPr>
          </w:p>
          <w:p w14:paraId="1D0EC45C" w14:textId="77777777" w:rsidR="00B269CF" w:rsidRDefault="00B269CF" w:rsidP="0039129B">
            <w:pPr>
              <w:spacing w:line="360" w:lineRule="auto"/>
              <w:jc w:val="center"/>
              <w:rPr>
                <w:lang w:val="en-US"/>
              </w:rPr>
            </w:pPr>
          </w:p>
          <w:p w14:paraId="5A8FBE3C" w14:textId="77777777" w:rsidR="00B269CF" w:rsidRDefault="00B269CF" w:rsidP="0039129B">
            <w:pPr>
              <w:spacing w:line="360" w:lineRule="auto"/>
              <w:jc w:val="center"/>
              <w:rPr>
                <w:lang w:val="en-US"/>
              </w:rPr>
            </w:pPr>
            <w:r>
              <w:rPr>
                <w:lang w:val="en-US"/>
              </w:rPr>
              <w:t>1.56</w:t>
            </w:r>
          </w:p>
          <w:p w14:paraId="5781E235" w14:textId="77777777" w:rsidR="00B269CF" w:rsidRDefault="00B269CF" w:rsidP="0039129B">
            <w:pPr>
              <w:spacing w:line="360" w:lineRule="auto"/>
              <w:jc w:val="center"/>
              <w:rPr>
                <w:lang w:val="en-US"/>
              </w:rPr>
            </w:pPr>
            <w:r>
              <w:rPr>
                <w:lang w:val="en-US"/>
              </w:rPr>
              <w:t>2.42</w:t>
            </w:r>
          </w:p>
          <w:p w14:paraId="2CCFE000" w14:textId="77777777" w:rsidR="00B269CF" w:rsidRDefault="00B269CF" w:rsidP="0039129B">
            <w:pPr>
              <w:spacing w:line="360" w:lineRule="auto"/>
              <w:jc w:val="center"/>
              <w:rPr>
                <w:lang w:val="en-US"/>
              </w:rPr>
            </w:pPr>
            <w:r>
              <w:rPr>
                <w:lang w:val="en-US"/>
              </w:rPr>
              <w:t>8.74</w:t>
            </w:r>
          </w:p>
          <w:p w14:paraId="3DD1242F" w14:textId="77777777" w:rsidR="00B269CF" w:rsidRPr="004B5791" w:rsidRDefault="00B269CF" w:rsidP="0039129B">
            <w:pPr>
              <w:spacing w:line="360" w:lineRule="auto"/>
              <w:jc w:val="center"/>
              <w:rPr>
                <w:lang w:val="en-US"/>
              </w:rPr>
            </w:pPr>
            <w:r>
              <w:rPr>
                <w:lang w:val="en-US"/>
              </w:rPr>
              <w:t>0.46</w:t>
            </w:r>
          </w:p>
        </w:tc>
        <w:tc>
          <w:tcPr>
            <w:tcW w:w="1077" w:type="dxa"/>
            <w:vAlign w:val="center"/>
          </w:tcPr>
          <w:p w14:paraId="1B660428" w14:textId="77777777" w:rsidR="00B269CF" w:rsidRDefault="00B269CF" w:rsidP="0039129B">
            <w:pPr>
              <w:spacing w:line="360" w:lineRule="auto"/>
              <w:jc w:val="center"/>
              <w:rPr>
                <w:lang w:val="en-US"/>
              </w:rPr>
            </w:pPr>
          </w:p>
          <w:p w14:paraId="33BA2748" w14:textId="77777777" w:rsidR="00B269CF" w:rsidRDefault="00B269CF" w:rsidP="0039129B">
            <w:pPr>
              <w:spacing w:line="360" w:lineRule="auto"/>
              <w:jc w:val="center"/>
              <w:rPr>
                <w:lang w:val="en-US"/>
              </w:rPr>
            </w:pPr>
          </w:p>
          <w:p w14:paraId="0781CA34" w14:textId="77777777" w:rsidR="00B269CF" w:rsidRPr="006C61BA" w:rsidRDefault="00B269CF" w:rsidP="0039129B">
            <w:pPr>
              <w:spacing w:line="360" w:lineRule="auto"/>
              <w:jc w:val="center"/>
              <w:rPr>
                <w:lang w:val="en-US"/>
              </w:rPr>
            </w:pPr>
            <w:r w:rsidRPr="006C61BA">
              <w:rPr>
                <w:lang w:val="en-US"/>
              </w:rPr>
              <w:t>0.12</w:t>
            </w:r>
          </w:p>
          <w:p w14:paraId="1936E697" w14:textId="77777777" w:rsidR="00B269CF" w:rsidRDefault="00B269CF" w:rsidP="0039129B">
            <w:pPr>
              <w:spacing w:line="360" w:lineRule="auto"/>
              <w:jc w:val="center"/>
              <w:rPr>
                <w:b/>
                <w:bCs/>
                <w:lang w:val="en-US"/>
              </w:rPr>
            </w:pPr>
            <w:r>
              <w:rPr>
                <w:b/>
                <w:bCs/>
                <w:lang w:val="en-US"/>
              </w:rPr>
              <w:t>0.016</w:t>
            </w:r>
          </w:p>
          <w:p w14:paraId="6A38DD15" w14:textId="77777777" w:rsidR="00B269CF" w:rsidRDefault="00B269CF" w:rsidP="0039129B">
            <w:pPr>
              <w:spacing w:line="360" w:lineRule="auto"/>
              <w:jc w:val="center"/>
              <w:rPr>
                <w:b/>
                <w:bCs/>
                <w:lang w:val="en-US"/>
              </w:rPr>
            </w:pPr>
            <w:r>
              <w:rPr>
                <w:b/>
                <w:bCs/>
                <w:lang w:val="en-US"/>
              </w:rPr>
              <w:t>&lt;0.0001</w:t>
            </w:r>
          </w:p>
          <w:p w14:paraId="2286719B" w14:textId="77777777" w:rsidR="00B269CF" w:rsidRPr="004B5791" w:rsidRDefault="00B269CF" w:rsidP="0039129B">
            <w:pPr>
              <w:spacing w:line="360" w:lineRule="auto"/>
              <w:jc w:val="center"/>
              <w:rPr>
                <w:lang w:val="en-US"/>
              </w:rPr>
            </w:pPr>
            <w:r>
              <w:rPr>
                <w:lang w:val="en-US"/>
              </w:rPr>
              <w:t>0.65</w:t>
            </w:r>
          </w:p>
        </w:tc>
      </w:tr>
      <w:tr w:rsidR="00B269CF" w:rsidRPr="004B5791" w14:paraId="06706263" w14:textId="77777777" w:rsidTr="0039129B">
        <w:tc>
          <w:tcPr>
            <w:tcW w:w="4536" w:type="dxa"/>
            <w:vAlign w:val="center"/>
          </w:tcPr>
          <w:p w14:paraId="7B4D2110" w14:textId="77777777" w:rsidR="00B269CF" w:rsidRPr="00B40BBD" w:rsidRDefault="00B269CF" w:rsidP="0039129B">
            <w:pPr>
              <w:spacing w:line="360" w:lineRule="auto"/>
              <w:rPr>
                <w:b/>
                <w:bCs/>
                <w:lang w:val="en-US"/>
              </w:rPr>
            </w:pPr>
            <w:r>
              <w:rPr>
                <w:b/>
                <w:bCs/>
                <w:lang w:val="en-US"/>
              </w:rPr>
              <w:t>(14). Effect of visits per morphogroup</w:t>
            </w:r>
          </w:p>
          <w:p w14:paraId="58FA6543" w14:textId="77777777" w:rsidR="00B269CF" w:rsidRDefault="00B269CF" w:rsidP="0039129B">
            <w:pPr>
              <w:spacing w:line="360" w:lineRule="auto"/>
              <w:rPr>
                <w:lang w:val="en-US"/>
              </w:rPr>
            </w:pPr>
            <w:r>
              <w:rPr>
                <w:lang w:val="en-US"/>
              </w:rPr>
              <w:t>Visitation rate, small wild bees</w:t>
            </w:r>
          </w:p>
          <w:p w14:paraId="190B9E53" w14:textId="77777777" w:rsidR="00B269CF" w:rsidRDefault="00B269CF" w:rsidP="0039129B">
            <w:pPr>
              <w:spacing w:line="360" w:lineRule="auto"/>
              <w:rPr>
                <w:lang w:val="en-US"/>
              </w:rPr>
            </w:pPr>
            <w:r>
              <w:rPr>
                <w:lang w:val="en-US"/>
              </w:rPr>
              <w:t>Visitation rate, large wild bees</w:t>
            </w:r>
          </w:p>
          <w:p w14:paraId="6DC5879A" w14:textId="77777777" w:rsidR="00B269CF" w:rsidRDefault="00B269CF" w:rsidP="0039129B">
            <w:pPr>
              <w:spacing w:line="360" w:lineRule="auto"/>
              <w:rPr>
                <w:lang w:val="en-US"/>
              </w:rPr>
            </w:pPr>
            <w:r>
              <w:rPr>
                <w:lang w:val="en-US"/>
              </w:rPr>
              <w:t>Visitation rate, honeybees</w:t>
            </w:r>
          </w:p>
          <w:p w14:paraId="4DF01AA7" w14:textId="77777777" w:rsidR="00B269CF" w:rsidRDefault="00B269CF" w:rsidP="0039129B">
            <w:pPr>
              <w:spacing w:line="360" w:lineRule="auto"/>
              <w:rPr>
                <w:lang w:val="en-US"/>
              </w:rPr>
            </w:pPr>
            <w:r>
              <w:rPr>
                <w:lang w:val="en-US"/>
              </w:rPr>
              <w:t>Visitation rate, bumblebees</w:t>
            </w:r>
          </w:p>
          <w:p w14:paraId="0F3B4E50" w14:textId="77777777" w:rsidR="00B269CF" w:rsidRDefault="00B269CF" w:rsidP="0039129B">
            <w:pPr>
              <w:spacing w:line="360" w:lineRule="auto"/>
              <w:rPr>
                <w:lang w:val="en-US"/>
              </w:rPr>
            </w:pPr>
            <w:r>
              <w:rPr>
                <w:lang w:val="en-US"/>
              </w:rPr>
              <w:t>Visitation rate, hoverflies</w:t>
            </w:r>
          </w:p>
          <w:p w14:paraId="71381E23" w14:textId="77777777" w:rsidR="00B269CF" w:rsidRPr="004B5791" w:rsidRDefault="00B269CF" w:rsidP="0039129B">
            <w:pPr>
              <w:spacing w:line="360" w:lineRule="auto"/>
              <w:rPr>
                <w:b/>
                <w:bCs/>
                <w:lang w:val="en-US"/>
              </w:rPr>
            </w:pPr>
            <w:r>
              <w:rPr>
                <w:lang w:val="en-US"/>
              </w:rPr>
              <w:t>Control fruits</w:t>
            </w:r>
          </w:p>
        </w:tc>
        <w:tc>
          <w:tcPr>
            <w:tcW w:w="2127" w:type="dxa"/>
            <w:vAlign w:val="center"/>
          </w:tcPr>
          <w:p w14:paraId="10E92512" w14:textId="77777777" w:rsidR="00B269CF" w:rsidRDefault="00B269CF" w:rsidP="0039129B">
            <w:pPr>
              <w:spacing w:line="360" w:lineRule="auto"/>
              <w:jc w:val="center"/>
              <w:rPr>
                <w:lang w:val="en-US"/>
              </w:rPr>
            </w:pPr>
          </w:p>
          <w:p w14:paraId="5B3FDCDC" w14:textId="77777777" w:rsidR="00B269CF" w:rsidRDefault="00B269CF" w:rsidP="0039129B">
            <w:pPr>
              <w:spacing w:line="360" w:lineRule="auto"/>
              <w:jc w:val="center"/>
              <w:rPr>
                <w:lang w:val="en-US"/>
              </w:rPr>
            </w:pPr>
            <w:r>
              <w:rPr>
                <w:lang w:val="en-US"/>
              </w:rPr>
              <w:t>0.00042 (0.00016)</w:t>
            </w:r>
          </w:p>
          <w:p w14:paraId="3C08BC0A" w14:textId="77777777" w:rsidR="00B269CF" w:rsidRDefault="00B269CF" w:rsidP="0039129B">
            <w:pPr>
              <w:spacing w:line="360" w:lineRule="auto"/>
              <w:jc w:val="center"/>
              <w:rPr>
                <w:lang w:val="en-US"/>
              </w:rPr>
            </w:pPr>
            <w:r>
              <w:rPr>
                <w:lang w:val="en-US"/>
              </w:rPr>
              <w:t>0.00039 (0.00024)</w:t>
            </w:r>
          </w:p>
          <w:p w14:paraId="3622967D" w14:textId="77777777" w:rsidR="00B269CF" w:rsidRDefault="00B269CF" w:rsidP="0039129B">
            <w:pPr>
              <w:spacing w:line="360" w:lineRule="auto"/>
              <w:jc w:val="center"/>
              <w:rPr>
                <w:lang w:val="en-US"/>
              </w:rPr>
            </w:pPr>
            <w:r>
              <w:rPr>
                <w:lang w:val="en-US"/>
              </w:rPr>
              <w:t>0.00013 (0.00019)</w:t>
            </w:r>
          </w:p>
          <w:p w14:paraId="67F3FE7E" w14:textId="77777777" w:rsidR="00B269CF" w:rsidRDefault="00B269CF" w:rsidP="0039129B">
            <w:pPr>
              <w:spacing w:line="360" w:lineRule="auto"/>
              <w:jc w:val="center"/>
              <w:rPr>
                <w:lang w:val="en-US"/>
              </w:rPr>
            </w:pPr>
            <w:r>
              <w:rPr>
                <w:lang w:val="en-US"/>
              </w:rPr>
              <w:t>0.00023 (0.00015)</w:t>
            </w:r>
          </w:p>
          <w:p w14:paraId="167713BF" w14:textId="77777777" w:rsidR="00B269CF" w:rsidRDefault="00B269CF" w:rsidP="0039129B">
            <w:pPr>
              <w:spacing w:line="360" w:lineRule="auto"/>
              <w:jc w:val="center"/>
              <w:rPr>
                <w:lang w:val="en-US"/>
              </w:rPr>
            </w:pPr>
            <w:r>
              <w:rPr>
                <w:lang w:val="en-US"/>
              </w:rPr>
              <w:t>0.00006 (0.00009)</w:t>
            </w:r>
          </w:p>
          <w:p w14:paraId="713D5668" w14:textId="77777777" w:rsidR="00B269CF" w:rsidRPr="004B5791" w:rsidRDefault="00B269CF" w:rsidP="0039129B">
            <w:pPr>
              <w:spacing w:line="360" w:lineRule="auto"/>
              <w:jc w:val="center"/>
              <w:rPr>
                <w:lang w:val="en-US"/>
              </w:rPr>
            </w:pPr>
            <w:r>
              <w:rPr>
                <w:lang w:val="en-US"/>
              </w:rPr>
              <w:t>0.66 (0.07)</w:t>
            </w:r>
          </w:p>
        </w:tc>
        <w:tc>
          <w:tcPr>
            <w:tcW w:w="1077" w:type="dxa"/>
            <w:vAlign w:val="center"/>
          </w:tcPr>
          <w:p w14:paraId="5928D3AF" w14:textId="77777777" w:rsidR="00B269CF" w:rsidRDefault="00B269CF" w:rsidP="0039129B">
            <w:pPr>
              <w:spacing w:line="360" w:lineRule="auto"/>
              <w:jc w:val="center"/>
              <w:rPr>
                <w:lang w:val="en-US"/>
              </w:rPr>
            </w:pPr>
          </w:p>
          <w:p w14:paraId="0E4DBCD0" w14:textId="77777777" w:rsidR="00B269CF" w:rsidRDefault="00B269CF" w:rsidP="0039129B">
            <w:pPr>
              <w:spacing w:line="360" w:lineRule="auto"/>
              <w:jc w:val="center"/>
              <w:rPr>
                <w:lang w:val="en-US"/>
              </w:rPr>
            </w:pPr>
            <w:r>
              <w:rPr>
                <w:lang w:val="en-US"/>
              </w:rPr>
              <w:t>2.66</w:t>
            </w:r>
          </w:p>
          <w:p w14:paraId="5751420A" w14:textId="77777777" w:rsidR="00B269CF" w:rsidRDefault="00B269CF" w:rsidP="0039129B">
            <w:pPr>
              <w:spacing w:line="360" w:lineRule="auto"/>
              <w:jc w:val="center"/>
              <w:rPr>
                <w:lang w:val="en-US"/>
              </w:rPr>
            </w:pPr>
            <w:r>
              <w:rPr>
                <w:lang w:val="en-US"/>
              </w:rPr>
              <w:t>1.63</w:t>
            </w:r>
          </w:p>
          <w:p w14:paraId="635F689A" w14:textId="77777777" w:rsidR="00B269CF" w:rsidRDefault="00B269CF" w:rsidP="0039129B">
            <w:pPr>
              <w:spacing w:line="360" w:lineRule="auto"/>
              <w:jc w:val="center"/>
              <w:rPr>
                <w:lang w:val="en-US"/>
              </w:rPr>
            </w:pPr>
            <w:r>
              <w:rPr>
                <w:lang w:val="en-US"/>
              </w:rPr>
              <w:t>0.64</w:t>
            </w:r>
          </w:p>
          <w:p w14:paraId="5E3CB628" w14:textId="77777777" w:rsidR="00B269CF" w:rsidRDefault="00B269CF" w:rsidP="0039129B">
            <w:pPr>
              <w:spacing w:line="360" w:lineRule="auto"/>
              <w:jc w:val="center"/>
              <w:rPr>
                <w:lang w:val="en-US"/>
              </w:rPr>
            </w:pPr>
            <w:r>
              <w:rPr>
                <w:lang w:val="en-US"/>
              </w:rPr>
              <w:t>2.57</w:t>
            </w:r>
          </w:p>
          <w:p w14:paraId="5A25110B" w14:textId="77777777" w:rsidR="00B269CF" w:rsidRDefault="00B269CF" w:rsidP="0039129B">
            <w:pPr>
              <w:spacing w:line="360" w:lineRule="auto"/>
              <w:jc w:val="center"/>
              <w:rPr>
                <w:lang w:val="en-US"/>
              </w:rPr>
            </w:pPr>
            <w:r>
              <w:rPr>
                <w:lang w:val="en-US"/>
              </w:rPr>
              <w:t>0.66</w:t>
            </w:r>
          </w:p>
          <w:p w14:paraId="5B0BBE24" w14:textId="77777777" w:rsidR="00B269CF" w:rsidRPr="004B5791" w:rsidRDefault="00B269CF" w:rsidP="0039129B">
            <w:pPr>
              <w:spacing w:line="360" w:lineRule="auto"/>
              <w:jc w:val="center"/>
              <w:rPr>
                <w:lang w:val="en-US"/>
              </w:rPr>
            </w:pPr>
            <w:r>
              <w:rPr>
                <w:lang w:val="en-US"/>
              </w:rPr>
              <w:t>9.09</w:t>
            </w:r>
          </w:p>
        </w:tc>
        <w:tc>
          <w:tcPr>
            <w:tcW w:w="1077" w:type="dxa"/>
            <w:vAlign w:val="center"/>
          </w:tcPr>
          <w:p w14:paraId="6C8A618A" w14:textId="77777777" w:rsidR="00B269CF" w:rsidRDefault="00B269CF" w:rsidP="0039129B">
            <w:pPr>
              <w:spacing w:line="360" w:lineRule="auto"/>
              <w:rPr>
                <w:lang w:val="en-US"/>
              </w:rPr>
            </w:pPr>
          </w:p>
          <w:p w14:paraId="13CCCBA5" w14:textId="77777777" w:rsidR="00B269CF" w:rsidRDefault="00B269CF" w:rsidP="0039129B">
            <w:pPr>
              <w:spacing w:line="360" w:lineRule="auto"/>
              <w:jc w:val="center"/>
              <w:rPr>
                <w:b/>
                <w:bCs/>
                <w:lang w:val="en-US"/>
              </w:rPr>
            </w:pPr>
            <w:r>
              <w:rPr>
                <w:b/>
                <w:bCs/>
                <w:lang w:val="en-US"/>
              </w:rPr>
              <w:t>0.008</w:t>
            </w:r>
          </w:p>
          <w:p w14:paraId="32AD2A9F" w14:textId="77777777" w:rsidR="00B269CF" w:rsidRDefault="00B269CF" w:rsidP="0039129B">
            <w:pPr>
              <w:spacing w:line="360" w:lineRule="auto"/>
              <w:jc w:val="center"/>
              <w:rPr>
                <w:lang w:val="en-US"/>
              </w:rPr>
            </w:pPr>
            <w:r>
              <w:rPr>
                <w:lang w:val="en-US"/>
              </w:rPr>
              <w:t>0.10</w:t>
            </w:r>
          </w:p>
          <w:p w14:paraId="3848D9A6" w14:textId="77777777" w:rsidR="00B269CF" w:rsidRDefault="00B269CF" w:rsidP="0039129B">
            <w:pPr>
              <w:spacing w:line="360" w:lineRule="auto"/>
              <w:jc w:val="center"/>
              <w:rPr>
                <w:lang w:val="en-US"/>
              </w:rPr>
            </w:pPr>
            <w:r>
              <w:rPr>
                <w:lang w:val="en-US"/>
              </w:rPr>
              <w:t>0.52</w:t>
            </w:r>
          </w:p>
          <w:p w14:paraId="5DD27E82" w14:textId="77777777" w:rsidR="00B269CF" w:rsidRDefault="00B269CF" w:rsidP="0039129B">
            <w:pPr>
              <w:spacing w:line="360" w:lineRule="auto"/>
              <w:jc w:val="center"/>
              <w:rPr>
                <w:lang w:val="en-US"/>
              </w:rPr>
            </w:pPr>
            <w:r>
              <w:rPr>
                <w:lang w:val="en-US"/>
              </w:rPr>
              <w:t>0.12</w:t>
            </w:r>
          </w:p>
          <w:p w14:paraId="6F4C2CD2" w14:textId="77777777" w:rsidR="00B269CF" w:rsidRDefault="00B269CF" w:rsidP="0039129B">
            <w:pPr>
              <w:spacing w:line="360" w:lineRule="auto"/>
              <w:jc w:val="center"/>
              <w:rPr>
                <w:lang w:val="en-US"/>
              </w:rPr>
            </w:pPr>
            <w:r>
              <w:rPr>
                <w:lang w:val="en-US"/>
              </w:rPr>
              <w:t>0.51</w:t>
            </w:r>
          </w:p>
          <w:p w14:paraId="58606E32" w14:textId="77777777" w:rsidR="00B269CF" w:rsidRPr="00696A8C" w:rsidRDefault="00B269CF" w:rsidP="0039129B">
            <w:pPr>
              <w:spacing w:line="360" w:lineRule="auto"/>
              <w:jc w:val="center"/>
              <w:rPr>
                <w:b/>
                <w:bCs/>
                <w:lang w:val="en-US"/>
              </w:rPr>
            </w:pPr>
            <w:r w:rsidRPr="00696A8C">
              <w:rPr>
                <w:b/>
                <w:bCs/>
                <w:lang w:val="en-US"/>
              </w:rPr>
              <w:t>&lt;0.0001</w:t>
            </w:r>
          </w:p>
        </w:tc>
      </w:tr>
    </w:tbl>
    <w:p w14:paraId="207B2ADC" w14:textId="77777777" w:rsidR="00B269CF" w:rsidRDefault="00B269CF" w:rsidP="00B269CF">
      <w:pPr>
        <w:spacing w:after="160" w:line="259" w:lineRule="auto"/>
        <w:rPr>
          <w:lang w:val="en-US"/>
        </w:rPr>
      </w:pPr>
      <w:r>
        <w:rPr>
          <w:lang w:val="en-US"/>
        </w:rPr>
        <w:br w:type="page"/>
      </w:r>
    </w:p>
    <w:p w14:paraId="30280AEC" w14:textId="77777777" w:rsidR="00B269CF" w:rsidRPr="0074792B" w:rsidRDefault="00B269CF" w:rsidP="00B269CF">
      <w:pPr>
        <w:spacing w:line="360" w:lineRule="auto"/>
        <w:jc w:val="both"/>
        <w:rPr>
          <w:color w:val="000000" w:themeColor="text1"/>
          <w:sz w:val="22"/>
          <w:szCs w:val="22"/>
          <w:lang w:val="en-US"/>
        </w:rPr>
      </w:pPr>
      <w:r w:rsidRPr="0074792B">
        <w:rPr>
          <w:b/>
          <w:bCs/>
          <w:sz w:val="22"/>
          <w:szCs w:val="22"/>
          <w:lang w:val="en-US"/>
        </w:rPr>
        <w:lastRenderedPageBreak/>
        <w:t xml:space="preserve">Table 4. </w:t>
      </w:r>
      <w:r w:rsidRPr="0074792B">
        <w:rPr>
          <w:sz w:val="22"/>
          <w:szCs w:val="22"/>
          <w:lang w:val="en-US"/>
        </w:rPr>
        <w:t xml:space="preserve">Summary statistics of the models linking the mean number of seeds per fruit to the number of morphogroups (model 15) and the visitation rate of all morphogroups; and to each morphogroup visitation rate (model 16). See Table 1 for model description and </w:t>
      </w:r>
      <w:r w:rsidRPr="0074792B">
        <w:rPr>
          <w:color w:val="000000" w:themeColor="text1"/>
          <w:sz w:val="22"/>
          <w:szCs w:val="22"/>
          <w:lang w:val="en-US"/>
        </w:rPr>
        <w:t>parameterization. Total number of observations n = 277.</w:t>
      </w:r>
    </w:p>
    <w:p w14:paraId="0B37C0C7" w14:textId="77777777" w:rsidR="00B269CF" w:rsidRPr="00A701E4" w:rsidRDefault="00B269CF" w:rsidP="00B269CF">
      <w:pPr>
        <w:spacing w:line="36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1985"/>
        <w:gridCol w:w="1083"/>
        <w:gridCol w:w="1083"/>
      </w:tblGrid>
      <w:tr w:rsidR="00B269CF" w:rsidRPr="004B5791" w14:paraId="391987B7" w14:textId="77777777" w:rsidTr="0039129B">
        <w:tc>
          <w:tcPr>
            <w:tcW w:w="4536" w:type="dxa"/>
            <w:vAlign w:val="center"/>
          </w:tcPr>
          <w:p w14:paraId="74EB38E1" w14:textId="77777777" w:rsidR="00B269CF" w:rsidRPr="004B5791" w:rsidRDefault="00B269CF" w:rsidP="0039129B">
            <w:pPr>
              <w:spacing w:line="360" w:lineRule="auto"/>
              <w:jc w:val="center"/>
              <w:rPr>
                <w:b/>
                <w:bCs/>
                <w:lang w:val="en-US"/>
              </w:rPr>
            </w:pPr>
            <w:r>
              <w:rPr>
                <w:b/>
                <w:bCs/>
                <w:lang w:val="en-US"/>
              </w:rPr>
              <w:t xml:space="preserve">Models </w:t>
            </w:r>
          </w:p>
        </w:tc>
        <w:tc>
          <w:tcPr>
            <w:tcW w:w="1985" w:type="dxa"/>
            <w:vAlign w:val="center"/>
          </w:tcPr>
          <w:p w14:paraId="7EF1FE7B" w14:textId="77777777" w:rsidR="00B269CF" w:rsidRPr="004B5791" w:rsidRDefault="00B269CF" w:rsidP="0039129B">
            <w:pPr>
              <w:spacing w:line="360" w:lineRule="auto"/>
              <w:jc w:val="center"/>
              <w:rPr>
                <w:b/>
                <w:bCs/>
                <w:lang w:val="en-US"/>
              </w:rPr>
            </w:pPr>
            <w:r w:rsidRPr="005028D4">
              <w:rPr>
                <w:b/>
                <w:bCs/>
                <w:lang w:val="en-US"/>
              </w:rPr>
              <w:t>Estimate (</w:t>
            </w:r>
            <w:r w:rsidRPr="005028D4">
              <w:rPr>
                <w:rFonts w:cstheme="minorHAnsi"/>
                <w:b/>
                <w:bCs/>
                <w:lang w:val="en-US"/>
              </w:rPr>
              <w:t>± SE)</w:t>
            </w:r>
          </w:p>
        </w:tc>
        <w:tc>
          <w:tcPr>
            <w:tcW w:w="1083" w:type="dxa"/>
            <w:vAlign w:val="center"/>
          </w:tcPr>
          <w:p w14:paraId="24BCA082" w14:textId="77777777" w:rsidR="00B269CF" w:rsidRPr="004B5791" w:rsidRDefault="00B269CF" w:rsidP="0039129B">
            <w:pPr>
              <w:spacing w:line="360" w:lineRule="auto"/>
              <w:jc w:val="center"/>
              <w:rPr>
                <w:b/>
                <w:bCs/>
                <w:lang w:val="en-US"/>
              </w:rPr>
            </w:pPr>
            <w:r w:rsidRPr="005028D4">
              <w:rPr>
                <w:b/>
                <w:bCs/>
                <w:lang w:val="en-US"/>
              </w:rPr>
              <w:t>z-value</w:t>
            </w:r>
          </w:p>
        </w:tc>
        <w:tc>
          <w:tcPr>
            <w:tcW w:w="1083" w:type="dxa"/>
            <w:vAlign w:val="center"/>
          </w:tcPr>
          <w:p w14:paraId="73665D63" w14:textId="77777777" w:rsidR="00B269CF" w:rsidRPr="004B5791" w:rsidRDefault="00B269CF" w:rsidP="0039129B">
            <w:pPr>
              <w:spacing w:line="360" w:lineRule="auto"/>
              <w:jc w:val="center"/>
              <w:rPr>
                <w:b/>
                <w:bCs/>
                <w:lang w:val="en-US"/>
              </w:rPr>
            </w:pPr>
            <w:r w:rsidRPr="005028D4">
              <w:rPr>
                <w:b/>
                <w:bCs/>
                <w:lang w:val="en-US"/>
              </w:rPr>
              <w:t>p-value</w:t>
            </w:r>
          </w:p>
        </w:tc>
      </w:tr>
      <w:tr w:rsidR="00B269CF" w:rsidRPr="004B5791" w14:paraId="20E8E5BF" w14:textId="77777777" w:rsidTr="0039129B">
        <w:tc>
          <w:tcPr>
            <w:tcW w:w="4536" w:type="dxa"/>
          </w:tcPr>
          <w:p w14:paraId="23784EED" w14:textId="77777777" w:rsidR="00B269CF" w:rsidRPr="00B40BBD" w:rsidRDefault="00B269CF" w:rsidP="0039129B">
            <w:pPr>
              <w:spacing w:line="360" w:lineRule="auto"/>
              <w:jc w:val="center"/>
              <w:rPr>
                <w:b/>
                <w:bCs/>
                <w:lang w:val="en-US"/>
              </w:rPr>
            </w:pPr>
            <w:r>
              <w:rPr>
                <w:b/>
                <w:bCs/>
                <w:lang w:val="en-US"/>
              </w:rPr>
              <w:t>(15). Effect of the number of morphogroups and total visitation rate</w:t>
            </w:r>
          </w:p>
          <w:p w14:paraId="59788C99" w14:textId="77777777" w:rsidR="00B269CF" w:rsidRDefault="00B269CF" w:rsidP="0039129B">
            <w:pPr>
              <w:spacing w:line="360" w:lineRule="auto"/>
              <w:jc w:val="center"/>
              <w:rPr>
                <w:lang w:val="en-US"/>
              </w:rPr>
            </w:pPr>
            <w:r>
              <w:rPr>
                <w:lang w:val="en-US"/>
              </w:rPr>
              <w:t>Number of morphogroups visiting the plants</w:t>
            </w:r>
          </w:p>
          <w:p w14:paraId="00B6B3C2" w14:textId="77777777" w:rsidR="00B269CF" w:rsidRDefault="00B269CF" w:rsidP="0039129B">
            <w:pPr>
              <w:spacing w:line="360" w:lineRule="auto"/>
              <w:jc w:val="center"/>
              <w:rPr>
                <w:lang w:val="en-US"/>
              </w:rPr>
            </w:pPr>
            <w:r>
              <w:rPr>
                <w:lang w:val="en-US"/>
              </w:rPr>
              <w:t>Visitation rate, all morphogroups</w:t>
            </w:r>
          </w:p>
          <w:p w14:paraId="7C1ADBB6" w14:textId="77777777" w:rsidR="00B269CF" w:rsidRDefault="00B269CF" w:rsidP="0039129B">
            <w:pPr>
              <w:spacing w:line="360" w:lineRule="auto"/>
              <w:jc w:val="center"/>
              <w:rPr>
                <w:lang w:val="en-US"/>
              </w:rPr>
            </w:pPr>
            <w:r>
              <w:rPr>
                <w:lang w:val="en-US"/>
              </w:rPr>
              <w:t>Control fruits</w:t>
            </w:r>
          </w:p>
          <w:p w14:paraId="2D6BC4D7" w14:textId="77777777" w:rsidR="00B269CF" w:rsidRPr="004B5791" w:rsidRDefault="00B269CF" w:rsidP="0039129B">
            <w:pPr>
              <w:spacing w:line="360" w:lineRule="auto"/>
              <w:jc w:val="center"/>
              <w:rPr>
                <w:lang w:val="en-US"/>
              </w:rPr>
            </w:pPr>
            <w:r>
              <w:rPr>
                <w:lang w:val="en-US"/>
              </w:rPr>
              <w:t>Number of inflorescences</w:t>
            </w:r>
          </w:p>
        </w:tc>
        <w:tc>
          <w:tcPr>
            <w:tcW w:w="1985" w:type="dxa"/>
          </w:tcPr>
          <w:p w14:paraId="1A6B2487" w14:textId="77777777" w:rsidR="00B269CF" w:rsidRDefault="00B269CF" w:rsidP="0039129B">
            <w:pPr>
              <w:spacing w:line="360" w:lineRule="auto"/>
              <w:jc w:val="center"/>
              <w:rPr>
                <w:lang w:val="en-US"/>
              </w:rPr>
            </w:pPr>
          </w:p>
          <w:p w14:paraId="1B652045" w14:textId="77777777" w:rsidR="00B269CF" w:rsidRDefault="00B269CF" w:rsidP="0039129B">
            <w:pPr>
              <w:spacing w:line="360" w:lineRule="auto"/>
              <w:jc w:val="center"/>
              <w:rPr>
                <w:lang w:val="en-US"/>
              </w:rPr>
            </w:pPr>
          </w:p>
          <w:p w14:paraId="1193A6A6" w14:textId="77777777" w:rsidR="00B269CF" w:rsidRDefault="00B269CF" w:rsidP="0039129B">
            <w:pPr>
              <w:spacing w:line="360" w:lineRule="auto"/>
              <w:jc w:val="center"/>
              <w:rPr>
                <w:lang w:val="en-US"/>
              </w:rPr>
            </w:pPr>
            <w:r>
              <w:rPr>
                <w:lang w:val="en-US"/>
              </w:rPr>
              <w:t>0.0075 (0.03)</w:t>
            </w:r>
          </w:p>
          <w:p w14:paraId="686CEEE4" w14:textId="77777777" w:rsidR="00B269CF" w:rsidRDefault="00B269CF" w:rsidP="0039129B">
            <w:pPr>
              <w:spacing w:line="360" w:lineRule="auto"/>
              <w:jc w:val="center"/>
              <w:rPr>
                <w:lang w:val="en-US"/>
              </w:rPr>
            </w:pPr>
            <w:r>
              <w:rPr>
                <w:lang w:val="en-US"/>
              </w:rPr>
              <w:t>0.0006 (0.0002)</w:t>
            </w:r>
          </w:p>
          <w:p w14:paraId="361590B2" w14:textId="77777777" w:rsidR="00B269CF" w:rsidRDefault="00B269CF" w:rsidP="0039129B">
            <w:pPr>
              <w:spacing w:line="360" w:lineRule="auto"/>
              <w:jc w:val="center"/>
              <w:rPr>
                <w:lang w:val="en-US"/>
              </w:rPr>
            </w:pPr>
            <w:r>
              <w:rPr>
                <w:lang w:val="en-US"/>
              </w:rPr>
              <w:t>1.38 (0.29)</w:t>
            </w:r>
          </w:p>
          <w:p w14:paraId="745CDDC5" w14:textId="77777777" w:rsidR="00B269CF" w:rsidRPr="004B5791" w:rsidRDefault="00B269CF" w:rsidP="0039129B">
            <w:pPr>
              <w:spacing w:line="360" w:lineRule="auto"/>
              <w:jc w:val="center"/>
              <w:rPr>
                <w:lang w:val="en-US"/>
              </w:rPr>
            </w:pPr>
            <w:r>
              <w:rPr>
                <w:lang w:val="en-US"/>
              </w:rPr>
              <w:t>-0.001 (0.012)</w:t>
            </w:r>
          </w:p>
        </w:tc>
        <w:tc>
          <w:tcPr>
            <w:tcW w:w="1083" w:type="dxa"/>
          </w:tcPr>
          <w:p w14:paraId="29B4B7FE" w14:textId="77777777" w:rsidR="00B269CF" w:rsidRDefault="00B269CF" w:rsidP="0039129B">
            <w:pPr>
              <w:spacing w:line="360" w:lineRule="auto"/>
              <w:jc w:val="center"/>
              <w:rPr>
                <w:lang w:val="en-US"/>
              </w:rPr>
            </w:pPr>
          </w:p>
          <w:p w14:paraId="150354A2" w14:textId="77777777" w:rsidR="00B269CF" w:rsidRDefault="00B269CF" w:rsidP="0039129B">
            <w:pPr>
              <w:spacing w:line="360" w:lineRule="auto"/>
              <w:jc w:val="center"/>
              <w:rPr>
                <w:lang w:val="en-US"/>
              </w:rPr>
            </w:pPr>
          </w:p>
          <w:p w14:paraId="3BD277A9" w14:textId="77777777" w:rsidR="00B269CF" w:rsidRDefault="00B269CF" w:rsidP="0039129B">
            <w:pPr>
              <w:spacing w:line="360" w:lineRule="auto"/>
              <w:jc w:val="center"/>
              <w:rPr>
                <w:lang w:val="en-US"/>
              </w:rPr>
            </w:pPr>
            <w:r>
              <w:rPr>
                <w:lang w:val="en-US"/>
              </w:rPr>
              <w:t>0.25</w:t>
            </w:r>
          </w:p>
          <w:p w14:paraId="144559B3" w14:textId="77777777" w:rsidR="00B269CF" w:rsidRDefault="00B269CF" w:rsidP="0039129B">
            <w:pPr>
              <w:spacing w:line="360" w:lineRule="auto"/>
              <w:jc w:val="center"/>
              <w:rPr>
                <w:lang w:val="en-US"/>
              </w:rPr>
            </w:pPr>
            <w:r>
              <w:rPr>
                <w:lang w:val="en-US"/>
              </w:rPr>
              <w:t>2.71</w:t>
            </w:r>
          </w:p>
          <w:p w14:paraId="438EF08F" w14:textId="77777777" w:rsidR="00B269CF" w:rsidRDefault="00B269CF" w:rsidP="0039129B">
            <w:pPr>
              <w:spacing w:line="360" w:lineRule="auto"/>
              <w:jc w:val="center"/>
              <w:rPr>
                <w:lang w:val="en-US"/>
              </w:rPr>
            </w:pPr>
            <w:r>
              <w:rPr>
                <w:lang w:val="en-US"/>
              </w:rPr>
              <w:t>4.78</w:t>
            </w:r>
          </w:p>
          <w:p w14:paraId="5DAF7131" w14:textId="77777777" w:rsidR="00B269CF" w:rsidRPr="004B5791" w:rsidRDefault="00B269CF" w:rsidP="0039129B">
            <w:pPr>
              <w:spacing w:line="360" w:lineRule="auto"/>
              <w:jc w:val="center"/>
              <w:rPr>
                <w:lang w:val="en-US"/>
              </w:rPr>
            </w:pPr>
            <w:r>
              <w:rPr>
                <w:lang w:val="en-US"/>
              </w:rPr>
              <w:t>-0.1</w:t>
            </w:r>
          </w:p>
        </w:tc>
        <w:tc>
          <w:tcPr>
            <w:tcW w:w="1083" w:type="dxa"/>
          </w:tcPr>
          <w:p w14:paraId="2E965D70" w14:textId="77777777" w:rsidR="00B269CF" w:rsidRDefault="00B269CF" w:rsidP="0039129B">
            <w:pPr>
              <w:spacing w:line="360" w:lineRule="auto"/>
              <w:jc w:val="center"/>
              <w:rPr>
                <w:lang w:val="en-US"/>
              </w:rPr>
            </w:pPr>
          </w:p>
          <w:p w14:paraId="598B5619" w14:textId="77777777" w:rsidR="00B269CF" w:rsidRDefault="00B269CF" w:rsidP="0039129B">
            <w:pPr>
              <w:spacing w:line="360" w:lineRule="auto"/>
              <w:jc w:val="center"/>
              <w:rPr>
                <w:lang w:val="en-US"/>
              </w:rPr>
            </w:pPr>
          </w:p>
          <w:p w14:paraId="5172D0B4" w14:textId="77777777" w:rsidR="00B269CF" w:rsidRDefault="00B269CF" w:rsidP="0039129B">
            <w:pPr>
              <w:spacing w:line="360" w:lineRule="auto"/>
              <w:jc w:val="center"/>
              <w:rPr>
                <w:lang w:val="en-US"/>
              </w:rPr>
            </w:pPr>
            <w:r>
              <w:rPr>
                <w:lang w:val="en-US"/>
              </w:rPr>
              <w:t>0.80</w:t>
            </w:r>
          </w:p>
          <w:p w14:paraId="3CBD5824" w14:textId="77777777" w:rsidR="00B269CF" w:rsidRPr="007051D1" w:rsidRDefault="00B269CF" w:rsidP="0039129B">
            <w:pPr>
              <w:spacing w:line="360" w:lineRule="auto"/>
              <w:jc w:val="center"/>
              <w:rPr>
                <w:b/>
                <w:bCs/>
                <w:lang w:val="en-US"/>
              </w:rPr>
            </w:pPr>
            <w:r w:rsidRPr="007051D1">
              <w:rPr>
                <w:b/>
                <w:bCs/>
                <w:lang w:val="en-US"/>
              </w:rPr>
              <w:t>0.007</w:t>
            </w:r>
          </w:p>
          <w:p w14:paraId="46EB333F" w14:textId="77777777" w:rsidR="00B269CF" w:rsidRPr="007051D1" w:rsidRDefault="00B269CF" w:rsidP="0039129B">
            <w:pPr>
              <w:spacing w:line="360" w:lineRule="auto"/>
              <w:jc w:val="center"/>
              <w:rPr>
                <w:b/>
                <w:bCs/>
                <w:lang w:val="en-US"/>
              </w:rPr>
            </w:pPr>
            <w:r w:rsidRPr="007051D1">
              <w:rPr>
                <w:b/>
                <w:bCs/>
                <w:lang w:val="en-US"/>
              </w:rPr>
              <w:t>&lt;0.0001</w:t>
            </w:r>
          </w:p>
          <w:p w14:paraId="4819CD61" w14:textId="77777777" w:rsidR="00B269CF" w:rsidRPr="004B5791" w:rsidRDefault="00B269CF" w:rsidP="0039129B">
            <w:pPr>
              <w:spacing w:line="360" w:lineRule="auto"/>
              <w:jc w:val="center"/>
              <w:rPr>
                <w:lang w:val="en-US"/>
              </w:rPr>
            </w:pPr>
            <w:r>
              <w:rPr>
                <w:lang w:val="en-US"/>
              </w:rPr>
              <w:t>0.92</w:t>
            </w:r>
          </w:p>
        </w:tc>
      </w:tr>
      <w:tr w:rsidR="00B269CF" w:rsidRPr="004B5791" w14:paraId="559DACDF" w14:textId="77777777" w:rsidTr="0039129B">
        <w:tc>
          <w:tcPr>
            <w:tcW w:w="4536" w:type="dxa"/>
          </w:tcPr>
          <w:p w14:paraId="21C28C42" w14:textId="77777777" w:rsidR="00B269CF" w:rsidRPr="00B40BBD" w:rsidRDefault="00B269CF" w:rsidP="0039129B">
            <w:pPr>
              <w:spacing w:line="360" w:lineRule="auto"/>
              <w:jc w:val="center"/>
              <w:rPr>
                <w:b/>
                <w:bCs/>
                <w:lang w:val="en-US"/>
              </w:rPr>
            </w:pPr>
            <w:r>
              <w:rPr>
                <w:b/>
                <w:bCs/>
                <w:lang w:val="en-US"/>
              </w:rPr>
              <w:t>(16). Effect of visits per morphogroup</w:t>
            </w:r>
          </w:p>
          <w:p w14:paraId="3F8B7879" w14:textId="77777777" w:rsidR="00B269CF" w:rsidRDefault="00B269CF" w:rsidP="0039129B">
            <w:pPr>
              <w:spacing w:line="360" w:lineRule="auto"/>
              <w:jc w:val="center"/>
              <w:rPr>
                <w:lang w:val="en-US"/>
              </w:rPr>
            </w:pPr>
            <w:r>
              <w:rPr>
                <w:lang w:val="en-US"/>
              </w:rPr>
              <w:t>Visitation rate, small wild bees</w:t>
            </w:r>
          </w:p>
          <w:p w14:paraId="64999225" w14:textId="77777777" w:rsidR="00B269CF" w:rsidRDefault="00B269CF" w:rsidP="0039129B">
            <w:pPr>
              <w:spacing w:line="360" w:lineRule="auto"/>
              <w:jc w:val="center"/>
              <w:rPr>
                <w:lang w:val="en-US"/>
              </w:rPr>
            </w:pPr>
            <w:r>
              <w:rPr>
                <w:lang w:val="en-US"/>
              </w:rPr>
              <w:t>Visitation rate, large wild bees</w:t>
            </w:r>
          </w:p>
          <w:p w14:paraId="72888DA0" w14:textId="77777777" w:rsidR="00B269CF" w:rsidRDefault="00B269CF" w:rsidP="0039129B">
            <w:pPr>
              <w:spacing w:line="360" w:lineRule="auto"/>
              <w:jc w:val="center"/>
              <w:rPr>
                <w:lang w:val="en-US"/>
              </w:rPr>
            </w:pPr>
            <w:r>
              <w:rPr>
                <w:lang w:val="en-US"/>
              </w:rPr>
              <w:t>Visitation rate, honeybees</w:t>
            </w:r>
          </w:p>
          <w:p w14:paraId="7BAE1A73" w14:textId="77777777" w:rsidR="00B269CF" w:rsidRDefault="00B269CF" w:rsidP="0039129B">
            <w:pPr>
              <w:spacing w:line="360" w:lineRule="auto"/>
              <w:jc w:val="center"/>
              <w:rPr>
                <w:lang w:val="en-US"/>
              </w:rPr>
            </w:pPr>
            <w:r>
              <w:rPr>
                <w:lang w:val="en-US"/>
              </w:rPr>
              <w:t>Visitation rate, bumblebees</w:t>
            </w:r>
          </w:p>
          <w:p w14:paraId="61399A32" w14:textId="77777777" w:rsidR="00B269CF" w:rsidRDefault="00B269CF" w:rsidP="0039129B">
            <w:pPr>
              <w:spacing w:line="360" w:lineRule="auto"/>
              <w:jc w:val="center"/>
              <w:rPr>
                <w:lang w:val="en-US"/>
              </w:rPr>
            </w:pPr>
            <w:r>
              <w:rPr>
                <w:lang w:val="en-US"/>
              </w:rPr>
              <w:t>Visitation rate, hoverflies</w:t>
            </w:r>
          </w:p>
          <w:p w14:paraId="79DD6A12" w14:textId="77777777" w:rsidR="00B269CF" w:rsidRPr="004B5791" w:rsidRDefault="00B269CF" w:rsidP="0039129B">
            <w:pPr>
              <w:spacing w:line="360" w:lineRule="auto"/>
              <w:jc w:val="center"/>
              <w:rPr>
                <w:b/>
                <w:bCs/>
                <w:lang w:val="en-US"/>
              </w:rPr>
            </w:pPr>
            <w:r>
              <w:rPr>
                <w:lang w:val="en-US"/>
              </w:rPr>
              <w:t>Control fruits</w:t>
            </w:r>
          </w:p>
        </w:tc>
        <w:tc>
          <w:tcPr>
            <w:tcW w:w="1985" w:type="dxa"/>
          </w:tcPr>
          <w:p w14:paraId="3E3B22AF" w14:textId="77777777" w:rsidR="00B269CF" w:rsidRDefault="00B269CF" w:rsidP="0039129B">
            <w:pPr>
              <w:spacing w:line="360" w:lineRule="auto"/>
              <w:jc w:val="center"/>
              <w:rPr>
                <w:lang w:val="en-US"/>
              </w:rPr>
            </w:pPr>
          </w:p>
          <w:p w14:paraId="7DAE6E02" w14:textId="77777777" w:rsidR="00B269CF" w:rsidRDefault="00B269CF" w:rsidP="0039129B">
            <w:pPr>
              <w:spacing w:line="360" w:lineRule="auto"/>
              <w:jc w:val="center"/>
              <w:rPr>
                <w:lang w:val="en-US"/>
              </w:rPr>
            </w:pPr>
            <w:r>
              <w:rPr>
                <w:lang w:val="en-US"/>
              </w:rPr>
              <w:t>0.0015 (0.0006)</w:t>
            </w:r>
          </w:p>
          <w:p w14:paraId="27BF4C26" w14:textId="77777777" w:rsidR="00B269CF" w:rsidRDefault="00B269CF" w:rsidP="0039129B">
            <w:pPr>
              <w:spacing w:line="360" w:lineRule="auto"/>
              <w:jc w:val="center"/>
              <w:rPr>
                <w:lang w:val="en-US"/>
              </w:rPr>
            </w:pPr>
            <w:r>
              <w:rPr>
                <w:lang w:val="en-US"/>
              </w:rPr>
              <w:t>0.0006 (0.0009)</w:t>
            </w:r>
          </w:p>
          <w:p w14:paraId="70D9065F" w14:textId="77777777" w:rsidR="00B269CF" w:rsidRDefault="00B269CF" w:rsidP="0039129B">
            <w:pPr>
              <w:spacing w:line="360" w:lineRule="auto"/>
              <w:jc w:val="center"/>
              <w:rPr>
                <w:lang w:val="en-US"/>
              </w:rPr>
            </w:pPr>
            <w:r>
              <w:rPr>
                <w:lang w:val="en-US"/>
              </w:rPr>
              <w:t>0.0003 (0.0007)</w:t>
            </w:r>
          </w:p>
          <w:p w14:paraId="50D67009" w14:textId="77777777" w:rsidR="00B269CF" w:rsidRDefault="00B269CF" w:rsidP="0039129B">
            <w:pPr>
              <w:spacing w:line="360" w:lineRule="auto"/>
              <w:jc w:val="center"/>
              <w:rPr>
                <w:lang w:val="en-US"/>
              </w:rPr>
            </w:pPr>
            <w:r>
              <w:rPr>
                <w:lang w:val="en-US"/>
              </w:rPr>
              <w:t>0.0007 (0.0005)</w:t>
            </w:r>
          </w:p>
          <w:p w14:paraId="4D94D71F" w14:textId="77777777" w:rsidR="00B269CF" w:rsidRDefault="00B269CF" w:rsidP="0039129B">
            <w:pPr>
              <w:spacing w:line="360" w:lineRule="auto"/>
              <w:jc w:val="center"/>
              <w:rPr>
                <w:lang w:val="en-US"/>
              </w:rPr>
            </w:pPr>
            <w:r>
              <w:rPr>
                <w:lang w:val="en-US"/>
              </w:rPr>
              <w:t>0.0002 (0.0003)</w:t>
            </w:r>
          </w:p>
          <w:p w14:paraId="620D8F89" w14:textId="77777777" w:rsidR="00B269CF" w:rsidRPr="004B5791" w:rsidRDefault="00B269CF" w:rsidP="0039129B">
            <w:pPr>
              <w:spacing w:line="360" w:lineRule="auto"/>
              <w:jc w:val="center"/>
              <w:rPr>
                <w:lang w:val="en-US"/>
              </w:rPr>
            </w:pPr>
            <w:r>
              <w:rPr>
                <w:lang w:val="en-US"/>
              </w:rPr>
              <w:t>1.26 (0.28)</w:t>
            </w:r>
          </w:p>
        </w:tc>
        <w:tc>
          <w:tcPr>
            <w:tcW w:w="1083" w:type="dxa"/>
          </w:tcPr>
          <w:p w14:paraId="3D485B5A" w14:textId="77777777" w:rsidR="00B269CF" w:rsidRDefault="00B269CF" w:rsidP="0039129B">
            <w:pPr>
              <w:spacing w:line="360" w:lineRule="auto"/>
              <w:jc w:val="center"/>
              <w:rPr>
                <w:lang w:val="en-US"/>
              </w:rPr>
            </w:pPr>
          </w:p>
          <w:p w14:paraId="1BE56AB5" w14:textId="77777777" w:rsidR="00B269CF" w:rsidRDefault="00B269CF" w:rsidP="0039129B">
            <w:pPr>
              <w:spacing w:line="360" w:lineRule="auto"/>
              <w:jc w:val="center"/>
              <w:rPr>
                <w:lang w:val="en-US"/>
              </w:rPr>
            </w:pPr>
            <w:r>
              <w:rPr>
                <w:lang w:val="en-US"/>
              </w:rPr>
              <w:t>2.72</w:t>
            </w:r>
          </w:p>
          <w:p w14:paraId="4B3B6184" w14:textId="77777777" w:rsidR="00B269CF" w:rsidRDefault="00B269CF" w:rsidP="0039129B">
            <w:pPr>
              <w:spacing w:line="360" w:lineRule="auto"/>
              <w:jc w:val="center"/>
              <w:rPr>
                <w:lang w:val="en-US"/>
              </w:rPr>
            </w:pPr>
            <w:r>
              <w:rPr>
                <w:lang w:val="en-US"/>
              </w:rPr>
              <w:t>0.72</w:t>
            </w:r>
          </w:p>
          <w:p w14:paraId="4018F4E5" w14:textId="77777777" w:rsidR="00B269CF" w:rsidRDefault="00B269CF" w:rsidP="0039129B">
            <w:pPr>
              <w:spacing w:line="360" w:lineRule="auto"/>
              <w:jc w:val="center"/>
              <w:rPr>
                <w:lang w:val="en-US"/>
              </w:rPr>
            </w:pPr>
            <w:r>
              <w:rPr>
                <w:lang w:val="en-US"/>
              </w:rPr>
              <w:t>0.34</w:t>
            </w:r>
          </w:p>
          <w:p w14:paraId="1877DD45" w14:textId="77777777" w:rsidR="00B269CF" w:rsidRDefault="00B269CF" w:rsidP="0039129B">
            <w:pPr>
              <w:spacing w:line="360" w:lineRule="auto"/>
              <w:jc w:val="center"/>
              <w:rPr>
                <w:lang w:val="en-US"/>
              </w:rPr>
            </w:pPr>
            <w:r>
              <w:rPr>
                <w:lang w:val="en-US"/>
              </w:rPr>
              <w:t>1.31</w:t>
            </w:r>
          </w:p>
          <w:p w14:paraId="49705F02" w14:textId="77777777" w:rsidR="00B269CF" w:rsidRDefault="00B269CF" w:rsidP="0039129B">
            <w:pPr>
              <w:spacing w:line="360" w:lineRule="auto"/>
              <w:jc w:val="center"/>
              <w:rPr>
                <w:lang w:val="en-US"/>
              </w:rPr>
            </w:pPr>
            <w:r>
              <w:rPr>
                <w:lang w:val="en-US"/>
              </w:rPr>
              <w:t>0.70</w:t>
            </w:r>
          </w:p>
          <w:p w14:paraId="76F99961" w14:textId="77777777" w:rsidR="00B269CF" w:rsidRPr="004B5791" w:rsidRDefault="00B269CF" w:rsidP="0039129B">
            <w:pPr>
              <w:spacing w:line="360" w:lineRule="auto"/>
              <w:jc w:val="center"/>
              <w:rPr>
                <w:lang w:val="en-US"/>
              </w:rPr>
            </w:pPr>
            <w:r>
              <w:rPr>
                <w:lang w:val="en-US"/>
              </w:rPr>
              <w:t>4.46</w:t>
            </w:r>
          </w:p>
        </w:tc>
        <w:tc>
          <w:tcPr>
            <w:tcW w:w="1083" w:type="dxa"/>
          </w:tcPr>
          <w:p w14:paraId="607E0D48" w14:textId="77777777" w:rsidR="00B269CF" w:rsidRDefault="00B269CF" w:rsidP="0039129B">
            <w:pPr>
              <w:spacing w:line="360" w:lineRule="auto"/>
              <w:jc w:val="center"/>
              <w:rPr>
                <w:lang w:val="en-US"/>
              </w:rPr>
            </w:pPr>
          </w:p>
          <w:p w14:paraId="5ED0647D" w14:textId="77777777" w:rsidR="00B269CF" w:rsidRDefault="00B269CF" w:rsidP="0039129B">
            <w:pPr>
              <w:spacing w:line="360" w:lineRule="auto"/>
              <w:jc w:val="center"/>
              <w:rPr>
                <w:b/>
                <w:bCs/>
                <w:lang w:val="en-US"/>
              </w:rPr>
            </w:pPr>
            <w:r>
              <w:rPr>
                <w:b/>
                <w:bCs/>
                <w:lang w:val="en-US"/>
              </w:rPr>
              <w:t>0.006</w:t>
            </w:r>
          </w:p>
          <w:p w14:paraId="7BABE75F" w14:textId="77777777" w:rsidR="00B269CF" w:rsidRPr="007051D1" w:rsidRDefault="00B269CF" w:rsidP="0039129B">
            <w:pPr>
              <w:spacing w:line="360" w:lineRule="auto"/>
              <w:jc w:val="center"/>
              <w:rPr>
                <w:lang w:val="en-US"/>
              </w:rPr>
            </w:pPr>
            <w:r w:rsidRPr="007051D1">
              <w:rPr>
                <w:lang w:val="en-US"/>
              </w:rPr>
              <w:t>0.47</w:t>
            </w:r>
          </w:p>
          <w:p w14:paraId="0CD83129" w14:textId="77777777" w:rsidR="00B269CF" w:rsidRPr="007051D1" w:rsidRDefault="00B269CF" w:rsidP="0039129B">
            <w:pPr>
              <w:spacing w:line="360" w:lineRule="auto"/>
              <w:jc w:val="center"/>
              <w:rPr>
                <w:lang w:val="en-US"/>
              </w:rPr>
            </w:pPr>
            <w:r w:rsidRPr="007051D1">
              <w:rPr>
                <w:lang w:val="en-US"/>
              </w:rPr>
              <w:t>0.73</w:t>
            </w:r>
          </w:p>
          <w:p w14:paraId="5CE298EE" w14:textId="77777777" w:rsidR="00B269CF" w:rsidRPr="007051D1" w:rsidRDefault="00B269CF" w:rsidP="0039129B">
            <w:pPr>
              <w:spacing w:line="360" w:lineRule="auto"/>
              <w:jc w:val="center"/>
              <w:rPr>
                <w:lang w:val="en-US"/>
              </w:rPr>
            </w:pPr>
            <w:r w:rsidRPr="007051D1">
              <w:rPr>
                <w:lang w:val="en-US"/>
              </w:rPr>
              <w:t>0.18</w:t>
            </w:r>
          </w:p>
          <w:p w14:paraId="7C11D4A6" w14:textId="77777777" w:rsidR="00B269CF" w:rsidRPr="007051D1" w:rsidRDefault="00B269CF" w:rsidP="0039129B">
            <w:pPr>
              <w:spacing w:line="360" w:lineRule="auto"/>
              <w:jc w:val="center"/>
              <w:rPr>
                <w:lang w:val="en-US"/>
              </w:rPr>
            </w:pPr>
            <w:r w:rsidRPr="007051D1">
              <w:rPr>
                <w:lang w:val="en-US"/>
              </w:rPr>
              <w:t>0.48</w:t>
            </w:r>
          </w:p>
          <w:p w14:paraId="5317DD9D" w14:textId="77777777" w:rsidR="00B269CF" w:rsidRPr="007051D1" w:rsidRDefault="00B269CF" w:rsidP="0039129B">
            <w:pPr>
              <w:spacing w:line="360" w:lineRule="auto"/>
              <w:jc w:val="center"/>
              <w:rPr>
                <w:b/>
                <w:bCs/>
                <w:lang w:val="en-US"/>
              </w:rPr>
            </w:pPr>
            <w:r w:rsidRPr="007051D1">
              <w:rPr>
                <w:b/>
                <w:bCs/>
                <w:lang w:val="en-US"/>
              </w:rPr>
              <w:t>&lt;0.0001</w:t>
            </w:r>
          </w:p>
        </w:tc>
      </w:tr>
    </w:tbl>
    <w:p w14:paraId="1CFDC2E0" w14:textId="77777777" w:rsidR="00B269CF" w:rsidRDefault="00B269CF" w:rsidP="00B269CF">
      <w:pPr>
        <w:spacing w:after="160" w:line="259" w:lineRule="auto"/>
        <w:rPr>
          <w:lang w:val="en-US"/>
        </w:rPr>
      </w:pPr>
      <w:r>
        <w:rPr>
          <w:lang w:val="en-US"/>
        </w:rPr>
        <w:br w:type="page"/>
      </w:r>
    </w:p>
    <w:p w14:paraId="5739D0D4"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CF"/>
    <w:rsid w:val="000C4033"/>
    <w:rsid w:val="00173ED8"/>
    <w:rsid w:val="002F50B1"/>
    <w:rsid w:val="004B42CB"/>
    <w:rsid w:val="005F2B46"/>
    <w:rsid w:val="006E1731"/>
    <w:rsid w:val="00857419"/>
    <w:rsid w:val="00866D74"/>
    <w:rsid w:val="00882A73"/>
    <w:rsid w:val="00906905"/>
    <w:rsid w:val="0095305D"/>
    <w:rsid w:val="00B10170"/>
    <w:rsid w:val="00B260B7"/>
    <w:rsid w:val="00B269CF"/>
    <w:rsid w:val="00B85331"/>
    <w:rsid w:val="00C94D66"/>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EF7D"/>
  <w15:chartTrackingRefBased/>
  <w15:docId w15:val="{8358CAE6-494E-4CF2-A71B-6A574DFD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CF"/>
    <w:pPr>
      <w:spacing w:after="0" w:line="240" w:lineRule="auto"/>
    </w:pPr>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B269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B269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B269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B269C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B269C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B269CF"/>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B269CF"/>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B269CF"/>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B269CF"/>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CF"/>
    <w:rPr>
      <w:rFonts w:eastAsiaTheme="majorEastAsia" w:cstheme="majorBidi"/>
      <w:color w:val="272727" w:themeColor="text1" w:themeTint="D8"/>
    </w:rPr>
  </w:style>
  <w:style w:type="paragraph" w:styleId="Title">
    <w:name w:val="Title"/>
    <w:basedOn w:val="Normal"/>
    <w:next w:val="Normal"/>
    <w:link w:val="TitleChar"/>
    <w:uiPriority w:val="10"/>
    <w:qFormat/>
    <w:rsid w:val="00B269CF"/>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B26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B26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CF"/>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B269CF"/>
    <w:rPr>
      <w:i/>
      <w:iCs/>
      <w:color w:val="404040" w:themeColor="text1" w:themeTint="BF"/>
    </w:rPr>
  </w:style>
  <w:style w:type="paragraph" w:styleId="ListParagraph">
    <w:name w:val="List Paragraph"/>
    <w:basedOn w:val="Normal"/>
    <w:uiPriority w:val="34"/>
    <w:qFormat/>
    <w:rsid w:val="00B269CF"/>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B269CF"/>
    <w:rPr>
      <w:i/>
      <w:iCs/>
      <w:color w:val="0F4761" w:themeColor="accent1" w:themeShade="BF"/>
    </w:rPr>
  </w:style>
  <w:style w:type="paragraph" w:styleId="IntenseQuote">
    <w:name w:val="Intense Quote"/>
    <w:basedOn w:val="Normal"/>
    <w:next w:val="Normal"/>
    <w:link w:val="IntenseQuoteChar"/>
    <w:uiPriority w:val="30"/>
    <w:qFormat/>
    <w:rsid w:val="00B269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B269CF"/>
    <w:rPr>
      <w:i/>
      <w:iCs/>
      <w:color w:val="0F4761" w:themeColor="accent1" w:themeShade="BF"/>
    </w:rPr>
  </w:style>
  <w:style w:type="character" w:styleId="IntenseReference">
    <w:name w:val="Intense Reference"/>
    <w:basedOn w:val="DefaultParagraphFont"/>
    <w:uiPriority w:val="32"/>
    <w:qFormat/>
    <w:rsid w:val="00B269CF"/>
    <w:rPr>
      <w:b/>
      <w:bCs/>
      <w:smallCaps/>
      <w:color w:val="0F4761" w:themeColor="accent1" w:themeShade="BF"/>
      <w:spacing w:val="5"/>
    </w:rPr>
  </w:style>
  <w:style w:type="table" w:styleId="TableGrid">
    <w:name w:val="Table Grid"/>
    <w:basedOn w:val="TableNormal"/>
    <w:uiPriority w:val="59"/>
    <w:rsid w:val="00B269CF"/>
    <w:pPr>
      <w:spacing w:after="0" w:line="240" w:lineRule="auto"/>
    </w:pPr>
    <w:rPr>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2026-07-15T07:39:00Z</dcterms:created>
  <dcterms:modified xsi:type="dcterms:W3CDTF">2026-07-15T07:41:00Z</dcterms:modified>
</cp:coreProperties>
</file>