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9EDF" w14:textId="77777777" w:rsidR="00B13804" w:rsidRDefault="000C72BE">
      <w:pPr>
        <w:spacing w:after="120"/>
        <w:jc w:val="center"/>
      </w:pPr>
      <w:r>
        <w:rPr>
          <w:rFonts w:eastAsia="Times New Roman"/>
          <w:b/>
          <w:bCs/>
          <w:sz w:val="32"/>
          <w:szCs w:val="32"/>
        </w:rPr>
        <w:t>Supplementary Methodological Documentation</w:t>
      </w:r>
    </w:p>
    <w:p w14:paraId="62219BB7" w14:textId="77777777" w:rsidR="00B13804" w:rsidRDefault="000C72BE">
      <w:pPr>
        <w:spacing w:after="80"/>
        <w:jc w:val="center"/>
      </w:pPr>
      <w:r>
        <w:rPr>
          <w:rFonts w:eastAsia="Times New Roman"/>
          <w:sz w:val="24"/>
          <w:szCs w:val="24"/>
        </w:rPr>
        <w:t>for</w:t>
      </w:r>
    </w:p>
    <w:p w14:paraId="3E5F98FE" w14:textId="77777777" w:rsidR="00B13804" w:rsidRDefault="000C72BE">
      <w:pPr>
        <w:spacing w:after="120"/>
        <w:jc w:val="center"/>
      </w:pPr>
      <w:r>
        <w:rPr>
          <w:rFonts w:eastAsia="Times New Roman"/>
          <w:i/>
          <w:iCs/>
          <w:sz w:val="24"/>
          <w:szCs w:val="24"/>
        </w:rPr>
        <w:t>Reconceptualizing the Automation–Augmentation Tension in AI-Enabled Talent Selection:</w:t>
      </w:r>
    </w:p>
    <w:p w14:paraId="46E49049" w14:textId="1FA1773D" w:rsidR="00B13804" w:rsidRDefault="000C72BE" w:rsidP="000C72BE">
      <w:pPr>
        <w:spacing w:after="240"/>
        <w:jc w:val="center"/>
      </w:pPr>
      <w:r>
        <w:rPr>
          <w:rFonts w:eastAsia="Times New Roman"/>
          <w:i/>
          <w:iCs/>
          <w:sz w:val="24"/>
          <w:szCs w:val="24"/>
        </w:rPr>
        <w:t>A Stage-Embedded Theory</w:t>
      </w:r>
    </w:p>
    <w:p w14:paraId="49802D8A" w14:textId="77777777" w:rsidR="00B13804" w:rsidRDefault="000C72BE">
      <w:pPr>
        <w:pStyle w:val="1"/>
        <w:spacing w:after="200"/>
      </w:pPr>
      <w:r>
        <w:t>1</w:t>
      </w:r>
      <w:r>
        <w:t>. Overview and Purpose of This Document</w:t>
      </w:r>
    </w:p>
    <w:p w14:paraId="555FEBFC" w14:textId="77777777" w:rsidR="00B13804" w:rsidRDefault="000C72BE">
      <w:pPr>
        <w:spacing w:after="160" w:line="276" w:lineRule="auto"/>
        <w:jc w:val="both"/>
      </w:pPr>
      <w:r>
        <w:rPr>
          <w:rFonts w:eastAsia="Times New Roman"/>
        </w:rPr>
        <w:t>This supplementary document provides comprehensive methodological documentation to support the editorial and peer review process. It details the data sources, analytical pro</w:t>
      </w:r>
      <w:r>
        <w:rPr>
          <w:rFonts w:eastAsia="Times New Roman"/>
        </w:rPr>
        <w:t>cedures, coding schemes, and verification strategies employed in the study. The document is organized to address each component requested by the editorial office, adapted to the qualitative, theory-building nature of the research.</w:t>
      </w:r>
    </w:p>
    <w:p w14:paraId="5BED0F1E" w14:textId="77777777" w:rsidR="00B13804" w:rsidRDefault="000C72BE">
      <w:pPr>
        <w:spacing w:after="160" w:line="276" w:lineRule="auto"/>
        <w:jc w:val="both"/>
      </w:pPr>
      <w:r>
        <w:rPr>
          <w:rFonts w:eastAsia="Times New Roman"/>
        </w:rPr>
        <w:t>As described in the manus</w:t>
      </w:r>
      <w:r>
        <w:rPr>
          <w:rFonts w:eastAsia="Times New Roman"/>
        </w:rPr>
        <w:t xml:space="preserve">cript (Section 3: Methodology), this study adopts a comparative, multi-case study design (Eisenhardt &amp; </w:t>
      </w:r>
      <w:proofErr w:type="spellStart"/>
      <w:r>
        <w:rPr>
          <w:rFonts w:eastAsia="Times New Roman"/>
        </w:rPr>
        <w:t>Graebner</w:t>
      </w:r>
      <w:proofErr w:type="spellEnd"/>
      <w:r>
        <w:rPr>
          <w:rFonts w:eastAsia="Times New Roman"/>
        </w:rPr>
        <w:t xml:space="preserve">, 2007; Yin, 2018) that relies entirely on publicly available secondary data sources. No primary data (e.g., interviews, surveys, or proprietary </w:t>
      </w:r>
      <w:r>
        <w:rPr>
          <w:rFonts w:eastAsia="Times New Roman"/>
        </w:rPr>
        <w:t>datasets) were collected. Consequently, the concepts of “raw datasets,” “variable definitions,” and “statistical code” are reinterpreted below in terms appropriate for qualitative case-based research, following established conventions in the field (</w:t>
      </w:r>
      <w:proofErr w:type="spellStart"/>
      <w:r>
        <w:rPr>
          <w:rFonts w:eastAsia="Times New Roman"/>
        </w:rPr>
        <w:t>Gioia</w:t>
      </w:r>
      <w:proofErr w:type="spellEnd"/>
      <w:r>
        <w:rPr>
          <w:rFonts w:eastAsia="Times New Roman"/>
        </w:rPr>
        <w:t xml:space="preserve">, </w:t>
      </w:r>
      <w:r>
        <w:rPr>
          <w:rFonts w:eastAsia="Times New Roman"/>
        </w:rPr>
        <w:t>Corley &amp; Hamilton, 2013; Pratt, Kaplan &amp; Whittington, 2020).</w:t>
      </w:r>
    </w:p>
    <w:p w14:paraId="3069D34E" w14:textId="77777777" w:rsidR="00B13804" w:rsidRDefault="000C72BE">
      <w:pPr>
        <w:pStyle w:val="1"/>
        <w:spacing w:after="200"/>
      </w:pPr>
      <w:r>
        <w:t>2. Data Sources and Materials (Raw Datasets)</w:t>
      </w:r>
    </w:p>
    <w:p w14:paraId="66DC3645" w14:textId="77777777" w:rsidR="00B13804" w:rsidRDefault="000C72BE">
      <w:pPr>
        <w:spacing w:after="160" w:line="276" w:lineRule="auto"/>
        <w:jc w:val="both"/>
      </w:pPr>
      <w:r>
        <w:rPr>
          <w:rFonts w:eastAsia="Times New Roman"/>
        </w:rPr>
        <w:t>In qualitative case-based research, the equivalent of “raw datasets” consists of the complete corpus of source materials from which analytical inferen</w:t>
      </w:r>
      <w:r>
        <w:rPr>
          <w:rFonts w:eastAsia="Times New Roman"/>
        </w:rPr>
        <w:t>ces are drawn. This study draws on six categories of publicly available secondary data, each serving a distinct analytical function. All sources are cited in the manuscript and listed in the Reference section.</w:t>
      </w:r>
    </w:p>
    <w:p w14:paraId="291AD43A" w14:textId="77777777" w:rsidR="00B13804" w:rsidRDefault="000C72BE">
      <w:pPr>
        <w:pStyle w:val="2"/>
        <w:spacing w:before="360"/>
      </w:pPr>
      <w:r>
        <w:t>2.1 Data Source Catalog</w:t>
      </w:r>
    </w:p>
    <w:p w14:paraId="054C82C6" w14:textId="77777777" w:rsidR="00B13804" w:rsidRDefault="000C72BE">
      <w:pPr>
        <w:spacing w:after="160" w:line="276" w:lineRule="auto"/>
        <w:jc w:val="both"/>
      </w:pPr>
      <w:r>
        <w:rPr>
          <w:rFonts w:eastAsia="Times New Roman"/>
        </w:rPr>
        <w:t>Table S1 provides a co</w:t>
      </w:r>
      <w:r>
        <w:rPr>
          <w:rFonts w:eastAsia="Times New Roman"/>
        </w:rPr>
        <w:t>mprehensive catalog of data source categories, their descriptions, access points, analytical functions, and selection criteria.</w:t>
      </w:r>
    </w:p>
    <w:p w14:paraId="6341A744" w14:textId="77777777" w:rsidR="00B13804" w:rsidRDefault="000C72BE">
      <w:pPr>
        <w:spacing w:after="80"/>
      </w:pPr>
      <w:r>
        <w:rPr>
          <w:rFonts w:eastAsia="Times New Roman"/>
          <w:b/>
          <w:bCs/>
          <w:i/>
          <w:iCs/>
          <w:sz w:val="20"/>
          <w:szCs w:val="20"/>
        </w:rPr>
        <w:t>Table S1. Comprehensive Data Source Catalog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000"/>
        <w:gridCol w:w="1700"/>
        <w:gridCol w:w="2200"/>
        <w:gridCol w:w="2580"/>
      </w:tblGrid>
      <w:tr w:rsidR="00B13804" w14:paraId="2EE6600D" w14:textId="77777777" w:rsidTr="000C72BE">
        <w:tblPrEx>
          <w:tblCellMar>
            <w:top w:w="0" w:type="dxa"/>
            <w:bottom w:w="0" w:type="dxa"/>
          </w:tblCellMar>
        </w:tblPrEx>
        <w:tc>
          <w:tcPr>
            <w:tcW w:w="16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68BAC487" w14:textId="77777777" w:rsidR="00B13804" w:rsidRDefault="000C72BE">
            <w:r>
              <w:rPr>
                <w:rFonts w:eastAsia="Times New Roman"/>
                <w:b/>
                <w:bCs/>
                <w:sz w:val="20"/>
                <w:szCs w:val="20"/>
              </w:rPr>
              <w:t>Source Category</w:t>
            </w:r>
          </w:p>
        </w:tc>
        <w:tc>
          <w:tcPr>
            <w:tcW w:w="20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60124D4D" w14:textId="77777777" w:rsidR="00B13804" w:rsidRDefault="000C72BE">
            <w:r>
              <w:rPr>
                <w:rFonts w:eastAsia="Times New Roman"/>
                <w:b/>
                <w:bCs/>
                <w:sz w:val="20"/>
                <w:szCs w:val="20"/>
              </w:rPr>
              <w:t>Description</w:t>
            </w:r>
          </w:p>
        </w:tc>
        <w:tc>
          <w:tcPr>
            <w:tcW w:w="17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392C7025" w14:textId="77777777" w:rsidR="00B13804" w:rsidRDefault="000C72BE">
            <w:r>
              <w:rPr>
                <w:rFonts w:eastAsia="Times New Roman"/>
                <w:b/>
                <w:bCs/>
                <w:sz w:val="20"/>
                <w:szCs w:val="20"/>
              </w:rPr>
              <w:t>Access</w:t>
            </w:r>
          </w:p>
        </w:tc>
        <w:tc>
          <w:tcPr>
            <w:tcW w:w="22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78D707DD" w14:textId="77777777" w:rsidR="00B13804" w:rsidRDefault="000C72BE">
            <w:r>
              <w:rPr>
                <w:rFonts w:eastAsia="Times New Roman"/>
                <w:b/>
                <w:bCs/>
                <w:sz w:val="20"/>
                <w:szCs w:val="20"/>
              </w:rPr>
              <w:t>Analytical Function</w:t>
            </w:r>
          </w:p>
        </w:tc>
        <w:tc>
          <w:tcPr>
            <w:tcW w:w="258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6C55B3FA" w14:textId="77777777" w:rsidR="00B13804" w:rsidRDefault="000C72BE">
            <w:r>
              <w:rPr>
                <w:rFonts w:eastAsia="Times New Roman"/>
                <w:b/>
                <w:bCs/>
                <w:sz w:val="20"/>
                <w:szCs w:val="20"/>
              </w:rPr>
              <w:t>Selection Criteria</w:t>
            </w:r>
          </w:p>
        </w:tc>
      </w:tr>
      <w:tr w:rsidR="00B13804" w14:paraId="3FD23BF5" w14:textId="77777777" w:rsidTr="000C72BE">
        <w:tblPrEx>
          <w:tblCellMar>
            <w:top w:w="0" w:type="dxa"/>
            <w:bottom w:w="0" w:type="dxa"/>
          </w:tblCellMar>
        </w:tblPrEx>
        <w:tc>
          <w:tcPr>
            <w:tcW w:w="16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FFB1A8" w14:textId="77777777" w:rsidR="00B13804" w:rsidRDefault="000C72BE">
            <w:pPr>
              <w:spacing w:after="40"/>
            </w:pPr>
            <w:r>
              <w:rPr>
                <w:rFonts w:eastAsia="Times New Roman"/>
                <w:sz w:val="20"/>
                <w:szCs w:val="20"/>
              </w:rPr>
              <w:t>Peer-reviewed academic publications</w:t>
            </w:r>
          </w:p>
        </w:tc>
        <w:tc>
          <w:tcPr>
            <w:tcW w:w="20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4F5931" w14:textId="77777777" w:rsidR="00B13804" w:rsidRDefault="000C72BE">
            <w:pPr>
              <w:spacing w:after="40"/>
            </w:pPr>
            <w:r>
              <w:rPr>
                <w:rFonts w:eastAsia="Times New Roman"/>
                <w:sz w:val="20"/>
                <w:szCs w:val="20"/>
              </w:rPr>
              <w:t>Published empirical and theoretical studies on AI in recruitment, algorithmic decision-making, human–AI collaboration, and personnel selection</w:t>
            </w:r>
          </w:p>
        </w:tc>
        <w:tc>
          <w:tcPr>
            <w:tcW w:w="17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1D7A80" w14:textId="77777777" w:rsidR="00B13804" w:rsidRDefault="000C72BE">
            <w:pPr>
              <w:spacing w:after="40"/>
            </w:pPr>
            <w:r>
              <w:rPr>
                <w:rFonts w:eastAsia="Times New Roman"/>
                <w:sz w:val="20"/>
                <w:szCs w:val="20"/>
              </w:rPr>
              <w:t>Academic databases (Web of Science, Scopus, Google Scholar)</w:t>
            </w:r>
          </w:p>
        </w:tc>
        <w:tc>
          <w:tcPr>
            <w:tcW w:w="22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F16834" w14:textId="77777777" w:rsidR="00B13804" w:rsidRDefault="000C72BE">
            <w:pPr>
              <w:spacing w:after="40"/>
            </w:pPr>
            <w:r>
              <w:rPr>
                <w:rFonts w:eastAsia="Times New Roman"/>
                <w:sz w:val="20"/>
                <w:szCs w:val="20"/>
              </w:rPr>
              <w:t>Theoretical grounding; empirical evidence of AI deplo</w:t>
            </w:r>
            <w:r>
              <w:rPr>
                <w:rFonts w:eastAsia="Times New Roman"/>
                <w:sz w:val="20"/>
                <w:szCs w:val="20"/>
              </w:rPr>
              <w:t>yment patterns; validation of constructs (e.g., task analyzability, algorithmic aversion)</w:t>
            </w:r>
          </w:p>
        </w:tc>
        <w:tc>
          <w:tcPr>
            <w:tcW w:w="258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37555B" w14:textId="77777777" w:rsidR="00B13804" w:rsidRDefault="000C72BE">
            <w:pPr>
              <w:spacing w:after="40"/>
            </w:pPr>
            <w:r>
              <w:rPr>
                <w:rFonts w:eastAsia="Times New Roman"/>
                <w:sz w:val="20"/>
                <w:szCs w:val="20"/>
              </w:rPr>
              <w:t>Studies selected based on relevance to AI-enabled recruitment across identified stages; inclusion required explicit discussion of AI configuration, outcomes, or gover</w:t>
            </w:r>
            <w:r>
              <w:rPr>
                <w:rFonts w:eastAsia="Times New Roman"/>
                <w:sz w:val="20"/>
                <w:szCs w:val="20"/>
              </w:rPr>
              <w:t>nance mechanisms</w:t>
            </w:r>
          </w:p>
        </w:tc>
      </w:tr>
      <w:tr w:rsidR="00B13804" w14:paraId="186F0DBD"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52ECCF" w14:textId="77777777" w:rsidR="00B13804" w:rsidRDefault="000C72BE">
            <w:pPr>
              <w:spacing w:after="40"/>
            </w:pPr>
            <w:r>
              <w:rPr>
                <w:rFonts w:eastAsia="Times New Roman"/>
                <w:sz w:val="20"/>
                <w:szCs w:val="20"/>
              </w:rPr>
              <w:t>Practitioner and industry research reports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53B3FE" w14:textId="77777777" w:rsidR="00B13804" w:rsidRDefault="000C72BE">
            <w:pPr>
              <w:spacing w:after="40"/>
            </w:pPr>
            <w:r>
              <w:rPr>
                <w:rFonts w:eastAsia="Times New Roman"/>
                <w:sz w:val="20"/>
                <w:szCs w:val="20"/>
              </w:rPr>
              <w:t xml:space="preserve">Reports from HR technology research firms, consulting organizations, and </w:t>
            </w:r>
            <w:r>
              <w:rPr>
                <w:rFonts w:eastAsia="Times New Roman"/>
                <w:sz w:val="20"/>
                <w:szCs w:val="20"/>
              </w:rPr>
              <w:lastRenderedPageBreak/>
              <w:t>professional associations documenting AI adoption trends and outcomes</w:t>
            </w:r>
          </w:p>
        </w:tc>
        <w:tc>
          <w:tcPr>
            <w:tcW w:w="17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2CD53D" w14:textId="77777777" w:rsidR="00B13804" w:rsidRDefault="000C72BE">
            <w:pPr>
              <w:spacing w:after="40"/>
            </w:pPr>
            <w:r>
              <w:rPr>
                <w:rFonts w:eastAsia="Times New Roman"/>
                <w:sz w:val="20"/>
                <w:szCs w:val="20"/>
              </w:rPr>
              <w:lastRenderedPageBreak/>
              <w:t xml:space="preserve">Publicly accessible reports from organizations such </w:t>
            </w:r>
            <w:r>
              <w:rPr>
                <w:rFonts w:eastAsia="Times New Roman"/>
                <w:sz w:val="20"/>
                <w:szCs w:val="20"/>
              </w:rPr>
              <w:lastRenderedPageBreak/>
              <w:t>as SHRM, Deloitte, McKinsey, and HR technology vendors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FD6750" w14:textId="77777777" w:rsidR="00B13804" w:rsidRDefault="000C72BE">
            <w:pPr>
              <w:spacing w:after="40"/>
            </w:pPr>
            <w:r>
              <w:rPr>
                <w:rFonts w:eastAsia="Times New Roman"/>
                <w:sz w:val="20"/>
                <w:szCs w:val="20"/>
              </w:rPr>
              <w:lastRenderedPageBreak/>
              <w:t>Quanti</w:t>
            </w:r>
            <w:r>
              <w:rPr>
                <w:rFonts w:eastAsia="Times New Roman"/>
                <w:sz w:val="20"/>
                <w:szCs w:val="20"/>
              </w:rPr>
              <w:t xml:space="preserve">fied outcome data (e.g., time-to-hire reduction, applicant volume metrics); </w:t>
            </w:r>
            <w:r>
              <w:rPr>
                <w:rFonts w:eastAsia="Times New Roman"/>
                <w:sz w:val="20"/>
                <w:szCs w:val="20"/>
              </w:rPr>
              <w:lastRenderedPageBreak/>
              <w:t>practitioner perspectives on AI deployment challenges</w:t>
            </w:r>
          </w:p>
        </w:tc>
        <w:tc>
          <w:tcPr>
            <w:tcW w:w="25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716652" w14:textId="77777777" w:rsidR="00B13804" w:rsidRDefault="000C72BE">
            <w:pPr>
              <w:spacing w:after="40"/>
            </w:pPr>
            <w:r>
              <w:rPr>
                <w:rFonts w:eastAsia="Times New Roman"/>
                <w:sz w:val="20"/>
                <w:szCs w:val="20"/>
              </w:rPr>
              <w:lastRenderedPageBreak/>
              <w:t xml:space="preserve">Prioritized reports with verifiable data points and transparent methodology; cross-referenced with </w:t>
            </w:r>
            <w:r>
              <w:rPr>
                <w:rFonts w:eastAsia="Times New Roman"/>
                <w:sz w:val="20"/>
                <w:szCs w:val="20"/>
              </w:rPr>
              <w:lastRenderedPageBreak/>
              <w:t>academic sources for triang</w:t>
            </w:r>
            <w:r>
              <w:rPr>
                <w:rFonts w:eastAsia="Times New Roman"/>
                <w:sz w:val="20"/>
                <w:szCs w:val="20"/>
              </w:rPr>
              <w:t>ulation</w:t>
            </w:r>
          </w:p>
        </w:tc>
      </w:tr>
      <w:tr w:rsidR="00B13804" w14:paraId="24B51127"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6EDD1B" w14:textId="77777777" w:rsidR="00B13804" w:rsidRDefault="000C72BE">
            <w:pPr>
              <w:spacing w:after="40"/>
            </w:pPr>
            <w:r>
              <w:rPr>
                <w:rFonts w:eastAsia="Times New Roman"/>
                <w:sz w:val="20"/>
                <w:szCs w:val="20"/>
              </w:rPr>
              <w:lastRenderedPageBreak/>
              <w:t>Corporate disclosures and press releases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253FA7" w14:textId="77777777" w:rsidR="00B13804" w:rsidRDefault="000C72BE">
            <w:pPr>
              <w:spacing w:after="40"/>
            </w:pPr>
            <w:r>
              <w:rPr>
                <w:rFonts w:eastAsia="Times New Roman"/>
                <w:sz w:val="20"/>
                <w:szCs w:val="20"/>
              </w:rPr>
              <w:t>Official organizational communications regarding AI recruitment tool deployment, modification, or discontinuation</w:t>
            </w:r>
          </w:p>
        </w:tc>
        <w:tc>
          <w:tcPr>
            <w:tcW w:w="17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07EAC4" w14:textId="77777777" w:rsidR="00B13804" w:rsidRDefault="000C72BE">
            <w:pPr>
              <w:spacing w:after="40"/>
            </w:pPr>
            <w:r>
              <w:rPr>
                <w:rFonts w:eastAsia="Times New Roman"/>
                <w:sz w:val="20"/>
                <w:szCs w:val="20"/>
              </w:rPr>
              <w:t xml:space="preserve">Corporate websites, investor relations pages, official blog posts (e.g., IBM Think, </w:t>
            </w:r>
            <w:proofErr w:type="spellStart"/>
            <w:r>
              <w:rPr>
                <w:rFonts w:eastAsia="Times New Roman"/>
                <w:sz w:val="20"/>
                <w:szCs w:val="20"/>
              </w:rPr>
              <w:t>HackerRa</w:t>
            </w:r>
            <w:r>
              <w:rPr>
                <w:rFonts w:eastAsia="Times New Roman"/>
                <w:sz w:val="20"/>
                <w:szCs w:val="20"/>
              </w:rPr>
              <w:t>nk</w:t>
            </w:r>
            <w:proofErr w:type="spellEnd"/>
            <w:r>
              <w:rPr>
                <w:rFonts w:eastAsia="Times New Roman"/>
                <w:sz w:val="20"/>
                <w:szCs w:val="20"/>
              </w:rPr>
              <w:t xml:space="preserve"> Blog)</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C66036" w14:textId="77777777" w:rsidR="00B13804" w:rsidRDefault="000C72BE">
            <w:pPr>
              <w:spacing w:after="40"/>
            </w:pPr>
            <w:r>
              <w:rPr>
                <w:rFonts w:eastAsia="Times New Roman"/>
                <w:sz w:val="20"/>
                <w:szCs w:val="20"/>
              </w:rPr>
              <w:t>Direct evidence of organizational decisions regarding AI configuration; stated rationales for adoption or withdrawal</w:t>
            </w:r>
          </w:p>
        </w:tc>
        <w:tc>
          <w:tcPr>
            <w:tcW w:w="25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65A699" w14:textId="77777777" w:rsidR="00B13804" w:rsidRDefault="000C72BE">
            <w:pPr>
              <w:spacing w:after="40"/>
            </w:pPr>
            <w:r>
              <w:rPr>
                <w:rFonts w:eastAsia="Times New Roman"/>
                <w:sz w:val="20"/>
                <w:szCs w:val="20"/>
              </w:rPr>
              <w:t>Included only disclosures from organizations meeting case selection criteria; verified against independent third-party reporting</w:t>
            </w:r>
          </w:p>
        </w:tc>
      </w:tr>
      <w:tr w:rsidR="00B13804" w14:paraId="2C672DFE"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5FC947" w14:textId="77777777" w:rsidR="00B13804" w:rsidRDefault="000C72BE">
            <w:pPr>
              <w:spacing w:after="40"/>
            </w:pPr>
            <w:r>
              <w:rPr>
                <w:rFonts w:eastAsia="Times New Roman"/>
                <w:sz w:val="20"/>
                <w:szCs w:val="20"/>
              </w:rPr>
              <w:t>Regulatory filings and legal documents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B986E7" w14:textId="77777777" w:rsidR="00B13804" w:rsidRDefault="000C72BE">
            <w:pPr>
              <w:spacing w:after="40"/>
            </w:pPr>
            <w:r>
              <w:rPr>
                <w:rFonts w:eastAsia="Times New Roman"/>
                <w:sz w:val="20"/>
                <w:szCs w:val="20"/>
              </w:rPr>
              <w:t>Government regulations, audit requirements, and legal proceedings pertaining to AI in employment decisions</w:t>
            </w:r>
          </w:p>
        </w:tc>
        <w:tc>
          <w:tcPr>
            <w:tcW w:w="17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792B28" w14:textId="77777777" w:rsidR="00B13804" w:rsidRDefault="000C72BE">
            <w:pPr>
              <w:spacing w:after="40"/>
            </w:pPr>
            <w:r>
              <w:rPr>
                <w:rFonts w:eastAsia="Times New Roman"/>
                <w:sz w:val="20"/>
                <w:szCs w:val="20"/>
              </w:rPr>
              <w:t>Public regulatory databases; legislative records (e.g., GDPR Article 22, NYC Local Law 144); court filings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794BD5" w14:textId="77777777" w:rsidR="00B13804" w:rsidRDefault="000C72BE">
            <w:pPr>
              <w:spacing w:after="40"/>
            </w:pPr>
            <w:r>
              <w:rPr>
                <w:rFonts w:eastAsia="Times New Roman"/>
                <w:sz w:val="20"/>
                <w:szCs w:val="20"/>
              </w:rPr>
              <w:t>Institutional accountability requirements; legal constraints on automation; regulatory triggers for re-augmentation</w:t>
            </w:r>
          </w:p>
        </w:tc>
        <w:tc>
          <w:tcPr>
            <w:tcW w:w="25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5F3453" w14:textId="77777777" w:rsidR="00B13804" w:rsidRDefault="000C72BE">
            <w:pPr>
              <w:spacing w:after="40"/>
            </w:pPr>
            <w:r>
              <w:rPr>
                <w:rFonts w:eastAsia="Times New Roman"/>
                <w:sz w:val="20"/>
                <w:szCs w:val="20"/>
              </w:rPr>
              <w:t>Focused on regulations directly g</w:t>
            </w:r>
            <w:r>
              <w:rPr>
                <w:rFonts w:eastAsia="Times New Roman"/>
                <w:sz w:val="20"/>
                <w:szCs w:val="20"/>
              </w:rPr>
              <w:t>overning AI use in recruitment/selection contexts</w:t>
            </w:r>
          </w:p>
        </w:tc>
      </w:tr>
      <w:tr w:rsidR="00B13804" w14:paraId="243AE634"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5C3AF3" w14:textId="77777777" w:rsidR="00B13804" w:rsidRDefault="000C72BE">
            <w:pPr>
              <w:spacing w:after="40"/>
            </w:pPr>
            <w:r>
              <w:rPr>
                <w:rFonts w:eastAsia="Times New Roman"/>
                <w:sz w:val="20"/>
                <w:szCs w:val="20"/>
              </w:rPr>
              <w:t>Technology vendor documentation</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4E2F4E" w14:textId="77777777" w:rsidR="00B13804" w:rsidRDefault="000C72BE">
            <w:pPr>
              <w:spacing w:after="40"/>
            </w:pPr>
            <w:r>
              <w:rPr>
                <w:rFonts w:eastAsia="Times New Roman"/>
                <w:sz w:val="20"/>
                <w:szCs w:val="20"/>
              </w:rPr>
              <w:t>Technical specifications, product descriptions, and implementation guides from AI recruitment technology providers</w:t>
            </w:r>
          </w:p>
        </w:tc>
        <w:tc>
          <w:tcPr>
            <w:tcW w:w="17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799190" w14:textId="77777777" w:rsidR="00B13804" w:rsidRDefault="000C72BE">
            <w:pPr>
              <w:spacing w:after="40"/>
            </w:pPr>
            <w:r>
              <w:rPr>
                <w:rFonts w:eastAsia="Times New Roman"/>
                <w:sz w:val="20"/>
                <w:szCs w:val="20"/>
              </w:rPr>
              <w:t>Vendor websites, product documentation, API references (e.</w:t>
            </w:r>
            <w:r>
              <w:rPr>
                <w:rFonts w:eastAsia="Times New Roman"/>
                <w:sz w:val="20"/>
                <w:szCs w:val="20"/>
              </w:rPr>
              <w:t xml:space="preserve">g., </w:t>
            </w:r>
            <w:proofErr w:type="spellStart"/>
            <w:r>
              <w:rPr>
                <w:rFonts w:eastAsia="Times New Roman"/>
                <w:sz w:val="20"/>
                <w:szCs w:val="20"/>
              </w:rPr>
              <w:t>HireVue</w:t>
            </w:r>
            <w:proofErr w:type="spellEnd"/>
            <w:r>
              <w:rPr>
                <w:rFonts w:eastAsia="Times New Roman"/>
                <w:sz w:val="20"/>
                <w:szCs w:val="20"/>
              </w:rPr>
              <w:t xml:space="preserve">, </w:t>
            </w:r>
            <w:proofErr w:type="spellStart"/>
            <w:r>
              <w:rPr>
                <w:rFonts w:eastAsia="Times New Roman"/>
                <w:sz w:val="20"/>
                <w:szCs w:val="20"/>
              </w:rPr>
              <w:t>Pymetrics</w:t>
            </w:r>
            <w:proofErr w:type="spellEnd"/>
            <w:r>
              <w:rPr>
                <w:rFonts w:eastAsia="Times New Roman"/>
                <w:sz w:val="20"/>
                <w:szCs w:val="20"/>
              </w:rPr>
              <w:t xml:space="preserve">, Eightfold AI, </w:t>
            </w:r>
            <w:proofErr w:type="spellStart"/>
            <w:r>
              <w:rPr>
                <w:rFonts w:eastAsia="Times New Roman"/>
                <w:sz w:val="20"/>
                <w:szCs w:val="20"/>
              </w:rPr>
              <w:t>Textio</w:t>
            </w:r>
            <w:proofErr w:type="spellEnd"/>
            <w:r>
              <w:rPr>
                <w:rFonts w:eastAsia="Times New Roman"/>
                <w:sz w:val="20"/>
                <w:szCs w:val="20"/>
              </w:rPr>
              <w:t>)</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D20D10" w14:textId="77777777" w:rsidR="00B13804" w:rsidRDefault="000C72BE">
            <w:pPr>
              <w:spacing w:after="40"/>
            </w:pPr>
            <w:r>
              <w:rPr>
                <w:rFonts w:eastAsia="Times New Roman"/>
                <w:sz w:val="20"/>
                <w:szCs w:val="20"/>
              </w:rPr>
              <w:t>Technical capabilities and limitations of AI systems; design choices reflecting automation vs. augmentation orientations</w:t>
            </w:r>
          </w:p>
        </w:tc>
        <w:tc>
          <w:tcPr>
            <w:tcW w:w="25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4C1126" w14:textId="77777777" w:rsidR="00B13804" w:rsidRDefault="000C72BE">
            <w:pPr>
              <w:spacing w:after="40"/>
            </w:pPr>
            <w:r>
              <w:rPr>
                <w:rFonts w:eastAsia="Times New Roman"/>
                <w:sz w:val="20"/>
                <w:szCs w:val="20"/>
              </w:rPr>
              <w:t>Assessed for alignment between vendor claims and independently reported outcomes</w:t>
            </w:r>
          </w:p>
        </w:tc>
      </w:tr>
      <w:tr w:rsidR="00B13804" w14:paraId="1FA54C79"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9E1510" w14:textId="77777777" w:rsidR="00B13804" w:rsidRDefault="000C72BE">
            <w:pPr>
              <w:spacing w:after="40"/>
            </w:pPr>
            <w:r>
              <w:rPr>
                <w:rFonts w:eastAsia="Times New Roman"/>
                <w:sz w:val="20"/>
                <w:szCs w:val="20"/>
              </w:rPr>
              <w:t>Credibl</w:t>
            </w:r>
            <w:r>
              <w:rPr>
                <w:rFonts w:eastAsia="Times New Roman"/>
                <w:sz w:val="20"/>
                <w:szCs w:val="20"/>
              </w:rPr>
              <w:t>e journalistic investigations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9AB4D3" w14:textId="77777777" w:rsidR="00B13804" w:rsidRDefault="000C72BE">
            <w:pPr>
              <w:spacing w:after="40"/>
            </w:pPr>
            <w:r>
              <w:rPr>
                <w:rFonts w:eastAsia="Times New Roman"/>
                <w:sz w:val="20"/>
                <w:szCs w:val="20"/>
              </w:rPr>
              <w:t>In-depth reporting by established news organizations on AI recruitment practices, controversies, and organizational responses</w:t>
            </w:r>
          </w:p>
        </w:tc>
        <w:tc>
          <w:tcPr>
            <w:tcW w:w="17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17A400" w14:textId="77777777" w:rsidR="00B13804" w:rsidRDefault="000C72BE">
            <w:pPr>
              <w:spacing w:after="40"/>
            </w:pPr>
            <w:r>
              <w:rPr>
                <w:rFonts w:eastAsia="Times New Roman"/>
                <w:sz w:val="20"/>
                <w:szCs w:val="20"/>
              </w:rPr>
              <w:t>Major news outlets (e.g., Reuters, Forbes, The Wall Street Journal, The New York Times)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4FB57F3" w14:textId="77777777" w:rsidR="00B13804" w:rsidRDefault="000C72BE">
            <w:pPr>
              <w:spacing w:after="40"/>
            </w:pPr>
            <w:r>
              <w:rPr>
                <w:rFonts w:eastAsia="Times New Roman"/>
                <w:sz w:val="20"/>
                <w:szCs w:val="20"/>
              </w:rPr>
              <w:t>Critical inc</w:t>
            </w:r>
            <w:r>
              <w:rPr>
                <w:rFonts w:eastAsia="Times New Roman"/>
                <w:sz w:val="20"/>
                <w:szCs w:val="20"/>
              </w:rPr>
              <w:t>idents (e.g., Amazon bias case); organizational responses to legitimacy challenges; public discourse on AI fairness</w:t>
            </w:r>
          </w:p>
        </w:tc>
        <w:tc>
          <w:tcPr>
            <w:tcW w:w="25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69EC90" w14:textId="77777777" w:rsidR="00B13804" w:rsidRDefault="000C72BE">
            <w:pPr>
              <w:spacing w:after="40"/>
            </w:pPr>
            <w:r>
              <w:rPr>
                <w:rFonts w:eastAsia="Times New Roman"/>
                <w:sz w:val="20"/>
                <w:szCs w:val="20"/>
              </w:rPr>
              <w:t>Included only reporting from established, editorially vetted outlets; cross-verified facts across multiple sources</w:t>
            </w:r>
          </w:p>
        </w:tc>
      </w:tr>
    </w:tbl>
    <w:p w14:paraId="2373709C" w14:textId="77777777" w:rsidR="00B13804" w:rsidRDefault="000C72BE">
      <w:pPr>
        <w:pStyle w:val="2"/>
        <w:spacing w:before="360"/>
      </w:pPr>
      <w:r>
        <w:t>2.2 Data Accessibility Statement</w:t>
      </w:r>
    </w:p>
    <w:p w14:paraId="1EB3E26C" w14:textId="77777777" w:rsidR="00B13804" w:rsidRDefault="000C72BE">
      <w:pPr>
        <w:spacing w:after="160" w:line="276" w:lineRule="auto"/>
        <w:jc w:val="both"/>
      </w:pPr>
      <w:r>
        <w:rPr>
          <w:rFonts w:eastAsia="Times New Roman"/>
        </w:rPr>
        <w:t>All data sources used in this study are publicly available. Peer-reviewed articles are accessible through standard academic databases (Web of Science, Scopus, Google Scholar). Corporate disclosures, regulatory documents, an</w:t>
      </w:r>
      <w:r>
        <w:rPr>
          <w:rFonts w:eastAsia="Times New Roman"/>
        </w:rPr>
        <w:t>d journalistic reports are accessible through the URLs and citations provided in the Reference section of the manuscript. No restricted, proprietary, or confidential data were used at any stage of the research. Reviewers and editors may access and verify a</w:t>
      </w:r>
      <w:r>
        <w:rPr>
          <w:rFonts w:eastAsia="Times New Roman"/>
        </w:rPr>
        <w:t>ll source materials through the citations provided.</w:t>
      </w:r>
    </w:p>
    <w:p w14:paraId="7602033A" w14:textId="77777777" w:rsidR="00B13804" w:rsidRDefault="000C72BE">
      <w:pPr>
        <w:pStyle w:val="1"/>
        <w:spacing w:after="200"/>
      </w:pPr>
      <w:r>
        <w:t>3. Variable Definitions, Coding Scheme, and Transformations</w:t>
      </w:r>
    </w:p>
    <w:p w14:paraId="4642B88A" w14:textId="77777777" w:rsidR="00B13804" w:rsidRDefault="000C72BE">
      <w:pPr>
        <w:spacing w:after="160" w:line="276" w:lineRule="auto"/>
        <w:jc w:val="both"/>
      </w:pPr>
      <w:r>
        <w:rPr>
          <w:rFonts w:eastAsia="Times New Roman"/>
        </w:rPr>
        <w:t xml:space="preserve">In qualitative research, “variable definitions” correspond to the analytical constructs and coding categories through which empirical materials </w:t>
      </w:r>
      <w:r>
        <w:rPr>
          <w:rFonts w:eastAsia="Times New Roman"/>
        </w:rPr>
        <w:t xml:space="preserve">are systematically interpreted. This study employed an iterative coding process informed by the </w:t>
      </w:r>
      <w:proofErr w:type="spellStart"/>
      <w:r>
        <w:rPr>
          <w:rFonts w:eastAsia="Times New Roman"/>
        </w:rPr>
        <w:t>Gioia</w:t>
      </w:r>
      <w:proofErr w:type="spellEnd"/>
      <w:r>
        <w:rPr>
          <w:rFonts w:eastAsia="Times New Roman"/>
        </w:rPr>
        <w:t xml:space="preserve"> methodology (</w:t>
      </w:r>
      <w:proofErr w:type="spellStart"/>
      <w:r>
        <w:rPr>
          <w:rFonts w:eastAsia="Times New Roman"/>
        </w:rPr>
        <w:t>Gioia</w:t>
      </w:r>
      <w:proofErr w:type="spellEnd"/>
      <w:r>
        <w:rPr>
          <w:rFonts w:eastAsia="Times New Roman"/>
        </w:rPr>
        <w:t xml:space="preserve">, Corley &amp; Hamilton, 2013), moving from open coding of source materials to </w:t>
      </w:r>
      <w:r>
        <w:rPr>
          <w:rFonts w:eastAsia="Times New Roman"/>
        </w:rPr>
        <w:lastRenderedPageBreak/>
        <w:t xml:space="preserve">theory-informed categorization and, ultimately, to aggregate </w:t>
      </w:r>
      <w:r>
        <w:rPr>
          <w:rFonts w:eastAsia="Times New Roman"/>
        </w:rPr>
        <w:t>theoretical dimensions.</w:t>
      </w:r>
    </w:p>
    <w:p w14:paraId="08AE5257" w14:textId="77777777" w:rsidR="00B13804" w:rsidRDefault="000C72BE">
      <w:pPr>
        <w:pStyle w:val="2"/>
        <w:spacing w:before="360"/>
      </w:pPr>
      <w:r>
        <w:t>3.1 Coding Scheme</w:t>
      </w:r>
    </w:p>
    <w:p w14:paraId="22997CAB" w14:textId="77777777" w:rsidR="00B13804" w:rsidRDefault="000C72BE">
      <w:pPr>
        <w:spacing w:after="160" w:line="276" w:lineRule="auto"/>
        <w:jc w:val="both"/>
      </w:pPr>
      <w:r>
        <w:rPr>
          <w:rFonts w:eastAsia="Times New Roman"/>
        </w:rPr>
        <w:t>Table S2 presents the complete coding scheme used in the analysis, including all first-order codes, second-order categories, the coding stage at which each was applied, and operational definitions.</w:t>
      </w:r>
    </w:p>
    <w:p w14:paraId="75507446" w14:textId="77777777" w:rsidR="00B13804" w:rsidRDefault="000C72BE">
      <w:pPr>
        <w:spacing w:after="80"/>
      </w:pPr>
      <w:r>
        <w:rPr>
          <w:rFonts w:eastAsia="Times New Roman"/>
          <w:b/>
          <w:bCs/>
          <w:i/>
          <w:iCs/>
          <w:sz w:val="20"/>
          <w:szCs w:val="20"/>
        </w:rPr>
        <w:t>Table S2. Comple</w:t>
      </w:r>
      <w:r>
        <w:rPr>
          <w:rFonts w:eastAsia="Times New Roman"/>
          <w:b/>
          <w:bCs/>
          <w:i/>
          <w:iCs/>
          <w:sz w:val="20"/>
          <w:szCs w:val="20"/>
        </w:rPr>
        <w:t>te Coding Scheme with Operational Definitions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400"/>
        <w:gridCol w:w="2000"/>
        <w:gridCol w:w="3680"/>
      </w:tblGrid>
      <w:tr w:rsidR="00B13804" w14:paraId="66D5540C" w14:textId="77777777" w:rsidTr="000C72BE">
        <w:tblPrEx>
          <w:tblCellMar>
            <w:top w:w="0" w:type="dxa"/>
            <w:bottom w:w="0" w:type="dxa"/>
          </w:tblCellMar>
        </w:tblPrEx>
        <w:tc>
          <w:tcPr>
            <w:tcW w:w="20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2A899E90" w14:textId="77777777" w:rsidR="00B13804" w:rsidRDefault="000C72BE">
            <w:r>
              <w:rPr>
                <w:rFonts w:eastAsia="Times New Roman"/>
                <w:b/>
                <w:bCs/>
                <w:sz w:val="20"/>
                <w:szCs w:val="20"/>
              </w:rPr>
              <w:t>Code / Category</w:t>
            </w:r>
          </w:p>
        </w:tc>
        <w:tc>
          <w:tcPr>
            <w:tcW w:w="24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7C94BAF9" w14:textId="77777777" w:rsidR="00B13804" w:rsidRDefault="000C72BE">
            <w:r>
              <w:rPr>
                <w:rFonts w:eastAsia="Times New Roman"/>
                <w:b/>
                <w:bCs/>
                <w:sz w:val="20"/>
                <w:szCs w:val="20"/>
              </w:rPr>
              <w:t>Definition</w:t>
            </w:r>
          </w:p>
        </w:tc>
        <w:tc>
          <w:tcPr>
            <w:tcW w:w="20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70D5D94A" w14:textId="77777777" w:rsidR="00B13804" w:rsidRDefault="000C72BE">
            <w:r>
              <w:rPr>
                <w:rFonts w:eastAsia="Times New Roman"/>
                <w:b/>
                <w:bCs/>
                <w:sz w:val="20"/>
                <w:szCs w:val="20"/>
              </w:rPr>
              <w:t>Coding Stage</w:t>
            </w:r>
          </w:p>
        </w:tc>
        <w:tc>
          <w:tcPr>
            <w:tcW w:w="368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56FDEF62" w14:textId="77777777" w:rsidR="00B13804" w:rsidRDefault="000C72BE">
            <w:r>
              <w:rPr>
                <w:rFonts w:eastAsia="Times New Roman"/>
                <w:b/>
                <w:bCs/>
                <w:sz w:val="20"/>
                <w:szCs w:val="20"/>
              </w:rPr>
              <w:t>Operational Specification</w:t>
            </w:r>
          </w:p>
        </w:tc>
      </w:tr>
      <w:tr w:rsidR="00B13804" w14:paraId="19D64019" w14:textId="77777777" w:rsidTr="000C72BE">
        <w:tblPrEx>
          <w:tblCellMar>
            <w:top w:w="0" w:type="dxa"/>
            <w:bottom w:w="0" w:type="dxa"/>
          </w:tblCellMar>
        </w:tblPrEx>
        <w:tc>
          <w:tcPr>
            <w:tcW w:w="20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1063B36" w14:textId="77777777" w:rsidR="00B13804" w:rsidRDefault="000C72BE">
            <w:pPr>
              <w:spacing w:after="40"/>
            </w:pPr>
            <w:r>
              <w:rPr>
                <w:rFonts w:eastAsia="Times New Roman"/>
                <w:sz w:val="20"/>
                <w:szCs w:val="20"/>
              </w:rPr>
              <w:t>AI functionality references</w:t>
            </w:r>
          </w:p>
        </w:tc>
        <w:tc>
          <w:tcPr>
            <w:tcW w:w="24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1A3AD9" w14:textId="77777777" w:rsidR="00B13804" w:rsidRDefault="000C72BE">
            <w:pPr>
              <w:spacing w:after="40"/>
            </w:pPr>
            <w:r>
              <w:rPr>
                <w:rFonts w:eastAsia="Times New Roman"/>
                <w:sz w:val="20"/>
                <w:szCs w:val="20"/>
              </w:rPr>
              <w:t>Descriptions of what the AI system does in each recruitment stage</w:t>
            </w:r>
          </w:p>
        </w:tc>
        <w:tc>
          <w:tcPr>
            <w:tcW w:w="20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503B1A" w14:textId="77777777" w:rsidR="00B13804" w:rsidRDefault="000C72BE">
            <w:pPr>
              <w:spacing w:after="40"/>
            </w:pPr>
            <w:r>
              <w:rPr>
                <w:rFonts w:eastAsia="Times New Roman"/>
                <w:sz w:val="20"/>
                <w:szCs w:val="20"/>
              </w:rPr>
              <w:t>Open coding</w:t>
            </w:r>
          </w:p>
        </w:tc>
        <w:tc>
          <w:tcPr>
            <w:tcW w:w="368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F8049F" w14:textId="77777777" w:rsidR="00B13804" w:rsidRDefault="000C72BE">
            <w:pPr>
              <w:spacing w:after="40"/>
            </w:pPr>
            <w:r>
              <w:rPr>
                <w:rFonts w:eastAsia="Times New Roman"/>
                <w:sz w:val="20"/>
                <w:szCs w:val="20"/>
              </w:rPr>
              <w:t>Identified specific AI tasks: resume parsing, game-based assessment, video analysis, automated scheduling, predictive scoring</w:t>
            </w:r>
          </w:p>
        </w:tc>
      </w:tr>
      <w:tr w:rsidR="00B13804" w14:paraId="14868780"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65CDFB" w14:textId="77777777" w:rsidR="00B13804" w:rsidRDefault="000C72BE">
            <w:pPr>
              <w:spacing w:after="40"/>
            </w:pPr>
            <w:r>
              <w:rPr>
                <w:rFonts w:eastAsia="Times New Roman"/>
                <w:sz w:val="20"/>
                <w:szCs w:val="20"/>
              </w:rPr>
              <w:t>Decision process descriptors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9BFA4A" w14:textId="77777777" w:rsidR="00B13804" w:rsidRDefault="000C72BE">
            <w:pPr>
              <w:spacing w:after="40"/>
            </w:pPr>
            <w:r>
              <w:rPr>
                <w:rFonts w:eastAsia="Times New Roman"/>
                <w:sz w:val="20"/>
                <w:szCs w:val="20"/>
              </w:rPr>
              <w:t>How decisions are structured—who/what makes, recommends, or overrides decisions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DDB622" w14:textId="77777777" w:rsidR="00B13804" w:rsidRDefault="000C72BE">
            <w:pPr>
              <w:spacing w:after="40"/>
            </w:pPr>
            <w:r>
              <w:rPr>
                <w:rFonts w:eastAsia="Times New Roman"/>
                <w:sz w:val="20"/>
                <w:szCs w:val="20"/>
              </w:rPr>
              <w:t>Open coding</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A11A9B" w14:textId="77777777" w:rsidR="00B13804" w:rsidRDefault="000C72BE">
            <w:pPr>
              <w:spacing w:after="40"/>
            </w:pPr>
            <w:r>
              <w:rPr>
                <w:rFonts w:eastAsia="Times New Roman"/>
                <w:sz w:val="20"/>
                <w:szCs w:val="20"/>
              </w:rPr>
              <w:t>Classified decision authority as: fully automated, AI-recommended with human override, human-led with AI support, fully human</w:t>
            </w:r>
          </w:p>
        </w:tc>
      </w:tr>
      <w:tr w:rsidR="00B13804" w14:paraId="136EC281"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08EF27" w14:textId="77777777" w:rsidR="00B13804" w:rsidRDefault="000C72BE">
            <w:pPr>
              <w:spacing w:after="40"/>
            </w:pPr>
            <w:r>
              <w:rPr>
                <w:rFonts w:eastAsia="Times New Roman"/>
                <w:sz w:val="20"/>
                <w:szCs w:val="20"/>
              </w:rPr>
              <w:t>Organiza</w:t>
            </w:r>
            <w:r>
              <w:rPr>
                <w:rFonts w:eastAsia="Times New Roman"/>
                <w:sz w:val="20"/>
                <w:szCs w:val="20"/>
              </w:rPr>
              <w:t>tional intent signals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CB60BE" w14:textId="77777777" w:rsidR="00B13804" w:rsidRDefault="000C72BE">
            <w:pPr>
              <w:spacing w:after="40"/>
            </w:pPr>
            <w:r>
              <w:rPr>
                <w:rFonts w:eastAsia="Times New Roman"/>
                <w:sz w:val="20"/>
                <w:szCs w:val="20"/>
              </w:rPr>
              <w:t>Stated or inferred organizational goals for AI deployment at each stage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4B2DFD" w14:textId="77777777" w:rsidR="00B13804" w:rsidRDefault="000C72BE">
            <w:pPr>
              <w:spacing w:after="40"/>
            </w:pPr>
            <w:r>
              <w:rPr>
                <w:rFonts w:eastAsia="Times New Roman"/>
                <w:sz w:val="20"/>
                <w:szCs w:val="20"/>
              </w:rPr>
              <w:t>Open coding</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30425D" w14:textId="77777777" w:rsidR="00B13804" w:rsidRDefault="000C72BE">
            <w:pPr>
              <w:spacing w:after="40"/>
            </w:pPr>
            <w:r>
              <w:rPr>
                <w:rFonts w:eastAsia="Times New Roman"/>
                <w:sz w:val="20"/>
                <w:szCs w:val="20"/>
              </w:rPr>
              <w:t>Categorized as: efficiency/cost reduction, quality improvement, bias reduction, compliance, scalability</w:t>
            </w:r>
          </w:p>
        </w:tc>
      </w:tr>
      <w:tr w:rsidR="00B13804" w14:paraId="0B558468"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2884BD" w14:textId="77777777" w:rsidR="00B13804" w:rsidRDefault="000C72BE">
            <w:pPr>
              <w:spacing w:after="40"/>
            </w:pPr>
            <w:r>
              <w:rPr>
                <w:rFonts w:eastAsia="Times New Roman"/>
                <w:sz w:val="20"/>
                <w:szCs w:val="20"/>
              </w:rPr>
              <w:t>Reported consequences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791123" w14:textId="77777777" w:rsidR="00B13804" w:rsidRDefault="000C72BE">
            <w:pPr>
              <w:spacing w:after="40"/>
            </w:pPr>
            <w:r>
              <w:rPr>
                <w:rFonts w:eastAsia="Times New Roman"/>
                <w:sz w:val="20"/>
                <w:szCs w:val="20"/>
              </w:rPr>
              <w:t>Documented outcomes, bo</w:t>
            </w:r>
            <w:r>
              <w:rPr>
                <w:rFonts w:eastAsia="Times New Roman"/>
                <w:sz w:val="20"/>
                <w:szCs w:val="20"/>
              </w:rPr>
              <w:t>th intended and unintended, of AI deployment</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935AAF" w14:textId="77777777" w:rsidR="00B13804" w:rsidRDefault="000C72BE">
            <w:pPr>
              <w:spacing w:after="40"/>
            </w:pPr>
            <w:r>
              <w:rPr>
                <w:rFonts w:eastAsia="Times New Roman"/>
                <w:sz w:val="20"/>
                <w:szCs w:val="20"/>
              </w:rPr>
              <w:t>Open coding</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0AC5DC" w14:textId="77777777" w:rsidR="00B13804" w:rsidRDefault="000C72BE">
            <w:pPr>
              <w:spacing w:after="40"/>
            </w:pPr>
            <w:r>
              <w:rPr>
                <w:rFonts w:eastAsia="Times New Roman"/>
                <w:sz w:val="20"/>
                <w:szCs w:val="20"/>
              </w:rPr>
              <w:t>Mapped outcomes: quantified efficiency gains, bias incidents, legitimacy challenges, system discontinuation, reconfiguration events</w:t>
            </w:r>
          </w:p>
        </w:tc>
      </w:tr>
      <w:tr w:rsidR="00B13804" w14:paraId="0B61C44F"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C54A71" w14:textId="77777777" w:rsidR="00B13804" w:rsidRDefault="000C72BE">
            <w:pPr>
              <w:spacing w:after="40"/>
            </w:pPr>
            <w:r>
              <w:rPr>
                <w:rFonts w:eastAsia="Times New Roman"/>
                <w:sz w:val="20"/>
                <w:szCs w:val="20"/>
              </w:rPr>
              <w:t>AI configuration type</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C5C7E3" w14:textId="77777777" w:rsidR="00B13804" w:rsidRDefault="000C72BE">
            <w:pPr>
              <w:spacing w:after="40"/>
            </w:pPr>
            <w:r>
              <w:rPr>
                <w:rFonts w:eastAsia="Times New Roman"/>
                <w:sz w:val="20"/>
                <w:szCs w:val="20"/>
              </w:rPr>
              <w:t>Classification of the human–AI arrangement at each recruitment stage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922C9A" w14:textId="77777777" w:rsidR="00B13804" w:rsidRDefault="000C72BE">
            <w:pPr>
              <w:spacing w:after="40"/>
            </w:pPr>
            <w:r>
              <w:rPr>
                <w:rFonts w:eastAsia="Times New Roman"/>
                <w:sz w:val="20"/>
                <w:szCs w:val="20"/>
              </w:rPr>
              <w:t>Theory-informed categorization</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C5E151" w14:textId="77777777" w:rsidR="00B13804" w:rsidRDefault="000C72BE">
            <w:pPr>
              <w:spacing w:after="40"/>
            </w:pPr>
            <w:r>
              <w:rPr>
                <w:rFonts w:eastAsia="Times New Roman"/>
                <w:sz w:val="20"/>
                <w:szCs w:val="20"/>
              </w:rPr>
              <w:t>Automation (AI decides autonomously), Augmentation (AI supports human decision), Hybrid (shared authority with defined boundaries)</w:t>
            </w:r>
          </w:p>
        </w:tc>
      </w:tr>
      <w:tr w:rsidR="00B13804" w14:paraId="6F641B29"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B4C30C" w14:textId="77777777" w:rsidR="00B13804" w:rsidRDefault="000C72BE">
            <w:pPr>
              <w:spacing w:after="40"/>
            </w:pPr>
            <w:r>
              <w:rPr>
                <w:rFonts w:eastAsia="Times New Roman"/>
                <w:sz w:val="20"/>
                <w:szCs w:val="20"/>
              </w:rPr>
              <w:t>Task characteristics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AB6D9C" w14:textId="77777777" w:rsidR="00B13804" w:rsidRDefault="000C72BE">
            <w:pPr>
              <w:spacing w:after="40"/>
            </w:pPr>
            <w:r>
              <w:rPr>
                <w:rFonts w:eastAsia="Times New Roman"/>
                <w:sz w:val="20"/>
                <w:szCs w:val="20"/>
              </w:rPr>
              <w:t>Pro</w:t>
            </w:r>
            <w:r>
              <w:rPr>
                <w:rFonts w:eastAsia="Times New Roman"/>
                <w:sz w:val="20"/>
                <w:szCs w:val="20"/>
              </w:rPr>
              <w:t>perties of the recruitment task at each stage relevant to AI suitability</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98FA19" w14:textId="77777777" w:rsidR="00B13804" w:rsidRDefault="000C72BE">
            <w:pPr>
              <w:spacing w:after="40"/>
            </w:pPr>
            <w:r>
              <w:rPr>
                <w:rFonts w:eastAsia="Times New Roman"/>
                <w:sz w:val="20"/>
                <w:szCs w:val="20"/>
              </w:rPr>
              <w:t>Theory-informed categorization (Task Complementarity Theory)</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BF77CE" w14:textId="77777777" w:rsidR="00B13804" w:rsidRDefault="000C72BE">
            <w:pPr>
              <w:spacing w:after="40"/>
            </w:pPr>
            <w:r>
              <w:rPr>
                <w:rFonts w:eastAsia="Times New Roman"/>
                <w:sz w:val="20"/>
                <w:szCs w:val="20"/>
              </w:rPr>
              <w:t>Analyzability (high/medium/low), Ambiguity (high/medium/low), Error tolerance (high/medium/low), Evaluative complexity (ob</w:t>
            </w:r>
            <w:r>
              <w:rPr>
                <w:rFonts w:eastAsia="Times New Roman"/>
                <w:sz w:val="20"/>
                <w:szCs w:val="20"/>
              </w:rPr>
              <w:t>jective/subjective)</w:t>
            </w:r>
          </w:p>
        </w:tc>
      </w:tr>
      <w:tr w:rsidR="00B13804" w14:paraId="79C5BCB0"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72E183" w14:textId="77777777" w:rsidR="00B13804" w:rsidRDefault="000C72BE">
            <w:pPr>
              <w:spacing w:after="40"/>
            </w:pPr>
            <w:r>
              <w:rPr>
                <w:rFonts w:eastAsia="Times New Roman"/>
                <w:sz w:val="20"/>
                <w:szCs w:val="20"/>
              </w:rPr>
              <w:t>Legitimacy dynamics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4254E7" w14:textId="77777777" w:rsidR="00B13804" w:rsidRDefault="000C72BE">
            <w:pPr>
              <w:spacing w:after="40"/>
            </w:pPr>
            <w:r>
              <w:rPr>
                <w:rFonts w:eastAsia="Times New Roman"/>
                <w:sz w:val="20"/>
                <w:szCs w:val="20"/>
              </w:rPr>
              <w:t>Evidence of institutional pressures affecting AI configuration choices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BFF491" w14:textId="77777777" w:rsidR="00B13804" w:rsidRDefault="000C72BE">
            <w:pPr>
              <w:spacing w:after="40"/>
            </w:pPr>
            <w:r>
              <w:rPr>
                <w:rFonts w:eastAsia="Times New Roman"/>
                <w:sz w:val="20"/>
                <w:szCs w:val="20"/>
              </w:rPr>
              <w:t>Theory-informed categorization (Paradox Theory / Institutional Theory)</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161F90" w14:textId="77777777" w:rsidR="00B13804" w:rsidRDefault="000C72BE">
            <w:pPr>
              <w:spacing w:after="40"/>
            </w:pPr>
            <w:r>
              <w:rPr>
                <w:rFonts w:eastAsia="Times New Roman"/>
                <w:sz w:val="20"/>
                <w:szCs w:val="20"/>
              </w:rPr>
              <w:t>Accountability demands, regulatory compliance triggers, public scrutiny e</w:t>
            </w:r>
            <w:r>
              <w:rPr>
                <w:rFonts w:eastAsia="Times New Roman"/>
                <w:sz w:val="20"/>
                <w:szCs w:val="20"/>
              </w:rPr>
              <w:t>vents, stakeholder trust indicators</w:t>
            </w:r>
          </w:p>
        </w:tc>
      </w:tr>
      <w:tr w:rsidR="00B13804" w14:paraId="247FD9C7"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E4A2ED" w14:textId="77777777" w:rsidR="00B13804" w:rsidRDefault="000C72BE">
            <w:pPr>
              <w:spacing w:after="40"/>
            </w:pPr>
            <w:r>
              <w:rPr>
                <w:rFonts w:eastAsia="Times New Roman"/>
                <w:sz w:val="20"/>
                <w:szCs w:val="20"/>
              </w:rPr>
              <w:t>Configuration transitions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4B22A9" w14:textId="77777777" w:rsidR="00B13804" w:rsidRDefault="000C72BE">
            <w:pPr>
              <w:spacing w:after="40"/>
            </w:pPr>
            <w:r>
              <w:rPr>
                <w:rFonts w:eastAsia="Times New Roman"/>
                <w:sz w:val="20"/>
                <w:szCs w:val="20"/>
              </w:rPr>
              <w:t>Observable shifts from one AI configuration to another within or across stages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7D6896" w14:textId="77777777" w:rsidR="00B13804" w:rsidRDefault="000C72BE">
            <w:pPr>
              <w:spacing w:after="40"/>
            </w:pPr>
            <w:r>
              <w:rPr>
                <w:rFonts w:eastAsia="Times New Roman"/>
                <w:sz w:val="20"/>
                <w:szCs w:val="20"/>
              </w:rPr>
              <w:t>Cross-case pattern analysis</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222F5C" w14:textId="77777777" w:rsidR="00B13804" w:rsidRDefault="000C72BE">
            <w:pPr>
              <w:spacing w:after="40"/>
            </w:pPr>
            <w:r>
              <w:rPr>
                <w:rFonts w:eastAsia="Times New Roman"/>
                <w:sz w:val="20"/>
                <w:szCs w:val="20"/>
              </w:rPr>
              <w:t>Automation → Augmentation (re-augmentation), Augmentation → Automation (automation escalation), Stable configuration maintenance, Oscillation patterns</w:t>
            </w:r>
          </w:p>
        </w:tc>
      </w:tr>
      <w:tr w:rsidR="00B13804" w14:paraId="69F39E0D"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D27CC9" w14:textId="77777777" w:rsidR="00B13804" w:rsidRDefault="000C72BE">
            <w:pPr>
              <w:spacing w:after="40"/>
            </w:pPr>
            <w:r>
              <w:rPr>
                <w:rFonts w:eastAsia="Times New Roman"/>
                <w:sz w:val="20"/>
                <w:szCs w:val="20"/>
              </w:rPr>
              <w:t>Stage-embedded mechanisms</w:t>
            </w:r>
          </w:p>
        </w:tc>
        <w:tc>
          <w:tcPr>
            <w:tcW w:w="2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0A0E86" w14:textId="77777777" w:rsidR="00B13804" w:rsidRDefault="000C72BE">
            <w:pPr>
              <w:spacing w:after="40"/>
            </w:pPr>
            <w:r>
              <w:rPr>
                <w:rFonts w:eastAsia="Times New Roman"/>
                <w:sz w:val="20"/>
                <w:szCs w:val="20"/>
              </w:rPr>
              <w:t>Recurring causal processes explaining why configurations differ across stages</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DC0CE9" w14:textId="77777777" w:rsidR="00B13804" w:rsidRDefault="000C72BE">
            <w:pPr>
              <w:spacing w:after="40"/>
            </w:pPr>
            <w:r>
              <w:rPr>
                <w:rFonts w:eastAsia="Times New Roman"/>
                <w:sz w:val="20"/>
                <w:szCs w:val="20"/>
              </w:rPr>
              <w:t>Aggregate theoretical dimensions</w:t>
            </w:r>
          </w:p>
        </w:tc>
        <w:tc>
          <w:tcPr>
            <w:tcW w:w="36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E82581" w14:textId="77777777" w:rsidR="00B13804" w:rsidRDefault="000C72BE">
            <w:pPr>
              <w:spacing w:after="40"/>
            </w:pPr>
            <w:r>
              <w:rPr>
                <w:rFonts w:eastAsia="Times New Roman"/>
                <w:sz w:val="20"/>
                <w:szCs w:val="20"/>
              </w:rPr>
              <w:t>Efficiency-driven stabilization (early stages), Paradoxical tension intensification (intermediate stages), Accountability-constrained institutionalization (late stages), Re-augmentation loops (cross-stage)</w:t>
            </w:r>
          </w:p>
        </w:tc>
      </w:tr>
    </w:tbl>
    <w:p w14:paraId="420350E8" w14:textId="77777777" w:rsidR="00B13804" w:rsidRDefault="000C72BE">
      <w:pPr>
        <w:pStyle w:val="2"/>
        <w:spacing w:before="360"/>
      </w:pPr>
      <w:r>
        <w:lastRenderedPageBreak/>
        <w:t>3.2 Analytical Dimensions for Stage-Based Mapping</w:t>
      </w:r>
    </w:p>
    <w:p w14:paraId="1443BB9C" w14:textId="77777777" w:rsidR="00B13804" w:rsidRDefault="000C72BE">
      <w:pPr>
        <w:spacing w:after="160" w:line="276" w:lineRule="auto"/>
        <w:jc w:val="both"/>
      </w:pPr>
      <w:r>
        <w:rPr>
          <w:rFonts w:eastAsia="Times New Roman"/>
        </w:rPr>
        <w:t>For each recruitment stage in each case, data were analyzed along four structured analytical dimensions. Table S3 details these dimensions, including the guiding question, classification criteria, and appli</w:t>
      </w:r>
      <w:r>
        <w:rPr>
          <w:rFonts w:eastAsia="Times New Roman"/>
        </w:rPr>
        <w:t>cation rules.</w:t>
      </w:r>
    </w:p>
    <w:p w14:paraId="058115A9" w14:textId="77777777" w:rsidR="00B13804" w:rsidRDefault="000C72BE">
      <w:pPr>
        <w:spacing w:after="80"/>
      </w:pPr>
      <w:r>
        <w:rPr>
          <w:rFonts w:eastAsia="Times New Roman"/>
          <w:b/>
          <w:bCs/>
          <w:i/>
          <w:iCs/>
          <w:sz w:val="20"/>
          <w:szCs w:val="20"/>
        </w:rPr>
        <w:t>Table S3. Analytical Dimensions for Stage-Based Mapping of AI Configurations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3200"/>
        <w:gridCol w:w="2880"/>
      </w:tblGrid>
      <w:tr w:rsidR="00B13804" w14:paraId="589A5513" w14:textId="77777777" w:rsidTr="000C72BE">
        <w:tblPrEx>
          <w:tblCellMar>
            <w:top w:w="0" w:type="dxa"/>
            <w:bottom w:w="0" w:type="dxa"/>
          </w:tblCellMar>
        </w:tblPrEx>
        <w:tc>
          <w:tcPr>
            <w:tcW w:w="18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44289A88" w14:textId="77777777" w:rsidR="00B13804" w:rsidRDefault="000C72BE">
            <w:r>
              <w:rPr>
                <w:rFonts w:eastAsia="Times New Roman"/>
                <w:b/>
                <w:bCs/>
                <w:sz w:val="20"/>
                <w:szCs w:val="20"/>
              </w:rPr>
              <w:t>Dimension</w:t>
            </w:r>
          </w:p>
        </w:tc>
        <w:tc>
          <w:tcPr>
            <w:tcW w:w="22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64BD3EB4" w14:textId="77777777" w:rsidR="00B13804" w:rsidRDefault="000C72BE">
            <w:r>
              <w:rPr>
                <w:rFonts w:eastAsia="Times New Roman"/>
                <w:b/>
                <w:bCs/>
                <w:sz w:val="20"/>
                <w:szCs w:val="20"/>
              </w:rPr>
              <w:t>Guiding Question</w:t>
            </w:r>
          </w:p>
        </w:tc>
        <w:tc>
          <w:tcPr>
            <w:tcW w:w="32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4B1B5D6D" w14:textId="77777777" w:rsidR="00B13804" w:rsidRDefault="000C72BE">
            <w:r>
              <w:rPr>
                <w:rFonts w:eastAsia="Times New Roman"/>
                <w:b/>
                <w:bCs/>
                <w:sz w:val="20"/>
                <w:szCs w:val="20"/>
              </w:rPr>
              <w:t>Classification Criteria</w:t>
            </w:r>
          </w:p>
        </w:tc>
        <w:tc>
          <w:tcPr>
            <w:tcW w:w="288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73DBF6DC" w14:textId="77777777" w:rsidR="00B13804" w:rsidRDefault="000C72BE">
            <w:r>
              <w:rPr>
                <w:rFonts w:eastAsia="Times New Roman"/>
                <w:b/>
                <w:bCs/>
                <w:sz w:val="20"/>
                <w:szCs w:val="20"/>
              </w:rPr>
              <w:t>Application Rules</w:t>
            </w:r>
          </w:p>
        </w:tc>
      </w:tr>
      <w:tr w:rsidR="00B13804" w14:paraId="76465F4E" w14:textId="77777777" w:rsidTr="000C72BE">
        <w:tblPrEx>
          <w:tblCellMar>
            <w:top w:w="0" w:type="dxa"/>
            <w:bottom w:w="0" w:type="dxa"/>
          </w:tblCellMar>
        </w:tblPrEx>
        <w:tc>
          <w:tcPr>
            <w:tcW w:w="18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BE9D2F" w14:textId="77777777" w:rsidR="00B13804" w:rsidRDefault="000C72BE">
            <w:pPr>
              <w:spacing w:after="40"/>
            </w:pPr>
            <w:r>
              <w:rPr>
                <w:rFonts w:eastAsia="Times New Roman"/>
                <w:sz w:val="20"/>
                <w:szCs w:val="20"/>
              </w:rPr>
              <w:t>1. Primary AI Role</w:t>
            </w:r>
          </w:p>
        </w:tc>
        <w:tc>
          <w:tcPr>
            <w:tcW w:w="22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A0E167" w14:textId="77777777" w:rsidR="00B13804" w:rsidRDefault="000C72BE">
            <w:pPr>
              <w:spacing w:after="40"/>
            </w:pPr>
            <w:r>
              <w:rPr>
                <w:rFonts w:eastAsia="Times New Roman"/>
                <w:sz w:val="20"/>
                <w:szCs w:val="20"/>
              </w:rPr>
              <w:t>What role does AI play at this recruitment stage?</w:t>
            </w:r>
          </w:p>
        </w:tc>
        <w:tc>
          <w:tcPr>
            <w:tcW w:w="32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F3F146" w14:textId="77777777" w:rsidR="00B13804" w:rsidRDefault="000C72BE">
            <w:pPr>
              <w:spacing w:after="40"/>
            </w:pPr>
            <w:r>
              <w:rPr>
                <w:rFonts w:eastAsia="Times New Roman"/>
                <w:sz w:val="20"/>
                <w:szCs w:val="20"/>
              </w:rPr>
              <w:t>Automation: AI operates independently without human intervention in the decision loop Augmentation: AI provides recommendations, scores, or insights that humans evaluate and may override Hybrid: Shared deci</w:t>
            </w:r>
            <w:r>
              <w:rPr>
                <w:rFonts w:eastAsia="Times New Roman"/>
                <w:sz w:val="20"/>
                <w:szCs w:val="20"/>
              </w:rPr>
              <w:t>sion authority with predefined rules for human–AI interaction</w:t>
            </w:r>
          </w:p>
        </w:tc>
        <w:tc>
          <w:tcPr>
            <w:tcW w:w="288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7C07DD" w14:textId="77777777" w:rsidR="00B13804" w:rsidRDefault="000C72BE">
            <w:pPr>
              <w:spacing w:after="40"/>
            </w:pPr>
            <w:r>
              <w:rPr>
                <w:rFonts w:eastAsia="Times New Roman"/>
                <w:sz w:val="20"/>
                <w:szCs w:val="20"/>
              </w:rPr>
              <w:t>Classified based on documented decision authority allocation; verified through outcome evidence (e.g., whether human review occurred before decisions were finalized)</w:t>
            </w:r>
          </w:p>
        </w:tc>
      </w:tr>
      <w:tr w:rsidR="00B13804" w14:paraId="35BDEC5A"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C3321E" w14:textId="77777777" w:rsidR="00B13804" w:rsidRDefault="000C72BE">
            <w:pPr>
              <w:spacing w:after="40"/>
            </w:pPr>
            <w:r>
              <w:rPr>
                <w:rFonts w:eastAsia="Times New Roman"/>
                <w:sz w:val="20"/>
                <w:szCs w:val="20"/>
              </w:rPr>
              <w:t>2. Task Characteristics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F666943" w14:textId="77777777" w:rsidR="00B13804" w:rsidRDefault="000C72BE">
            <w:pPr>
              <w:spacing w:after="40"/>
            </w:pPr>
            <w:r>
              <w:rPr>
                <w:rFonts w:eastAsia="Times New Roman"/>
                <w:sz w:val="20"/>
                <w:szCs w:val="20"/>
              </w:rPr>
              <w:t>What are the properties of the recruitment task at this stage?</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E10A4E" w14:textId="77777777" w:rsidR="00B13804" w:rsidRDefault="000C72BE">
            <w:pPr>
              <w:spacing w:after="40"/>
            </w:pPr>
            <w:r>
              <w:rPr>
                <w:rFonts w:eastAsia="Times New Roman"/>
                <w:sz w:val="20"/>
                <w:szCs w:val="20"/>
              </w:rPr>
              <w:t>Analyzability: Degree to which the task can be decomposed into rule-based, codifiable procedures Ambiguity: Extent of interpretive judgment required Error Tolerance: Org</w:t>
            </w:r>
            <w:r>
              <w:rPr>
                <w:rFonts w:eastAsia="Times New Roman"/>
                <w:sz w:val="20"/>
                <w:szCs w:val="20"/>
              </w:rPr>
              <w:t>anizational and social consequences of incorrect decisions Evaluative Complexity: Objective criteria vs. subjective holistic assessment</w:t>
            </w:r>
          </w:p>
        </w:tc>
        <w:tc>
          <w:tcPr>
            <w:tcW w:w="28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551972" w14:textId="77777777" w:rsidR="00B13804" w:rsidRDefault="000C72BE">
            <w:pPr>
              <w:spacing w:after="40"/>
            </w:pPr>
            <w:r>
              <w:rPr>
                <w:rFonts w:eastAsia="Times New Roman"/>
                <w:sz w:val="20"/>
                <w:szCs w:val="20"/>
              </w:rPr>
              <w:t xml:space="preserve">Derived from established personnel selection literature (Schmidt &amp; Hunter, 1998; Campion et al., 1997; Gatewood et al., </w:t>
            </w:r>
            <w:r>
              <w:rPr>
                <w:rFonts w:eastAsia="Times New Roman"/>
                <w:sz w:val="20"/>
                <w:szCs w:val="20"/>
              </w:rPr>
              <w:t>2020); applied consistently across all cases using the standardized recruitment framework (Table 1)</w:t>
            </w:r>
          </w:p>
        </w:tc>
      </w:tr>
      <w:tr w:rsidR="00B13804" w14:paraId="57264206"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210C8A" w14:textId="77777777" w:rsidR="00B13804" w:rsidRDefault="000C72BE">
            <w:pPr>
              <w:spacing w:after="40"/>
            </w:pPr>
            <w:r>
              <w:rPr>
                <w:rFonts w:eastAsia="Times New Roman"/>
                <w:sz w:val="20"/>
                <w:szCs w:val="20"/>
              </w:rPr>
              <w:t>3. Organizational Responses and Outcomes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EAEDC9" w14:textId="77777777" w:rsidR="00B13804" w:rsidRDefault="000C72BE">
            <w:pPr>
              <w:spacing w:after="40"/>
            </w:pPr>
            <w:r>
              <w:rPr>
                <w:rFonts w:eastAsia="Times New Roman"/>
                <w:sz w:val="20"/>
                <w:szCs w:val="20"/>
              </w:rPr>
              <w:t>What happened as a result of AI deployment at this stage?</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B12830" w14:textId="77777777" w:rsidR="00B13804" w:rsidRDefault="000C72BE">
            <w:pPr>
              <w:spacing w:after="40"/>
            </w:pPr>
            <w:r>
              <w:rPr>
                <w:rFonts w:eastAsia="Times New Roman"/>
                <w:sz w:val="20"/>
                <w:szCs w:val="20"/>
              </w:rPr>
              <w:t>Efficiency gains (quantified where available) Decision q</w:t>
            </w:r>
            <w:r>
              <w:rPr>
                <w:rFonts w:eastAsia="Times New Roman"/>
                <w:sz w:val="20"/>
                <w:szCs w:val="20"/>
              </w:rPr>
              <w:t>uality changes Bias detection events Legitimacy challenges System modification or discontinuation</w:t>
            </w:r>
          </w:p>
        </w:tc>
        <w:tc>
          <w:tcPr>
            <w:tcW w:w="28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5F900D" w14:textId="77777777" w:rsidR="00B13804" w:rsidRDefault="000C72BE">
            <w:pPr>
              <w:spacing w:after="40"/>
            </w:pPr>
            <w:r>
              <w:rPr>
                <w:rFonts w:eastAsia="Times New Roman"/>
                <w:sz w:val="20"/>
                <w:szCs w:val="20"/>
              </w:rPr>
              <w:t>Documented from multiple source types; outcomes triangulated across corporate disclosures, journalistic investigations, and academic analyses</w:t>
            </w:r>
          </w:p>
        </w:tc>
      </w:tr>
      <w:tr w:rsidR="00B13804" w14:paraId="4D667ED6"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BFD165" w14:textId="77777777" w:rsidR="00B13804" w:rsidRDefault="000C72BE">
            <w:pPr>
              <w:spacing w:after="40"/>
            </w:pPr>
            <w:r>
              <w:rPr>
                <w:rFonts w:eastAsia="Times New Roman"/>
                <w:sz w:val="20"/>
                <w:szCs w:val="20"/>
              </w:rPr>
              <w:t>4. Temporal Dyn</w:t>
            </w:r>
            <w:r>
              <w:rPr>
                <w:rFonts w:eastAsia="Times New Roman"/>
                <w:sz w:val="20"/>
                <w:szCs w:val="20"/>
              </w:rPr>
              <w:t>amics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D0FB23" w14:textId="77777777" w:rsidR="00B13804" w:rsidRDefault="000C72BE">
            <w:pPr>
              <w:spacing w:after="40"/>
            </w:pPr>
            <w:r>
              <w:rPr>
                <w:rFonts w:eastAsia="Times New Roman"/>
                <w:sz w:val="20"/>
                <w:szCs w:val="20"/>
              </w:rPr>
              <w:t>Did the organization transition between configurations, and why?</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3F59D5" w14:textId="77777777" w:rsidR="00B13804" w:rsidRDefault="000C72BE">
            <w:pPr>
              <w:spacing w:after="40"/>
            </w:pPr>
            <w:r>
              <w:rPr>
                <w:rFonts w:eastAsia="Times New Roman"/>
                <w:sz w:val="20"/>
                <w:szCs w:val="20"/>
              </w:rPr>
              <w:t xml:space="preserve">Transition type: Automation → Augmentation, Augmentation → Automation, Stable, Oscillating Transition trigger: Bias detection, regulatory pressure, efficiency demand, legitimacy threat </w:t>
            </w:r>
            <w:r>
              <w:rPr>
                <w:rFonts w:eastAsia="Times New Roman"/>
                <w:sz w:val="20"/>
                <w:szCs w:val="20"/>
              </w:rPr>
              <w:t>Transition outcome: Reconfiguration, system withdrawal, governance reform</w:t>
            </w:r>
          </w:p>
        </w:tc>
        <w:tc>
          <w:tcPr>
            <w:tcW w:w="28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6644B3" w14:textId="77777777" w:rsidR="00B13804" w:rsidRDefault="000C72BE">
            <w:pPr>
              <w:spacing w:after="40"/>
            </w:pPr>
            <w:r>
              <w:rPr>
                <w:rFonts w:eastAsia="Times New Roman"/>
                <w:sz w:val="20"/>
                <w:szCs w:val="20"/>
              </w:rPr>
              <w:t xml:space="preserve">Traced through chronological reconstruction of documented events; classified using paradox theory concepts (Smith &amp; Lewis, 2011; </w:t>
            </w:r>
            <w:proofErr w:type="spellStart"/>
            <w:r>
              <w:rPr>
                <w:rFonts w:eastAsia="Times New Roman"/>
                <w:sz w:val="20"/>
                <w:szCs w:val="20"/>
              </w:rPr>
              <w:t>Raisch</w:t>
            </w:r>
            <w:proofErr w:type="spellEnd"/>
            <w:r>
              <w:rPr>
                <w:rFonts w:eastAsia="Times New Roman"/>
                <w:sz w:val="20"/>
                <w:szCs w:val="20"/>
              </w:rPr>
              <w:t xml:space="preserve"> &amp; Krakowski, 2021)</w:t>
            </w:r>
          </w:p>
        </w:tc>
      </w:tr>
    </w:tbl>
    <w:p w14:paraId="701CC2AA" w14:textId="77777777" w:rsidR="00B13804" w:rsidRDefault="000C72BE">
      <w:pPr>
        <w:pStyle w:val="2"/>
        <w:spacing w:before="360"/>
      </w:pPr>
      <w:r>
        <w:t>3.3 Transformations Applied</w:t>
      </w:r>
    </w:p>
    <w:p w14:paraId="1A64D551" w14:textId="77777777" w:rsidR="00B13804" w:rsidRDefault="000C72BE">
      <w:pPr>
        <w:spacing w:after="160" w:line="276" w:lineRule="auto"/>
        <w:jc w:val="both"/>
      </w:pPr>
      <w:r>
        <w:rPr>
          <w:rFonts w:eastAsia="Times New Roman"/>
        </w:rPr>
        <w:t>The analytical process involved three sequential transformations of the source material, consistent with established qualitative research practice:</w:t>
      </w:r>
    </w:p>
    <w:p w14:paraId="29584B16" w14:textId="77777777" w:rsidR="00B13804" w:rsidRDefault="000C72BE">
      <w:pPr>
        <w:spacing w:after="160" w:line="276" w:lineRule="auto"/>
        <w:jc w:val="both"/>
      </w:pPr>
      <w:r>
        <w:rPr>
          <w:rFonts w:eastAsia="Times New Roman"/>
          <w:b/>
          <w:bCs/>
        </w:rPr>
        <w:t xml:space="preserve">Transformation 1 – Source-to-Case Mapping: </w:t>
      </w:r>
      <w:r>
        <w:rPr>
          <w:rFonts w:eastAsia="Times New Roman"/>
        </w:rPr>
        <w:t>Each data source was mapped to the re</w:t>
      </w:r>
      <w:r>
        <w:rPr>
          <w:rFonts w:eastAsia="Times New Roman"/>
        </w:rPr>
        <w:t>levant case organization(s) and recruitment stage(s) using the standardized recruitment framework (Table 1 in the manuscript). This transformation converted heterogeneous source materials into a structured case-by-stage matrix.</w:t>
      </w:r>
    </w:p>
    <w:p w14:paraId="3B45497C" w14:textId="77777777" w:rsidR="00B13804" w:rsidRDefault="000C72BE">
      <w:pPr>
        <w:spacing w:after="160" w:line="276" w:lineRule="auto"/>
        <w:jc w:val="both"/>
      </w:pPr>
      <w:r>
        <w:rPr>
          <w:rFonts w:eastAsia="Times New Roman"/>
          <w:b/>
          <w:bCs/>
        </w:rPr>
        <w:lastRenderedPageBreak/>
        <w:t>Transformation 2 – Open Codi</w:t>
      </w:r>
      <w:r>
        <w:rPr>
          <w:rFonts w:eastAsia="Times New Roman"/>
          <w:b/>
          <w:bCs/>
        </w:rPr>
        <w:t xml:space="preserve">ng to Theoretical Categories: </w:t>
      </w:r>
      <w:r>
        <w:rPr>
          <w:rFonts w:eastAsia="Times New Roman"/>
        </w:rPr>
        <w:t xml:space="preserve">Initial open codes (first-order concepts) were iteratively consolidated into theory-informed categories (second-order themes) through constant comparison across cases and stages. This process followed the </w:t>
      </w:r>
      <w:proofErr w:type="spellStart"/>
      <w:r>
        <w:rPr>
          <w:rFonts w:eastAsia="Times New Roman"/>
        </w:rPr>
        <w:t>Gioia</w:t>
      </w:r>
      <w:proofErr w:type="spellEnd"/>
      <w:r>
        <w:rPr>
          <w:rFonts w:eastAsia="Times New Roman"/>
        </w:rPr>
        <w:t xml:space="preserve"> methodology, en</w:t>
      </w:r>
      <w:r>
        <w:rPr>
          <w:rFonts w:eastAsia="Times New Roman"/>
        </w:rPr>
        <w:t>suring that emergent categories were grounded in empirical evidence while informed by paradox theory and task complementarity theory.</w:t>
      </w:r>
    </w:p>
    <w:p w14:paraId="6C20E041" w14:textId="77777777" w:rsidR="00B13804" w:rsidRDefault="000C72BE">
      <w:pPr>
        <w:spacing w:after="160" w:line="276" w:lineRule="auto"/>
        <w:jc w:val="both"/>
      </w:pPr>
      <w:r>
        <w:rPr>
          <w:rFonts w:eastAsia="Times New Roman"/>
          <w:b/>
          <w:bCs/>
        </w:rPr>
        <w:t xml:space="preserve">Transformation 3 – Cross-Case Pattern Identification: </w:t>
      </w:r>
      <w:r>
        <w:rPr>
          <w:rFonts w:eastAsia="Times New Roman"/>
        </w:rPr>
        <w:t>Second-order categories were compared across cases to identify recur</w:t>
      </w:r>
      <w:r>
        <w:rPr>
          <w:rFonts w:eastAsia="Times New Roman"/>
        </w:rPr>
        <w:t>ring stage-embedded mechanisms. These mechanisms were then abstracted into aggregate theoretical dimensions that form the basis of the propositions advanced in the manuscript. Discrepancies across cases were treated as analytically informative, often revea</w:t>
      </w:r>
      <w:r>
        <w:rPr>
          <w:rFonts w:eastAsia="Times New Roman"/>
        </w:rPr>
        <w:t>ling boundary conditions of the emerging theory.</w:t>
      </w:r>
    </w:p>
    <w:p w14:paraId="4447FF05" w14:textId="77777777" w:rsidR="00B13804" w:rsidRDefault="000C72BE">
      <w:r>
        <w:br w:type="page"/>
      </w:r>
    </w:p>
    <w:p w14:paraId="190F41C1" w14:textId="77777777" w:rsidR="00B13804" w:rsidRDefault="000C72BE">
      <w:pPr>
        <w:pStyle w:val="1"/>
        <w:spacing w:after="200"/>
      </w:pPr>
      <w:r>
        <w:lastRenderedPageBreak/>
        <w:t>4. Analytical Procedures (Formulae, Statistical Code, and Scripts)</w:t>
      </w:r>
    </w:p>
    <w:p w14:paraId="795A41E8" w14:textId="77777777" w:rsidR="00B13804" w:rsidRDefault="000C72BE">
      <w:pPr>
        <w:spacing w:after="160" w:line="276" w:lineRule="auto"/>
        <w:jc w:val="both"/>
      </w:pPr>
      <w:r>
        <w:rPr>
          <w:rFonts w:eastAsia="Times New Roman"/>
        </w:rPr>
        <w:t xml:space="preserve">As a qualitative, theory-building study, this research does not employ statistical formulae, quantitative code, or computational scripts. The analytical procedures consist entirely of systematic qualitative methods. This section documents these procedures </w:t>
      </w:r>
      <w:r>
        <w:rPr>
          <w:rFonts w:eastAsia="Times New Roman"/>
        </w:rPr>
        <w:t>in sufficient detail to enable replication and scrutiny.</w:t>
      </w:r>
    </w:p>
    <w:p w14:paraId="169F5559" w14:textId="77777777" w:rsidR="00B13804" w:rsidRDefault="000C72BE">
      <w:pPr>
        <w:pStyle w:val="2"/>
        <w:spacing w:before="360"/>
      </w:pPr>
      <w:r>
        <w:t>4.1 Analytical Process</w:t>
      </w:r>
    </w:p>
    <w:p w14:paraId="7999F8BE" w14:textId="77777777" w:rsidR="00B13804" w:rsidRDefault="000C72BE">
      <w:pPr>
        <w:spacing w:after="160" w:line="276" w:lineRule="auto"/>
        <w:jc w:val="both"/>
      </w:pPr>
      <w:r>
        <w:rPr>
          <w:rFonts w:eastAsia="Times New Roman"/>
          <w:b/>
          <w:bCs/>
        </w:rPr>
        <w:t xml:space="preserve">Step 1 – Case Compilation: </w:t>
      </w:r>
      <w:r>
        <w:rPr>
          <w:rFonts w:eastAsia="Times New Roman"/>
        </w:rPr>
        <w:t>For each selected case organization, all relevant source materials were compiled and organized chronologically. Materials were cataloged by source ty</w:t>
      </w:r>
      <w:r>
        <w:rPr>
          <w:rFonts w:eastAsia="Times New Roman"/>
        </w:rPr>
        <w:t>pe, publication date, recruitment stage addressed, and key claims or data points reported.</w:t>
      </w:r>
    </w:p>
    <w:p w14:paraId="22E880D2" w14:textId="77777777" w:rsidR="00B13804" w:rsidRDefault="000C72BE">
      <w:pPr>
        <w:spacing w:after="160" w:line="276" w:lineRule="auto"/>
        <w:jc w:val="both"/>
      </w:pPr>
      <w:r>
        <w:rPr>
          <w:rFonts w:eastAsia="Times New Roman"/>
          <w:b/>
          <w:bCs/>
        </w:rPr>
        <w:t xml:space="preserve">Step 2 – Stage-Based Coding: </w:t>
      </w:r>
      <w:r>
        <w:rPr>
          <w:rFonts w:eastAsia="Times New Roman"/>
        </w:rPr>
        <w:t>Each case was systematically coded along the four analytical dimensions described in Table S3. Coding was performed independently for ea</w:t>
      </w:r>
      <w:r>
        <w:rPr>
          <w:rFonts w:eastAsia="Times New Roman"/>
        </w:rPr>
        <w:t>ch recruitment stage within each case, producing a structured case-by-stage-by-dimension matrix.</w:t>
      </w:r>
    </w:p>
    <w:p w14:paraId="4CA2AC10" w14:textId="77777777" w:rsidR="00B13804" w:rsidRDefault="000C72BE">
      <w:pPr>
        <w:spacing w:after="160" w:line="276" w:lineRule="auto"/>
        <w:jc w:val="both"/>
      </w:pPr>
      <w:r>
        <w:rPr>
          <w:rFonts w:eastAsia="Times New Roman"/>
          <w:b/>
          <w:bCs/>
        </w:rPr>
        <w:t xml:space="preserve">Step 3 – Within-Case Analysis: </w:t>
      </w:r>
      <w:r>
        <w:rPr>
          <w:rFonts w:eastAsia="Times New Roman"/>
        </w:rPr>
        <w:t>For each case, patterns across recruitment stages were analyzed to identify how AI configurations varied by stage and whether tr</w:t>
      </w:r>
      <w:r>
        <w:rPr>
          <w:rFonts w:eastAsia="Times New Roman"/>
        </w:rPr>
        <w:t>ansitions between configurations occurred over time. This step produced within-case narratives of AI configuration dynamics.</w:t>
      </w:r>
    </w:p>
    <w:p w14:paraId="17AFCF5C" w14:textId="77777777" w:rsidR="00B13804" w:rsidRDefault="000C72BE">
      <w:pPr>
        <w:spacing w:after="160" w:line="276" w:lineRule="auto"/>
        <w:jc w:val="both"/>
      </w:pPr>
      <w:r>
        <w:rPr>
          <w:rFonts w:eastAsia="Times New Roman"/>
          <w:b/>
          <w:bCs/>
        </w:rPr>
        <w:t xml:space="preserve">Step 4 – Cross-Case Comparison: </w:t>
      </w:r>
      <w:r>
        <w:rPr>
          <w:rFonts w:eastAsia="Times New Roman"/>
        </w:rPr>
        <w:t>Within-case patterns were compared across all cases to identify recurring mechanisms. Following Eis</w:t>
      </w:r>
      <w:r>
        <w:rPr>
          <w:rFonts w:eastAsia="Times New Roman"/>
        </w:rPr>
        <w:t>enhardt’s (1989) approach, similarities across cases strengthened emerging constructs, while differences sharpened boundary conditions and contingencies.</w:t>
      </w:r>
    </w:p>
    <w:p w14:paraId="4EB2C554" w14:textId="77777777" w:rsidR="00B13804" w:rsidRDefault="000C72BE">
      <w:pPr>
        <w:spacing w:after="160" w:line="276" w:lineRule="auto"/>
        <w:jc w:val="both"/>
      </w:pPr>
      <w:r>
        <w:rPr>
          <w:rFonts w:eastAsia="Times New Roman"/>
          <w:b/>
          <w:bCs/>
        </w:rPr>
        <w:t xml:space="preserve">Step 5 – Theoretical Abstraction: </w:t>
      </w:r>
      <w:r>
        <w:rPr>
          <w:rFonts w:eastAsia="Times New Roman"/>
        </w:rPr>
        <w:t>Recurring cross-case patterns were abstracted into three stage-embed</w:t>
      </w:r>
      <w:r>
        <w:rPr>
          <w:rFonts w:eastAsia="Times New Roman"/>
        </w:rPr>
        <w:t>ded mechanisms (efficiency-driven stabilization, paradoxical tension intensification, accountability-constrained institutionalization) and one cross-stage mechanism (re-augmentation loops). These mechanisms were then formalized as four theoretical proposit</w:t>
      </w:r>
      <w:r>
        <w:rPr>
          <w:rFonts w:eastAsia="Times New Roman"/>
        </w:rPr>
        <w:t>ions.</w:t>
      </w:r>
    </w:p>
    <w:p w14:paraId="3B48F73D" w14:textId="77777777" w:rsidR="00B13804" w:rsidRDefault="000C72BE">
      <w:pPr>
        <w:spacing w:after="160" w:line="276" w:lineRule="auto"/>
        <w:jc w:val="both"/>
      </w:pPr>
      <w:r>
        <w:rPr>
          <w:rFonts w:eastAsia="Times New Roman"/>
          <w:b/>
          <w:bCs/>
        </w:rPr>
        <w:t xml:space="preserve">Step 6 – Theoretical Validation: </w:t>
      </w:r>
      <w:r>
        <w:rPr>
          <w:rFonts w:eastAsia="Times New Roman"/>
        </w:rPr>
        <w:t>Emerging propositions were iteratively tested against the case evidence, refining definitions and boundary conditions. Propositions were retained only when supported by evidence from multiple cases and consistent with</w:t>
      </w:r>
      <w:r>
        <w:rPr>
          <w:rFonts w:eastAsia="Times New Roman"/>
        </w:rPr>
        <w:t xml:space="preserve"> the broader theoretical framework integrating paradox theory and task complementarity theory.</w:t>
      </w:r>
    </w:p>
    <w:p w14:paraId="7941C330" w14:textId="77777777" w:rsidR="00B13804" w:rsidRDefault="000C72BE">
      <w:pPr>
        <w:pStyle w:val="2"/>
        <w:spacing w:before="360"/>
      </w:pPr>
      <w:r>
        <w:t>4.2 Analytical Logic (in Lieu of Statistical Formulae)</w:t>
      </w:r>
    </w:p>
    <w:p w14:paraId="6AE9F515" w14:textId="77777777" w:rsidR="00B13804" w:rsidRDefault="000C72BE">
      <w:pPr>
        <w:spacing w:after="160" w:line="276" w:lineRule="auto"/>
        <w:jc w:val="both"/>
      </w:pPr>
      <w:r>
        <w:rPr>
          <w:rFonts w:eastAsia="Times New Roman"/>
        </w:rPr>
        <w:t>While this study does not employ statistical formulae, the analytical logic follows established principles</w:t>
      </w:r>
      <w:r>
        <w:rPr>
          <w:rFonts w:eastAsia="Times New Roman"/>
        </w:rPr>
        <w:t xml:space="preserve"> of qualitative inference:</w:t>
      </w:r>
    </w:p>
    <w:p w14:paraId="2C6C0F28" w14:textId="77777777" w:rsidR="00B13804" w:rsidRDefault="000C72BE">
      <w:pPr>
        <w:spacing w:after="160" w:line="276" w:lineRule="auto"/>
        <w:jc w:val="both"/>
      </w:pPr>
      <w:r>
        <w:rPr>
          <w:rFonts w:eastAsia="Times New Roman"/>
          <w:b/>
          <w:bCs/>
        </w:rPr>
        <w:t xml:space="preserve">Pattern matching (Yin, 2018): </w:t>
      </w:r>
      <w:r>
        <w:rPr>
          <w:rFonts w:eastAsia="Times New Roman"/>
        </w:rPr>
        <w:t>Observed AI configurations at each recruitment stage were compared against theoretically predicted patterns derived from task complementarity theory and paradox theory. Matches strengthened the theor</w:t>
      </w:r>
      <w:r>
        <w:rPr>
          <w:rFonts w:eastAsia="Times New Roman"/>
        </w:rPr>
        <w:t>etical framework; mismatches prompted theoretical refinement.</w:t>
      </w:r>
    </w:p>
    <w:p w14:paraId="488E33FE" w14:textId="77777777" w:rsidR="00B13804" w:rsidRDefault="000C72BE">
      <w:pPr>
        <w:spacing w:after="160" w:line="276" w:lineRule="auto"/>
        <w:jc w:val="both"/>
      </w:pPr>
      <w:r>
        <w:rPr>
          <w:rFonts w:eastAsia="Times New Roman"/>
          <w:b/>
          <w:bCs/>
        </w:rPr>
        <w:t xml:space="preserve">Theoretical replication (Eisenhardt &amp; </w:t>
      </w:r>
      <w:proofErr w:type="spellStart"/>
      <w:r>
        <w:rPr>
          <w:rFonts w:eastAsia="Times New Roman"/>
          <w:b/>
          <w:bCs/>
        </w:rPr>
        <w:t>Graebner</w:t>
      </w:r>
      <w:proofErr w:type="spellEnd"/>
      <w:r>
        <w:rPr>
          <w:rFonts w:eastAsia="Times New Roman"/>
          <w:b/>
          <w:bCs/>
        </w:rPr>
        <w:t xml:space="preserve">, 2007): </w:t>
      </w:r>
      <w:r>
        <w:rPr>
          <w:rFonts w:eastAsia="Times New Roman"/>
        </w:rPr>
        <w:t>Multiple cases were selected to enable literal replication (similar patterns across similar conditions) and theoretical replication (contra</w:t>
      </w:r>
      <w:r>
        <w:rPr>
          <w:rFonts w:eastAsia="Times New Roman"/>
        </w:rPr>
        <w:t>sting patterns under different conditions). The recurrence of stage-embedded mechanisms across organizationally diverse cases supports the generalizability of the theoretical framework.</w:t>
      </w:r>
    </w:p>
    <w:p w14:paraId="126D7589" w14:textId="77777777" w:rsidR="00B13804" w:rsidRDefault="000C72BE">
      <w:pPr>
        <w:spacing w:after="160" w:line="276" w:lineRule="auto"/>
        <w:jc w:val="both"/>
      </w:pPr>
      <w:r>
        <w:rPr>
          <w:rFonts w:eastAsia="Times New Roman"/>
          <w:b/>
          <w:bCs/>
        </w:rPr>
        <w:lastRenderedPageBreak/>
        <w:t xml:space="preserve">Triangulation (Yin, 2018): </w:t>
      </w:r>
      <w:r>
        <w:rPr>
          <w:rFonts w:eastAsia="Times New Roman"/>
        </w:rPr>
        <w:t>Each analytical claim was supported by evid</w:t>
      </w:r>
      <w:r>
        <w:rPr>
          <w:rFonts w:eastAsia="Times New Roman"/>
        </w:rPr>
        <w:t>ence from at least two independent data source categories. Claims supported by a single source were flagged and either corroborated through additional searching or explicitly qualified in the manuscript.</w:t>
      </w:r>
    </w:p>
    <w:p w14:paraId="0C42CF95" w14:textId="77777777" w:rsidR="00B13804" w:rsidRDefault="000C72BE">
      <w:pPr>
        <w:pStyle w:val="1"/>
        <w:spacing w:after="200"/>
      </w:pPr>
      <w:r>
        <w:t>5. Case Selection Criteria and Rationale</w:t>
      </w:r>
    </w:p>
    <w:p w14:paraId="7A222D30" w14:textId="77777777" w:rsidR="00B13804" w:rsidRDefault="000C72BE">
      <w:pPr>
        <w:spacing w:after="160" w:line="276" w:lineRule="auto"/>
        <w:jc w:val="both"/>
      </w:pPr>
      <w:r>
        <w:rPr>
          <w:rFonts w:eastAsia="Times New Roman"/>
        </w:rPr>
        <w:t>Table S4 de</w:t>
      </w:r>
      <w:r>
        <w:rPr>
          <w:rFonts w:eastAsia="Times New Roman"/>
        </w:rPr>
        <w:t>tails the three criteria used for theoretical sampling of case organizations, including the operationalization and justification for each criterion.</w:t>
      </w:r>
    </w:p>
    <w:p w14:paraId="0C2C9522" w14:textId="77777777" w:rsidR="00B13804" w:rsidRDefault="000C72BE">
      <w:pPr>
        <w:spacing w:after="80"/>
      </w:pPr>
      <w:r>
        <w:rPr>
          <w:rFonts w:eastAsia="Times New Roman"/>
          <w:b/>
          <w:bCs/>
          <w:i/>
          <w:iCs/>
          <w:sz w:val="20"/>
          <w:szCs w:val="20"/>
        </w:rPr>
        <w:t>Table S4. Case Selection Criteria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00"/>
        <w:gridCol w:w="2600"/>
        <w:gridCol w:w="2880"/>
      </w:tblGrid>
      <w:tr w:rsidR="00B13804" w14:paraId="566E2D1A" w14:textId="77777777" w:rsidTr="000C72BE">
        <w:tblPrEx>
          <w:tblCellMar>
            <w:top w:w="0" w:type="dxa"/>
            <w:bottom w:w="0" w:type="dxa"/>
          </w:tblCellMar>
        </w:tblPrEx>
        <w:tc>
          <w:tcPr>
            <w:tcW w:w="18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2561F539" w14:textId="77777777" w:rsidR="00B13804" w:rsidRDefault="000C72BE">
            <w:r>
              <w:rPr>
                <w:rFonts w:eastAsia="Times New Roman"/>
                <w:b/>
                <w:bCs/>
                <w:sz w:val="20"/>
                <w:szCs w:val="20"/>
              </w:rPr>
              <w:t>Criterion</w:t>
            </w:r>
          </w:p>
        </w:tc>
        <w:tc>
          <w:tcPr>
            <w:tcW w:w="28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3A094434" w14:textId="77777777" w:rsidR="00B13804" w:rsidRDefault="000C72BE">
            <w:r>
              <w:rPr>
                <w:rFonts w:eastAsia="Times New Roman"/>
                <w:b/>
                <w:bCs/>
                <w:sz w:val="20"/>
                <w:szCs w:val="20"/>
              </w:rPr>
              <w:t>Description</w:t>
            </w:r>
          </w:p>
        </w:tc>
        <w:tc>
          <w:tcPr>
            <w:tcW w:w="260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108A5716" w14:textId="77777777" w:rsidR="00B13804" w:rsidRDefault="000C72BE">
            <w:r>
              <w:rPr>
                <w:rFonts w:eastAsia="Times New Roman"/>
                <w:b/>
                <w:bCs/>
                <w:sz w:val="20"/>
                <w:szCs w:val="20"/>
              </w:rPr>
              <w:t>Operationalization</w:t>
            </w:r>
          </w:p>
        </w:tc>
        <w:tc>
          <w:tcPr>
            <w:tcW w:w="2880" w:type="dxa"/>
            <w:tcBorders>
              <w:top w:val="single" w:sz="2" w:space="0" w:color="999999"/>
              <w:left w:val="single" w:sz="2" w:space="0" w:color="999999"/>
              <w:bottom w:val="single" w:sz="2" w:space="0" w:color="999999"/>
              <w:right w:val="single" w:sz="2" w:space="0" w:color="999999"/>
            </w:tcBorders>
            <w:shd w:val="clear" w:color="auto" w:fill="auto"/>
            <w:tcMar>
              <w:top w:w="60" w:type="dxa"/>
              <w:left w:w="100" w:type="dxa"/>
              <w:bottom w:w="60" w:type="dxa"/>
              <w:right w:w="100" w:type="dxa"/>
            </w:tcMar>
          </w:tcPr>
          <w:p w14:paraId="263B9274" w14:textId="77777777" w:rsidR="00B13804" w:rsidRDefault="000C72BE">
            <w:r>
              <w:rPr>
                <w:rFonts w:eastAsia="Times New Roman"/>
                <w:b/>
                <w:bCs/>
                <w:sz w:val="20"/>
                <w:szCs w:val="20"/>
              </w:rPr>
              <w:t>Justification</w:t>
            </w:r>
          </w:p>
        </w:tc>
      </w:tr>
      <w:tr w:rsidR="00B13804" w14:paraId="43D24D70" w14:textId="77777777" w:rsidTr="000C72BE">
        <w:tblPrEx>
          <w:tblCellMar>
            <w:top w:w="0" w:type="dxa"/>
            <w:bottom w:w="0" w:type="dxa"/>
          </w:tblCellMar>
        </w:tblPrEx>
        <w:tc>
          <w:tcPr>
            <w:tcW w:w="18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C52ACA" w14:textId="77777777" w:rsidR="00B13804" w:rsidRDefault="000C72BE">
            <w:pPr>
              <w:spacing w:after="40"/>
            </w:pPr>
            <w:r>
              <w:rPr>
                <w:rFonts w:eastAsia="Times New Roman"/>
                <w:sz w:val="20"/>
                <w:szCs w:val="20"/>
              </w:rPr>
              <w:t>Criterion 1: Sustained AI use</w:t>
            </w:r>
          </w:p>
        </w:tc>
        <w:tc>
          <w:tcPr>
            <w:tcW w:w="28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077A40" w14:textId="77777777" w:rsidR="00B13804" w:rsidRDefault="000C72BE">
            <w:pPr>
              <w:spacing w:after="40"/>
            </w:pPr>
            <w:r>
              <w:rPr>
                <w:rFonts w:eastAsia="Times New Roman"/>
                <w:sz w:val="20"/>
                <w:szCs w:val="20"/>
              </w:rPr>
              <w:t>Organization demonstrates documented and sustained use of AI technologies in recruitment, beyond isolated pilots</w:t>
            </w:r>
          </w:p>
        </w:tc>
        <w:tc>
          <w:tcPr>
            <w:tcW w:w="260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E9AE2F" w14:textId="77777777" w:rsidR="00B13804" w:rsidRDefault="000C72BE">
            <w:pPr>
              <w:spacing w:after="40"/>
            </w:pPr>
            <w:r>
              <w:rPr>
                <w:rFonts w:eastAsia="Times New Roman"/>
                <w:sz w:val="20"/>
                <w:szCs w:val="20"/>
              </w:rPr>
              <w:t>AI deployment must be part of organizational routines, not one-time experiments</w:t>
            </w:r>
          </w:p>
        </w:tc>
        <w:tc>
          <w:tcPr>
            <w:tcW w:w="2880" w:type="dxa"/>
            <w:tcBorders>
              <w:top w:val="single" w:sz="2"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CC1F1C" w14:textId="77777777" w:rsidR="00B13804" w:rsidRDefault="000C72BE">
            <w:pPr>
              <w:spacing w:after="40"/>
            </w:pPr>
            <w:r>
              <w:rPr>
                <w:rFonts w:eastAsia="Times New Roman"/>
                <w:sz w:val="20"/>
                <w:szCs w:val="20"/>
              </w:rPr>
              <w:t>Ensures observed configurations reflect institutionalized practices</w:t>
            </w:r>
          </w:p>
        </w:tc>
      </w:tr>
      <w:tr w:rsidR="00B13804" w14:paraId="1FBBD1E6"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F19A79" w14:textId="77777777" w:rsidR="00B13804" w:rsidRDefault="000C72BE">
            <w:pPr>
              <w:spacing w:after="40"/>
            </w:pPr>
            <w:r>
              <w:rPr>
                <w:rFonts w:eastAsia="Times New Roman"/>
                <w:sz w:val="20"/>
                <w:szCs w:val="20"/>
              </w:rPr>
              <w:t>Criterion 2: Sufficient public documentation</w:t>
            </w:r>
          </w:p>
        </w:tc>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C01D86" w14:textId="77777777" w:rsidR="00B13804" w:rsidRDefault="000C72BE">
            <w:pPr>
              <w:spacing w:after="40"/>
            </w:pPr>
            <w:r>
              <w:rPr>
                <w:rFonts w:eastAsia="Times New Roman"/>
                <w:sz w:val="20"/>
                <w:szCs w:val="20"/>
              </w:rPr>
              <w:t>Sufficient publicly available and credible documentation exists to reconstruct AI deployment, adjustment, and outcomes across recruitment stages</w:t>
            </w:r>
          </w:p>
        </w:tc>
        <w:tc>
          <w:tcPr>
            <w:tcW w:w="2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398A66" w14:textId="77777777" w:rsidR="00B13804" w:rsidRDefault="000C72BE">
            <w:pPr>
              <w:spacing w:after="40"/>
            </w:pPr>
            <w:r>
              <w:rPr>
                <w:rFonts w:eastAsia="Times New Roman"/>
                <w:sz w:val="20"/>
                <w:szCs w:val="20"/>
              </w:rPr>
              <w:t>Multiple independent sources must be available for each case</w:t>
            </w:r>
          </w:p>
        </w:tc>
        <w:tc>
          <w:tcPr>
            <w:tcW w:w="28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7F5A66" w14:textId="77777777" w:rsidR="00B13804" w:rsidRDefault="000C72BE">
            <w:pPr>
              <w:spacing w:after="40"/>
            </w:pPr>
            <w:r>
              <w:rPr>
                <w:rFonts w:eastAsia="Times New Roman"/>
                <w:sz w:val="20"/>
                <w:szCs w:val="20"/>
              </w:rPr>
              <w:t>Enables triangulation and systematic analysis with</w:t>
            </w:r>
            <w:r>
              <w:rPr>
                <w:rFonts w:eastAsia="Times New Roman"/>
                <w:sz w:val="20"/>
                <w:szCs w:val="20"/>
              </w:rPr>
              <w:t>out reliance on single narratives</w:t>
            </w:r>
          </w:p>
        </w:tc>
      </w:tr>
      <w:tr w:rsidR="00B13804" w14:paraId="3743D037"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702C0A" w14:textId="77777777" w:rsidR="00B13804" w:rsidRDefault="000C72BE">
            <w:pPr>
              <w:spacing w:after="40"/>
            </w:pPr>
            <w:r>
              <w:rPr>
                <w:rFonts w:eastAsia="Times New Roman"/>
                <w:sz w:val="20"/>
                <w:szCs w:val="20"/>
              </w:rPr>
              <w:t>Criterion 3: Configuration variation</w:t>
            </w:r>
          </w:p>
        </w:tc>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563A0D" w14:textId="77777777" w:rsidR="00B13804" w:rsidRDefault="000C72BE">
            <w:pPr>
              <w:spacing w:after="40"/>
            </w:pPr>
            <w:r>
              <w:rPr>
                <w:rFonts w:eastAsia="Times New Roman"/>
                <w:sz w:val="20"/>
                <w:szCs w:val="20"/>
              </w:rPr>
              <w:t>Cases exhibit variation in AI configurations and observable transitions over time</w:t>
            </w:r>
          </w:p>
        </w:tc>
        <w:tc>
          <w:tcPr>
            <w:tcW w:w="2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FDC3F6" w14:textId="77777777" w:rsidR="00B13804" w:rsidRDefault="000C72BE">
            <w:pPr>
              <w:spacing w:after="40"/>
            </w:pPr>
            <w:r>
              <w:rPr>
                <w:rFonts w:eastAsia="Times New Roman"/>
                <w:sz w:val="20"/>
                <w:szCs w:val="20"/>
              </w:rPr>
              <w:t>Evidence of automation, augmentation, and/or hybrid configurations must be present, along with transit</w:t>
            </w:r>
            <w:r>
              <w:rPr>
                <w:rFonts w:eastAsia="Times New Roman"/>
                <w:sz w:val="20"/>
                <w:szCs w:val="20"/>
              </w:rPr>
              <w:t>ions between them</w:t>
            </w:r>
          </w:p>
        </w:tc>
        <w:tc>
          <w:tcPr>
            <w:tcW w:w="288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5399E6" w14:textId="77777777" w:rsidR="00B13804" w:rsidRDefault="000C72BE">
            <w:pPr>
              <w:spacing w:after="40"/>
            </w:pPr>
            <w:r>
              <w:rPr>
                <w:rFonts w:eastAsia="Times New Roman"/>
                <w:sz w:val="20"/>
                <w:szCs w:val="20"/>
              </w:rPr>
              <w:t>Critical for theorizing the automation–augmentation paradox as a dynamic process</w:t>
            </w:r>
          </w:p>
        </w:tc>
      </w:tr>
    </w:tbl>
    <w:p w14:paraId="3F97A8A5" w14:textId="77777777" w:rsidR="00B13804" w:rsidRDefault="000C72BE">
      <w:pPr>
        <w:spacing w:after="160" w:line="276" w:lineRule="auto"/>
        <w:jc w:val="both"/>
      </w:pPr>
      <w:r>
        <w:rPr>
          <w:rFonts w:eastAsia="Times New Roman"/>
        </w:rPr>
        <w:t>The final case set includes Unilever, Amazon, Hilton, IBM, and specialized HR technology providers (</w:t>
      </w:r>
      <w:proofErr w:type="spellStart"/>
      <w:r>
        <w:rPr>
          <w:rFonts w:eastAsia="Times New Roman"/>
        </w:rPr>
        <w:t>HireVue</w:t>
      </w:r>
      <w:proofErr w:type="spellEnd"/>
      <w:r>
        <w:rPr>
          <w:rFonts w:eastAsia="Times New Roman"/>
        </w:rPr>
        <w:t xml:space="preserve">, </w:t>
      </w:r>
      <w:proofErr w:type="spellStart"/>
      <w:r>
        <w:rPr>
          <w:rFonts w:eastAsia="Times New Roman"/>
        </w:rPr>
        <w:t>Pymetrics</w:t>
      </w:r>
      <w:proofErr w:type="spellEnd"/>
      <w:r>
        <w:rPr>
          <w:rFonts w:eastAsia="Times New Roman"/>
        </w:rPr>
        <w:t xml:space="preserve">, </w:t>
      </w:r>
      <w:proofErr w:type="spellStart"/>
      <w:r>
        <w:rPr>
          <w:rFonts w:eastAsia="Times New Roman"/>
        </w:rPr>
        <w:t>Textio</w:t>
      </w:r>
      <w:proofErr w:type="spellEnd"/>
      <w:r>
        <w:rPr>
          <w:rFonts w:eastAsia="Times New Roman"/>
        </w:rPr>
        <w:t xml:space="preserve">, </w:t>
      </w:r>
      <w:proofErr w:type="spellStart"/>
      <w:r>
        <w:rPr>
          <w:rFonts w:eastAsia="Times New Roman"/>
        </w:rPr>
        <w:t>HackerRank</w:t>
      </w:r>
      <w:proofErr w:type="spellEnd"/>
      <w:r>
        <w:rPr>
          <w:rFonts w:eastAsia="Times New Roman"/>
        </w:rPr>
        <w:t>, Eightfold AI, an</w:t>
      </w:r>
      <w:r>
        <w:rPr>
          <w:rFonts w:eastAsia="Times New Roman"/>
        </w:rPr>
        <w:t>d others). These cases collectively span all stages of the recruitment process and exhibit sufficient variation in AI configurations to support theory building.</w:t>
      </w:r>
    </w:p>
    <w:p w14:paraId="382D938A" w14:textId="77777777" w:rsidR="00B13804" w:rsidRDefault="000C72BE">
      <w:pPr>
        <w:pStyle w:val="1"/>
        <w:spacing w:after="200"/>
      </w:pPr>
      <w:r>
        <w:t>6. Strategies for Ensuring Rigor and Analytical Validity</w:t>
      </w:r>
    </w:p>
    <w:p w14:paraId="4781E78E" w14:textId="77777777" w:rsidR="00B13804" w:rsidRDefault="000C72BE">
      <w:pPr>
        <w:spacing w:after="160" w:line="276" w:lineRule="auto"/>
        <w:jc w:val="both"/>
      </w:pPr>
      <w:r>
        <w:rPr>
          <w:rFonts w:eastAsia="Times New Roman"/>
        </w:rPr>
        <w:t>The following strategies were employed</w:t>
      </w:r>
      <w:r>
        <w:rPr>
          <w:rFonts w:eastAsia="Times New Roman"/>
        </w:rPr>
        <w:t xml:space="preserve"> to ensure the quality and trustworthiness of the research, consistent with established standards for qualitative rigor (</w:t>
      </w:r>
      <w:proofErr w:type="spellStart"/>
      <w:r>
        <w:rPr>
          <w:rFonts w:eastAsia="Times New Roman"/>
        </w:rPr>
        <w:t>Gioia</w:t>
      </w:r>
      <w:proofErr w:type="spellEnd"/>
      <w:r>
        <w:rPr>
          <w:rFonts w:eastAsia="Times New Roman"/>
        </w:rPr>
        <w:t>, Corley &amp; Hamilton, 2013; Pratt, Kaplan &amp; Whittington, 2020; Yin, 2018):</w:t>
      </w:r>
    </w:p>
    <w:p w14:paraId="5D9D04EE" w14:textId="77777777" w:rsidR="00B13804" w:rsidRDefault="000C72BE">
      <w:pPr>
        <w:spacing w:after="160" w:line="276" w:lineRule="auto"/>
        <w:jc w:val="both"/>
      </w:pPr>
      <w:r>
        <w:rPr>
          <w:rFonts w:eastAsia="Times New Roman"/>
          <w:b/>
          <w:bCs/>
        </w:rPr>
        <w:t xml:space="preserve">Construct validity: </w:t>
      </w:r>
      <w:r>
        <w:rPr>
          <w:rFonts w:eastAsia="Times New Roman"/>
        </w:rPr>
        <w:t>Strengthened through data triangulation across six source categories and by anchoring the analysis in a standardized recruitment framework derived from established personnel selection literature. Analytical constructs (automation, augmentation, hybrid) wer</w:t>
      </w:r>
      <w:r>
        <w:rPr>
          <w:rFonts w:eastAsia="Times New Roman"/>
        </w:rPr>
        <w:t>e operationally defined with explicit classification criteria (Table S3).</w:t>
      </w:r>
    </w:p>
    <w:p w14:paraId="6BD31033" w14:textId="77777777" w:rsidR="00B13804" w:rsidRDefault="000C72BE">
      <w:pPr>
        <w:spacing w:after="160" w:line="276" w:lineRule="auto"/>
        <w:jc w:val="both"/>
      </w:pPr>
      <w:r>
        <w:rPr>
          <w:rFonts w:eastAsia="Times New Roman"/>
          <w:b/>
          <w:bCs/>
        </w:rPr>
        <w:t xml:space="preserve">Internal validity: </w:t>
      </w:r>
      <w:r>
        <w:rPr>
          <w:rFonts w:eastAsia="Times New Roman"/>
        </w:rPr>
        <w:t>Addressed by explicitly linking observed patterns to theoretical mechanisms through pattern matching and cross-case comparison, rather than relying on post hoc nar</w:t>
      </w:r>
      <w:r>
        <w:rPr>
          <w:rFonts w:eastAsia="Times New Roman"/>
        </w:rPr>
        <w:t>rative interpretation. Rival explanations (e.g., that configuration differences reflect technological maturity rather than institutional dynamics) were systematically considered and addressed.</w:t>
      </w:r>
    </w:p>
    <w:p w14:paraId="1B216A64" w14:textId="77777777" w:rsidR="00B13804" w:rsidRDefault="000C72BE">
      <w:pPr>
        <w:spacing w:after="160" w:line="276" w:lineRule="auto"/>
        <w:jc w:val="both"/>
      </w:pPr>
      <w:r>
        <w:rPr>
          <w:rFonts w:eastAsia="Times New Roman"/>
          <w:b/>
          <w:bCs/>
        </w:rPr>
        <w:lastRenderedPageBreak/>
        <w:t xml:space="preserve">External validity (analytic generalization): </w:t>
      </w:r>
      <w:r>
        <w:rPr>
          <w:rFonts w:eastAsia="Times New Roman"/>
        </w:rPr>
        <w:t>Achieved through t</w:t>
      </w:r>
      <w:r>
        <w:rPr>
          <w:rFonts w:eastAsia="Times New Roman"/>
        </w:rPr>
        <w:t>heoretical replication across multiple organizationally diverse cases. The recurrence of stage-embedded mechanisms across cases with different organizational sizes, industries, and technological contexts supports the transferability of the theoretical fram</w:t>
      </w:r>
      <w:r>
        <w:rPr>
          <w:rFonts w:eastAsia="Times New Roman"/>
        </w:rPr>
        <w:t>ework.</w:t>
      </w:r>
    </w:p>
    <w:p w14:paraId="6BFB4D86" w14:textId="77777777" w:rsidR="00B13804" w:rsidRDefault="000C72BE">
      <w:pPr>
        <w:spacing w:after="160" w:line="276" w:lineRule="auto"/>
        <w:jc w:val="both"/>
      </w:pPr>
      <w:r>
        <w:rPr>
          <w:rFonts w:eastAsia="Times New Roman"/>
          <w:b/>
          <w:bCs/>
        </w:rPr>
        <w:t xml:space="preserve">Reliability: </w:t>
      </w:r>
      <w:r>
        <w:rPr>
          <w:rFonts w:eastAsia="Times New Roman"/>
        </w:rPr>
        <w:t>Supported through transparent documentation of case selection criteria (Table S4), analytical dimensions (Table S3), coding logic (Table S2), and the sequential analytical process (Section 4.1). This documentation enables reviewers to t</w:t>
      </w:r>
      <w:r>
        <w:rPr>
          <w:rFonts w:eastAsia="Times New Roman"/>
        </w:rPr>
        <w:t>race the path from source materials to theoretical propositions.</w:t>
      </w:r>
    </w:p>
    <w:p w14:paraId="22DA0DA9" w14:textId="77777777" w:rsidR="00B13804" w:rsidRDefault="000C72BE">
      <w:pPr>
        <w:pStyle w:val="1"/>
        <w:spacing w:after="200"/>
      </w:pPr>
      <w:r>
        <w:t>7. Additional Documentation for Verification</w:t>
      </w:r>
    </w:p>
    <w:p w14:paraId="224AC92A" w14:textId="77777777" w:rsidR="00B13804" w:rsidRDefault="000C72BE">
      <w:pPr>
        <w:pStyle w:val="2"/>
        <w:spacing w:before="360"/>
      </w:pPr>
      <w:r>
        <w:t>7.1 Source Reference Verification Guide</w:t>
      </w:r>
    </w:p>
    <w:p w14:paraId="2A140FA6" w14:textId="77777777" w:rsidR="00B13804" w:rsidRDefault="000C72BE">
      <w:pPr>
        <w:spacing w:after="160" w:line="276" w:lineRule="auto"/>
        <w:jc w:val="both"/>
      </w:pPr>
      <w:r>
        <w:rPr>
          <w:rFonts w:eastAsia="Times New Roman"/>
        </w:rPr>
        <w:t>All source materials cited in the manuscript are publicly accessible. The Reference section of the manuscr</w:t>
      </w:r>
      <w:r>
        <w:rPr>
          <w:rFonts w:eastAsia="Times New Roman"/>
        </w:rPr>
        <w:t>ipt provides complete bibliographic information, including DOIs for academic publications and URLs for online sources. Reviewers may verify any specific claim by consulting the cited source(s). Where multiple sources corroborate a single claim, the manuscr</w:t>
      </w:r>
      <w:r>
        <w:rPr>
          <w:rFonts w:eastAsia="Times New Roman"/>
        </w:rPr>
        <w:t>ipt cites the primary source with additional supporting references as appropriate.</w:t>
      </w:r>
    </w:p>
    <w:p w14:paraId="5EA92068" w14:textId="77777777" w:rsidR="00B13804" w:rsidRDefault="000C72BE">
      <w:pPr>
        <w:pStyle w:val="2"/>
        <w:spacing w:before="360"/>
      </w:pPr>
      <w:r>
        <w:t>7.2 Recruitment Stage Framework Derivation</w:t>
      </w:r>
    </w:p>
    <w:p w14:paraId="194D0C1A" w14:textId="77777777" w:rsidR="00B13804" w:rsidRDefault="000C72BE">
      <w:pPr>
        <w:spacing w:after="160" w:line="276" w:lineRule="auto"/>
        <w:jc w:val="both"/>
      </w:pPr>
      <w:r>
        <w:rPr>
          <w:rFonts w:eastAsia="Times New Roman"/>
        </w:rPr>
        <w:t>The standardized recruitment framework used for case mapping (Table 1 in the manuscript) was derived from established personnel se</w:t>
      </w:r>
      <w:r>
        <w:rPr>
          <w:rFonts w:eastAsia="Times New Roman"/>
        </w:rPr>
        <w:t xml:space="preserve">lection literature, including Schmidt and Hunter (1998), Campion, Palmer, and Campion (1997), Gatewood, </w:t>
      </w:r>
      <w:proofErr w:type="spellStart"/>
      <w:r>
        <w:rPr>
          <w:rFonts w:eastAsia="Times New Roman"/>
        </w:rPr>
        <w:t>Feild</w:t>
      </w:r>
      <w:proofErr w:type="spellEnd"/>
      <w:r>
        <w:rPr>
          <w:rFonts w:eastAsia="Times New Roman"/>
        </w:rPr>
        <w:t>, and Barrick (2020), and Sackett et al. (2022). The framework decomposes recruitment into sequential, interdependent stages—from applicant pool fo</w:t>
      </w:r>
      <w:r>
        <w:rPr>
          <w:rFonts w:eastAsia="Times New Roman"/>
        </w:rPr>
        <w:t xml:space="preserve">rmation through post-hire validation—each characterized by distinct task properties and institutional exposure levels. This framework is not original to this study but is adapted from the cumulative personnel selection literature to serve as an analytical </w:t>
      </w:r>
      <w:r>
        <w:rPr>
          <w:rFonts w:eastAsia="Times New Roman"/>
        </w:rPr>
        <w:t>scaffold for cross-case comparison.</w:t>
      </w:r>
    </w:p>
    <w:p w14:paraId="3BD5FE83" w14:textId="77777777" w:rsidR="00B13804" w:rsidRDefault="000C72BE">
      <w:pPr>
        <w:pStyle w:val="2"/>
        <w:spacing w:before="360"/>
      </w:pPr>
      <w:r>
        <w:t>7.3 Limitations of the Methodological Approach</w:t>
      </w:r>
    </w:p>
    <w:p w14:paraId="1B91C2DB" w14:textId="77777777" w:rsidR="00B13804" w:rsidRDefault="000C72BE">
      <w:pPr>
        <w:spacing w:after="160" w:line="276" w:lineRule="auto"/>
        <w:jc w:val="both"/>
      </w:pPr>
      <w:r>
        <w:rPr>
          <w:rFonts w:eastAsia="Times New Roman"/>
        </w:rPr>
        <w:t>As acknowledged in the manuscript (Section 6: Conclusion), this study has methodological limitations inherent in secondary-data-based qualitative research. First, reliance o</w:t>
      </w:r>
      <w:r>
        <w:rPr>
          <w:rFonts w:eastAsia="Times New Roman"/>
        </w:rPr>
        <w:t>n publicly available documentation means that internal organizational deliberations, informal decision processes, and unpublished outcomes are not captured. Second, the depth of available documentation varies across cases and stages, potentially creating u</w:t>
      </w:r>
      <w:r>
        <w:rPr>
          <w:rFonts w:eastAsia="Times New Roman"/>
        </w:rPr>
        <w:t>neven analytical coverage. Third, as a theory-building study, the propositions advanced require empirical testing through primary data collection methods such as longitudinal field studies, organizational surveys, or experimental designs. These limitations</w:t>
      </w:r>
      <w:r>
        <w:rPr>
          <w:rFonts w:eastAsia="Times New Roman"/>
        </w:rPr>
        <w:t xml:space="preserve"> are explicitly discussed in the manuscript and are offered as directions for future research.</w:t>
      </w:r>
    </w:p>
    <w:p w14:paraId="41ED082D" w14:textId="77777777" w:rsidR="00B13804" w:rsidRDefault="000C72BE">
      <w:pPr>
        <w:pStyle w:val="1"/>
        <w:spacing w:after="200"/>
      </w:pPr>
      <w:r>
        <w:t>8. Data Availability Statement</w:t>
      </w:r>
    </w:p>
    <w:p w14:paraId="3D5F7E2A" w14:textId="77777777" w:rsidR="00B13804" w:rsidRDefault="000C72BE">
      <w:pPr>
        <w:spacing w:after="160" w:line="276" w:lineRule="auto"/>
        <w:jc w:val="both"/>
      </w:pPr>
      <w:r>
        <w:rPr>
          <w:rFonts w:eastAsia="Times New Roman"/>
        </w:rPr>
        <w:t>This study is based on a qualitative, comparative multi-case study design that relies entirely on publicly available secondary dat</w:t>
      </w:r>
      <w:r>
        <w:rPr>
          <w:rFonts w:eastAsia="Times New Roman"/>
        </w:rPr>
        <w:t>a sources. The data comprise peer-reviewed academic publications, practitioner research reports, corporate disclosures, regulatory filings, technology vendor documentation, and credible journalistic investigations. All sources used in the analysis are cite</w:t>
      </w:r>
      <w:r>
        <w:rPr>
          <w:rFonts w:eastAsia="Times New Roman"/>
        </w:rPr>
        <w:t xml:space="preserve">d within the manuscript and listed in the Reference section. No primary data </w:t>
      </w:r>
      <w:r>
        <w:rPr>
          <w:rFonts w:eastAsia="Times New Roman"/>
        </w:rPr>
        <w:lastRenderedPageBreak/>
        <w:t>(e.g., interviews, surveys, or proprietary datasets) were collected or used. As all materials are publicly accessible through the cited references, no additional datasets or suppl</w:t>
      </w:r>
      <w:r>
        <w:rPr>
          <w:rFonts w:eastAsia="Times New Roman"/>
        </w:rPr>
        <w:t>ementary files are required for verification. Researchers seeking to replicate or scrutinize the analysis may access the original sources through the citations provided herein.</w:t>
      </w:r>
    </w:p>
    <w:sectPr w:rsidR="00B13804">
      <w:pgSz w:w="12240" w:h="1584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C8F"/>
    <w:multiLevelType w:val="hybridMultilevel"/>
    <w:tmpl w:val="4E9659AE"/>
    <w:lvl w:ilvl="0" w:tplc="FCBC46E4">
      <w:start w:val="1"/>
      <w:numFmt w:val="bullet"/>
      <w:lvlText w:val="●"/>
      <w:lvlJc w:val="left"/>
      <w:pPr>
        <w:ind w:left="720" w:hanging="360"/>
      </w:pPr>
    </w:lvl>
    <w:lvl w:ilvl="1" w:tplc="1B16981A">
      <w:start w:val="1"/>
      <w:numFmt w:val="bullet"/>
      <w:lvlText w:val="○"/>
      <w:lvlJc w:val="left"/>
      <w:pPr>
        <w:ind w:left="1440" w:hanging="360"/>
      </w:pPr>
    </w:lvl>
    <w:lvl w:ilvl="2" w:tplc="C79EA5D0">
      <w:start w:val="1"/>
      <w:numFmt w:val="bullet"/>
      <w:lvlText w:val="■"/>
      <w:lvlJc w:val="left"/>
      <w:pPr>
        <w:ind w:left="2160" w:hanging="360"/>
      </w:pPr>
    </w:lvl>
    <w:lvl w:ilvl="3" w:tplc="A478255E">
      <w:start w:val="1"/>
      <w:numFmt w:val="bullet"/>
      <w:lvlText w:val="●"/>
      <w:lvlJc w:val="left"/>
      <w:pPr>
        <w:ind w:left="2880" w:hanging="360"/>
      </w:pPr>
    </w:lvl>
    <w:lvl w:ilvl="4" w:tplc="E87C979A">
      <w:start w:val="1"/>
      <w:numFmt w:val="bullet"/>
      <w:lvlText w:val="○"/>
      <w:lvlJc w:val="left"/>
      <w:pPr>
        <w:ind w:left="3600" w:hanging="360"/>
      </w:pPr>
    </w:lvl>
    <w:lvl w:ilvl="5" w:tplc="5CACC58E">
      <w:start w:val="1"/>
      <w:numFmt w:val="bullet"/>
      <w:lvlText w:val="■"/>
      <w:lvlJc w:val="left"/>
      <w:pPr>
        <w:ind w:left="4320" w:hanging="360"/>
      </w:pPr>
    </w:lvl>
    <w:lvl w:ilvl="6" w:tplc="5666F904">
      <w:start w:val="1"/>
      <w:numFmt w:val="bullet"/>
      <w:lvlText w:val="●"/>
      <w:lvlJc w:val="left"/>
      <w:pPr>
        <w:ind w:left="5040" w:hanging="360"/>
      </w:pPr>
    </w:lvl>
    <w:lvl w:ilvl="7" w:tplc="BFB29D56">
      <w:start w:val="1"/>
      <w:numFmt w:val="bullet"/>
      <w:lvlText w:val="●"/>
      <w:lvlJc w:val="left"/>
      <w:pPr>
        <w:ind w:left="5760" w:hanging="360"/>
      </w:pPr>
    </w:lvl>
    <w:lvl w:ilvl="8" w:tplc="95CC29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04"/>
    <w:rsid w:val="000C72BE"/>
    <w:rsid w:val="00B138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7783"/>
  <w15:docId w15:val="{E82728A4-552E-4D90-AE83-99E96E63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spacing w:before="360" w:after="240"/>
      <w:outlineLvl w:val="0"/>
    </w:pPr>
    <w:rPr>
      <w:rFonts w:eastAsia="Times New Roman"/>
      <w:b/>
      <w:bCs/>
      <w:sz w:val="28"/>
      <w:szCs w:val="28"/>
    </w:rPr>
  </w:style>
  <w:style w:type="paragraph" w:styleId="2">
    <w:name w:val="heading 2"/>
    <w:uiPriority w:val="9"/>
    <w:unhideWhenUsed/>
    <w:qFormat/>
    <w:pPr>
      <w:spacing w:before="280" w:after="200"/>
      <w:outlineLvl w:val="1"/>
    </w:pPr>
    <w:rPr>
      <w:rFonts w:eastAsia="Times New Roman"/>
      <w:b/>
      <w:bCs/>
      <w:sz w:val="26"/>
      <w:szCs w:val="26"/>
    </w:rPr>
  </w:style>
  <w:style w:type="paragraph" w:styleId="3">
    <w:name w:val="heading 3"/>
    <w:uiPriority w:val="9"/>
    <w:semiHidden/>
    <w:unhideWhenUsed/>
    <w:qFormat/>
    <w:pPr>
      <w:spacing w:before="240" w:after="160"/>
      <w:outlineLvl w:val="2"/>
    </w:pPr>
    <w:rPr>
      <w:rFonts w:eastAsia="Times New Roman"/>
      <w:b/>
      <w:bCs/>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3278</Words>
  <Characters>18689</Characters>
  <Application>Microsoft Office Word</Application>
  <DocSecurity>0</DocSecurity>
  <Lines>155</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호찬 이</cp:lastModifiedBy>
  <cp:revision>2</cp:revision>
  <dcterms:created xsi:type="dcterms:W3CDTF">2026-03-03T02:39:00Z</dcterms:created>
  <dcterms:modified xsi:type="dcterms:W3CDTF">2026-03-03T12:53:00Z</dcterms:modified>
</cp:coreProperties>
</file>