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4E066" w14:textId="77777777" w:rsidR="005B7B6E" w:rsidRPr="00972189" w:rsidRDefault="005B7B6E" w:rsidP="005B7B6E">
      <w:pPr>
        <w:pStyle w:val="Heading1"/>
        <w:rPr>
          <w:rFonts w:ascii="Times New Roman" w:hAnsi="Times New Roman" w:cs="Times New Roman"/>
          <w:color w:val="000000" w:themeColor="text1"/>
        </w:rPr>
      </w:pPr>
      <w:r w:rsidRPr="00972189">
        <w:rPr>
          <w:rFonts w:ascii="Times New Roman" w:hAnsi="Times New Roman" w:cs="Times New Roman"/>
          <w:color w:val="000000" w:themeColor="text1"/>
        </w:rPr>
        <w:t>Supplementary Figures</w:t>
      </w:r>
    </w:p>
    <w:p w14:paraId="3DD175C8" w14:textId="77777777" w:rsidR="005B7B6E" w:rsidRPr="00972189" w:rsidRDefault="005B7B6E" w:rsidP="005B7B6E">
      <w:pPr>
        <w:rPr>
          <w:rFonts w:cs="Times New Roman"/>
        </w:rPr>
      </w:pPr>
    </w:p>
    <w:p w14:paraId="27A0537F" w14:textId="77777777" w:rsidR="005B7B6E" w:rsidRPr="00972189" w:rsidRDefault="005B7B6E" w:rsidP="005B7B6E">
      <w:pPr>
        <w:rPr>
          <w:rFonts w:cs="Times New Roman"/>
        </w:rPr>
      </w:pPr>
    </w:p>
    <w:p w14:paraId="4CB000CF" w14:textId="77777777" w:rsidR="005B7B6E" w:rsidRPr="00972189" w:rsidRDefault="005B7B6E" w:rsidP="005B7B6E">
      <w:pPr>
        <w:jc w:val="both"/>
        <w:rPr>
          <w:rFonts w:cs="Times New Roman"/>
        </w:rPr>
      </w:pPr>
      <w:r w:rsidRPr="00972189">
        <w:rPr>
          <w:rFonts w:cs="Times New Roman"/>
          <w:b/>
          <w:bCs/>
        </w:rPr>
        <w:t>Supplementary Figure S1.</w:t>
      </w:r>
      <w:r w:rsidRPr="00972189">
        <w:rPr>
          <w:rFonts w:cs="Times New Roman"/>
        </w:rPr>
        <w:t xml:space="preserve"> Kaplan-Meier curve for progression free survival (PFS) stratified by ASP cut off 0.30 over full follow up. Higher ASP (&gt; 0.30; n =71) showed shorter median PFS (9.6 months) versus ASP ≤ 0.30 (n =109; median 24.7 months); log-rank p = 0.0017.</w:t>
      </w:r>
    </w:p>
    <w:p w14:paraId="171BDE97" w14:textId="77777777" w:rsidR="005B7B6E" w:rsidRPr="00972189" w:rsidRDefault="005B7B6E" w:rsidP="005B7B6E">
      <w:pPr>
        <w:jc w:val="center"/>
        <w:rPr>
          <w:rFonts w:cs="Times New Roman"/>
        </w:rPr>
      </w:pPr>
      <w:r w:rsidRPr="00972189">
        <w:rPr>
          <w:rFonts w:cs="Times New Roman"/>
          <w:noProof/>
        </w:rPr>
        <w:drawing>
          <wp:inline distT="0" distB="0" distL="0" distR="0" wp14:anchorId="74842DE6" wp14:editId="0DE1C5E5">
            <wp:extent cx="5943600" cy="44577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72189">
        <w:rPr>
          <w:rFonts w:cs="Times New Roman"/>
        </w:rPr>
        <w:br w:type="page"/>
      </w:r>
    </w:p>
    <w:p w14:paraId="23371515" w14:textId="77777777" w:rsidR="005B7B6E" w:rsidRPr="00972189" w:rsidRDefault="005B7B6E" w:rsidP="005B7B6E">
      <w:pPr>
        <w:jc w:val="both"/>
        <w:rPr>
          <w:rFonts w:cs="Times New Roman"/>
        </w:rPr>
      </w:pPr>
      <w:r w:rsidRPr="00972189">
        <w:rPr>
          <w:rFonts w:cs="Times New Roman"/>
          <w:b/>
          <w:bCs/>
        </w:rPr>
        <w:lastRenderedPageBreak/>
        <w:t>Supplementary Figure S2</w:t>
      </w:r>
      <w:r w:rsidRPr="00972189">
        <w:rPr>
          <w:rFonts w:cs="Times New Roman"/>
        </w:rPr>
        <w:t>. Kaplan-Meier curve for overall survival (OS) stratified by ASP cut off 0.30 over full follow up. Higher ASP (&gt; 0.30; n =71) showed shorter median OS (10.8 months) versus ASP ≤0.30 (n =109; median 28.2 months); log-rank p=0.00011.</w:t>
      </w:r>
    </w:p>
    <w:p w14:paraId="13309262" w14:textId="77777777" w:rsidR="005B7B6E" w:rsidRPr="00972189" w:rsidRDefault="005B7B6E" w:rsidP="005B7B6E">
      <w:pPr>
        <w:jc w:val="center"/>
        <w:rPr>
          <w:rFonts w:cs="Times New Roman"/>
        </w:rPr>
      </w:pPr>
      <w:r w:rsidRPr="00972189">
        <w:rPr>
          <w:rFonts w:cs="Times New Roman"/>
          <w:noProof/>
        </w:rPr>
        <w:drawing>
          <wp:inline distT="0" distB="0" distL="0" distR="0" wp14:anchorId="2971A70D" wp14:editId="082274CB">
            <wp:extent cx="5943600" cy="44577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72189">
        <w:rPr>
          <w:rFonts w:cs="Times New Roman"/>
        </w:rPr>
        <w:br w:type="page"/>
      </w:r>
    </w:p>
    <w:p w14:paraId="496C8594" w14:textId="77777777" w:rsidR="005B7B6E" w:rsidRPr="00972189" w:rsidRDefault="005B7B6E" w:rsidP="005B7B6E">
      <w:pPr>
        <w:jc w:val="both"/>
        <w:rPr>
          <w:rFonts w:cs="Times New Roman"/>
        </w:rPr>
      </w:pPr>
      <w:r w:rsidRPr="00972189">
        <w:rPr>
          <w:rFonts w:cs="Times New Roman"/>
          <w:b/>
          <w:bCs/>
        </w:rPr>
        <w:lastRenderedPageBreak/>
        <w:t>Supplementary Figure S3.</w:t>
      </w:r>
      <w:r w:rsidRPr="00972189">
        <w:rPr>
          <w:rFonts w:cs="Times New Roman"/>
        </w:rPr>
        <w:t xml:space="preserve"> Calibration of the baseline metastasis prediction model. Observed event rates are plotted against mean predicted risk across deciles of predicted probability; the diagonal line indicates perfect calibration. Calibration intercept 0.00, calibration slope 1.00, and Brier score 0.117.</w:t>
      </w:r>
    </w:p>
    <w:p w14:paraId="634D5FA5" w14:textId="77777777" w:rsidR="005B7B6E" w:rsidRPr="00972189" w:rsidRDefault="005B7B6E" w:rsidP="005B7B6E">
      <w:pPr>
        <w:jc w:val="center"/>
        <w:rPr>
          <w:rFonts w:cs="Times New Roman"/>
        </w:rPr>
      </w:pPr>
      <w:r w:rsidRPr="00972189">
        <w:rPr>
          <w:rFonts w:cs="Times New Roman"/>
          <w:noProof/>
        </w:rPr>
        <w:drawing>
          <wp:inline distT="0" distB="0" distL="0" distR="0" wp14:anchorId="2CE745C5" wp14:editId="3F6C6EFB">
            <wp:extent cx="5943600" cy="540327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03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72189">
        <w:rPr>
          <w:rFonts w:cs="Times New Roman"/>
        </w:rPr>
        <w:br w:type="page"/>
      </w:r>
    </w:p>
    <w:p w14:paraId="2A5B37D3" w14:textId="77777777" w:rsidR="005B7B6E" w:rsidRPr="00972189" w:rsidRDefault="005B7B6E" w:rsidP="005B7B6E">
      <w:pPr>
        <w:jc w:val="both"/>
        <w:rPr>
          <w:rFonts w:cs="Times New Roman"/>
        </w:rPr>
      </w:pPr>
      <w:r w:rsidRPr="00972189">
        <w:rPr>
          <w:rFonts w:cs="Times New Roman"/>
          <w:b/>
          <w:bCs/>
        </w:rPr>
        <w:lastRenderedPageBreak/>
        <w:t>Supplementary Figure S4.</w:t>
      </w:r>
      <w:r w:rsidRPr="00972189">
        <w:rPr>
          <w:rFonts w:cs="Times New Roman"/>
        </w:rPr>
        <w:t xml:space="preserve"> Clinically interpretable risk curve for baseline metastasis prediction. Smoothed observed event rate is plotted against predicted risk across the spectrum of model predicted probabilities; the diagonal line indicates perfect agreement.</w:t>
      </w:r>
    </w:p>
    <w:p w14:paraId="08796F4D" w14:textId="77777777" w:rsidR="005B7B6E" w:rsidRPr="00972189" w:rsidRDefault="005B7B6E" w:rsidP="005B7B6E">
      <w:pPr>
        <w:jc w:val="center"/>
        <w:rPr>
          <w:rFonts w:cs="Times New Roman"/>
        </w:rPr>
      </w:pPr>
      <w:r w:rsidRPr="00972189">
        <w:rPr>
          <w:rFonts w:cs="Times New Roman"/>
          <w:noProof/>
        </w:rPr>
        <w:drawing>
          <wp:inline distT="0" distB="0" distL="0" distR="0" wp14:anchorId="3DEA79E9" wp14:editId="6753BA9B">
            <wp:extent cx="5943600" cy="39624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F81B0" w14:textId="77777777" w:rsidR="005B7B6E" w:rsidRPr="00972189" w:rsidRDefault="005B7B6E" w:rsidP="005B7B6E">
      <w:pPr>
        <w:rPr>
          <w:rFonts w:cs="Times New Roman"/>
        </w:rPr>
      </w:pPr>
    </w:p>
    <w:p w14:paraId="290F16EE" w14:textId="77777777" w:rsidR="005B7B6E" w:rsidRPr="00972189" w:rsidRDefault="005B7B6E" w:rsidP="005B7B6E">
      <w:pPr>
        <w:jc w:val="both"/>
        <w:rPr>
          <w:rFonts w:cs="Times New Roman"/>
        </w:rPr>
      </w:pPr>
      <w:r w:rsidRPr="00972189">
        <w:rPr>
          <w:rFonts w:cs="Times New Roman"/>
          <w:b/>
          <w:bCs/>
        </w:rPr>
        <w:t>Supplementary Figure S5</w:t>
      </w:r>
      <w:r w:rsidRPr="00972189">
        <w:rPr>
          <w:rFonts w:cs="Times New Roman"/>
        </w:rPr>
        <w:t xml:space="preserve">. Receiver operating characteristic (ROC) curve for baseline </w:t>
      </w:r>
      <w:proofErr w:type="spellStart"/>
      <w:r w:rsidRPr="00972189">
        <w:rPr>
          <w:rFonts w:cs="Times New Roman"/>
        </w:rPr>
        <w:t>tumour</w:t>
      </w:r>
      <w:proofErr w:type="spellEnd"/>
      <w:r w:rsidRPr="00972189">
        <w:rPr>
          <w:rFonts w:cs="Times New Roman"/>
        </w:rPr>
        <w:t xml:space="preserve"> </w:t>
      </w:r>
      <w:proofErr w:type="spellStart"/>
      <w:r w:rsidRPr="00972189">
        <w:rPr>
          <w:rFonts w:cs="Times New Roman"/>
        </w:rPr>
        <w:t>asphericity</w:t>
      </w:r>
      <w:proofErr w:type="spellEnd"/>
      <w:r w:rsidRPr="00972189">
        <w:rPr>
          <w:rFonts w:cs="Times New Roman"/>
        </w:rPr>
        <w:t xml:space="preserve"> (ASP) for discrimination of de novo metastatic disease at presentation. ASP yielded an AUC of 0.804. The optimal cut point by the Youden index was 0.287 (sensitivity 86.5%, </w:t>
      </w:r>
      <w:proofErr w:type="gramStart"/>
      <w:r w:rsidRPr="00972189">
        <w:rPr>
          <w:rFonts w:cs="Times New Roman"/>
        </w:rPr>
        <w:t>specificity</w:t>
      </w:r>
      <w:proofErr w:type="gramEnd"/>
      <w:r w:rsidRPr="00972189">
        <w:rPr>
          <w:rFonts w:cs="Times New Roman"/>
        </w:rPr>
        <w:t xml:space="preserve"> 65.7%). A rounded threshold of ASP 0.30 (ASP &gt; 0.30 vs ASP ≤ 0.30) was used for </w:t>
      </w:r>
      <w:proofErr w:type="spellStart"/>
      <w:r w:rsidRPr="00972189">
        <w:rPr>
          <w:rFonts w:cs="Times New Roman"/>
        </w:rPr>
        <w:t>dichotomised</w:t>
      </w:r>
      <w:proofErr w:type="spellEnd"/>
      <w:r w:rsidRPr="00972189">
        <w:rPr>
          <w:rFonts w:cs="Times New Roman"/>
        </w:rPr>
        <w:t xml:space="preserve"> Kaplan-Meier analyses and subgroup comparisons.</w:t>
      </w:r>
    </w:p>
    <w:p w14:paraId="42EF61B5" w14:textId="77777777" w:rsidR="005B7B6E" w:rsidRPr="00972189" w:rsidRDefault="005B7B6E" w:rsidP="005B7B6E">
      <w:pPr>
        <w:rPr>
          <w:rFonts w:cs="Times New Roman"/>
        </w:rPr>
      </w:pPr>
      <w:r w:rsidRPr="00972189">
        <w:rPr>
          <w:rFonts w:cs="Times New Roman"/>
          <w:noProof/>
        </w:rPr>
        <w:lastRenderedPageBreak/>
        <w:drawing>
          <wp:inline distT="0" distB="0" distL="0" distR="0" wp14:anchorId="122AB9C8" wp14:editId="0C25EF99">
            <wp:extent cx="5029200" cy="5029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Fig_S5_ROC_ASP_metastasis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6F8C4" w14:textId="77777777" w:rsidR="00A91650" w:rsidRDefault="00A91650"/>
    <w:sectPr w:rsidR="00A91650" w:rsidSect="005B7B6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B6E"/>
    <w:rsid w:val="000E2EDD"/>
    <w:rsid w:val="005B7B6E"/>
    <w:rsid w:val="00A43016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71E33"/>
  <w15:chartTrackingRefBased/>
  <w15:docId w15:val="{AEA2CE0B-1B06-4BCA-AD50-5649B8360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B6E"/>
    <w:pPr>
      <w:spacing w:after="200" w:line="276" w:lineRule="auto"/>
    </w:pPr>
    <w:rPr>
      <w:rFonts w:ascii="Times New Roman" w:eastAsiaTheme="minorEastAsia" w:hAnsi="Times New Roman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7B6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7B6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7B6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7B6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7B6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7B6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B6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7B6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7B6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7B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7B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B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B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B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B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B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B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B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7B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7B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7B6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7B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7B6E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7B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7B6E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7B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7B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7B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7B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225</Words>
  <Characters>1317</Characters>
  <Application>Microsoft Office Word</Application>
  <DocSecurity>0</DocSecurity>
  <Lines>28</Lines>
  <Paragraphs>6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2026-03-31T18:18:00Z</dcterms:created>
  <dcterms:modified xsi:type="dcterms:W3CDTF">2026-03-31T18:18:00Z</dcterms:modified>
</cp:coreProperties>
</file>