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ascii="Arial" w:hAnsi="Arial" w:cs="Arial"/>
          <w:color w:val="000000"/>
          <w:sz w:val="28"/>
          <w:szCs w:val="28"/>
        </w:rPr>
      </w:pPr>
      <w:bookmarkStart w:id="1" w:name="_GoBack"/>
      <w:r>
        <w:rPr>
          <w:rFonts w:ascii="Arial" w:hAnsi="Arial" w:cs="Arial"/>
          <w:b/>
          <w:color w:val="000000"/>
          <w:sz w:val="28"/>
          <w:szCs w:val="28"/>
        </w:rPr>
        <w:t>Table S</w:t>
      </w:r>
      <w:r>
        <w:rPr>
          <w:rFonts w:hint="eastAsia" w:ascii="Arial" w:hAnsi="Arial" w:cs="Arial"/>
          <w:b/>
          <w:color w:val="000000"/>
          <w:sz w:val="28"/>
          <w:szCs w:val="28"/>
          <w:lang w:val="en-US" w:eastAsia="zh-CN"/>
        </w:rPr>
        <w:t>7</w:t>
      </w:r>
      <w:r>
        <w:rPr>
          <w:rFonts w:ascii="Arial" w:hAnsi="Arial" w:cs="Arial"/>
          <w:b/>
          <w:color w:val="000000"/>
          <w:sz w:val="28"/>
          <w:szCs w:val="28"/>
        </w:rPr>
        <w:t xml:space="preserve"> </w:t>
      </w:r>
      <w:r>
        <w:rPr>
          <w:rFonts w:ascii="Arial" w:hAnsi="Arial" w:cs="Arial"/>
          <w:color w:val="000000"/>
          <w:sz w:val="28"/>
          <w:szCs w:val="28"/>
        </w:rPr>
        <w:t>ANOSIM analysis showing the differences of the</w:t>
      </w:r>
      <w:r>
        <w:rPr>
          <w:rFonts w:hint="eastAsia" w:ascii="Arial" w:hAnsi="Arial" w:cs="Arial"/>
          <w:color w:val="000000"/>
          <w:sz w:val="28"/>
          <w:szCs w:val="28"/>
          <w:lang w:val="en-US" w:eastAsia="zh-CN"/>
        </w:rPr>
        <w:t xml:space="preserve"> </w:t>
      </w:r>
      <w:r>
        <w:rPr>
          <w:rFonts w:ascii="Arial" w:hAnsi="Arial" w:cs="Arial"/>
          <w:color w:val="000000"/>
          <w:sz w:val="28"/>
          <w:szCs w:val="28"/>
        </w:rPr>
        <w:t xml:space="preserve">community </w:t>
      </w:r>
      <w:r>
        <w:rPr>
          <w:rFonts w:hint="eastAsia" w:ascii="Arial" w:hAnsi="Arial" w:cs="Arial"/>
          <w:color w:val="000000"/>
          <w:sz w:val="28"/>
          <w:szCs w:val="28"/>
          <w:lang w:val="en-US" w:eastAsia="zh-CN"/>
        </w:rPr>
        <w:t>composition</w:t>
      </w:r>
      <w:r>
        <w:rPr>
          <w:rFonts w:ascii="Arial" w:hAnsi="Arial" w:cs="Arial"/>
          <w:color w:val="000000"/>
          <w:sz w:val="28"/>
          <w:szCs w:val="28"/>
        </w:rPr>
        <w:t xml:space="preserve"> between </w:t>
      </w:r>
      <w:r>
        <w:rPr>
          <w:rFonts w:hint="eastAsia" w:ascii="Arial" w:hAnsi="Arial" w:cs="Arial"/>
          <w:color w:val="000000"/>
          <w:sz w:val="28"/>
          <w:szCs w:val="28"/>
          <w:lang w:val="en-US" w:eastAsia="zh-CN"/>
        </w:rPr>
        <w:t>rhizosphere and endophytic diazotrophs among three growth periods</w:t>
      </w:r>
      <w:r>
        <w:rPr>
          <w:rFonts w:ascii="Arial" w:hAnsi="Arial" w:cs="Arial"/>
          <w:color w:val="000000"/>
          <w:sz w:val="28"/>
          <w:szCs w:val="28"/>
        </w:rPr>
        <w:t>.</w:t>
      </w:r>
    </w:p>
    <w:bookmarkEnd w:id="1"/>
    <w:tbl>
      <w:tblPr>
        <w:tblStyle w:val="2"/>
        <w:tblW w:w="1173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9"/>
        <w:gridCol w:w="2370"/>
        <w:gridCol w:w="1255"/>
        <w:gridCol w:w="1253"/>
        <w:gridCol w:w="313"/>
        <w:gridCol w:w="1292"/>
        <w:gridCol w:w="1292"/>
        <w:gridCol w:w="313"/>
        <w:gridCol w:w="1294"/>
        <w:gridCol w:w="12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0" w:type="auto"/>
            <w:vMerge w:val="restart"/>
            <w:tcBorders>
              <w:top w:val="single" w:color="auto" w:sz="12" w:space="0"/>
              <w:left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sz w:val="24"/>
                <w:szCs w:val="24"/>
                <w:lang w:val="en-US" w:eastAsia="zh-CN"/>
              </w:rPr>
              <w:t>Year</w:t>
            </w:r>
          </w:p>
        </w:tc>
        <w:tc>
          <w:tcPr>
            <w:tcW w:w="0" w:type="auto"/>
            <w:vMerge w:val="restart"/>
            <w:tcBorders>
              <w:top w:val="single" w:color="auto" w:sz="12" w:space="0"/>
              <w:left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sz w:val="24"/>
                <w:szCs w:val="24"/>
                <w:lang w:val="en-US" w:eastAsia="zh-CN"/>
              </w:rPr>
              <w:t>Sample Type</w:t>
            </w:r>
          </w:p>
        </w:tc>
        <w:tc>
          <w:tcPr>
            <w:tcW w:w="0" w:type="auto"/>
            <w:gridSpan w:val="2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sz w:val="24"/>
                <w:szCs w:val="24"/>
              </w:rPr>
              <w:t>tillering stage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sz w:val="24"/>
                <w:szCs w:val="24"/>
              </w:rPr>
              <w:t>heading stage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0" w:type="auto"/>
            <w:gridSpan w:val="2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sz w:val="24"/>
                <w:szCs w:val="24"/>
              </w:rPr>
              <w:t>mature stage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0" w:type="auto"/>
            <w:vMerge w:val="continue"/>
            <w:tcBorders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R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R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294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R</w:t>
            </w:r>
          </w:p>
        </w:tc>
        <w:tc>
          <w:tcPr>
            <w:tcW w:w="1293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2015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DNA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0.959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0.001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0.001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294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2016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DNA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0.001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bCs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0.001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FF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294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b/>
                <w:bCs/>
                <w:color w:val="FF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b/>
                <w:bCs/>
                <w:color w:val="FF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RNA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bCs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0.978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0.996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0.001</w:t>
            </w:r>
          </w:p>
        </w:tc>
      </w:tr>
    </w:tbl>
    <w:p>
      <w:pPr>
        <w:widowControl/>
        <w:spacing w:line="480" w:lineRule="auto"/>
        <w:jc w:val="both"/>
        <w:rPr>
          <w:sz w:val="24"/>
          <w:szCs w:val="24"/>
        </w:rPr>
      </w:pPr>
      <w:bookmarkStart w:id="0" w:name="OLE_LINK1"/>
      <w:r>
        <w:rPr>
          <w:rFonts w:hint="default" w:ascii="Arial" w:hAnsi="Arial" w:cs="Arial"/>
          <w:sz w:val="24"/>
          <w:szCs w:val="24"/>
        </w:rPr>
        <w:t>Note: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 </w:t>
      </w:r>
      <w:bookmarkEnd w:id="0"/>
      <w:r>
        <w:rPr>
          <w:rFonts w:ascii="Arial" w:hAnsi="Arial" w:cs="Arial"/>
          <w:sz w:val="24"/>
          <w:szCs w:val="24"/>
          <w:lang w:bidi="ar"/>
        </w:rPr>
        <w:t>The ANOSIM analysis was run at the OTU level using the Bray-Curtis algorithm (n = 999 replications).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B633B6"/>
    <w:rsid w:val="005051A1"/>
    <w:rsid w:val="0F506C81"/>
    <w:rsid w:val="1D292032"/>
    <w:rsid w:val="28B633B6"/>
    <w:rsid w:val="73C47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2020-10-08T09:47:00Z</dcterms:created>
  <dc:creator>罗雪</dc:creator>
  <cp:lastModifiedBy>罗雪</cp:lastModifiedBy>
  <dcterms:modified xsi:type="dcterms:W3CDTF">2020-10-10T02:47:38Z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