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b/>
          <w:bCs/>
          <w:color w:val="000000"/>
          <w:sz w:val="28"/>
          <w:szCs w:val="28"/>
        </w:rPr>
        <w:t>Table S1</w:t>
      </w:r>
      <w:r>
        <w:rPr>
          <w:rFonts w:ascii="Arial" w:hAnsi="Arial" w:cs="Arial"/>
          <w:color w:val="000000"/>
          <w:sz w:val="28"/>
          <w:szCs w:val="28"/>
        </w:rPr>
        <w:t xml:space="preserve"> Experimental varia</w:t>
      </w:r>
      <w:bookmarkStart w:id="0" w:name="_GoBack"/>
      <w:bookmarkEnd w:id="0"/>
      <w:r>
        <w:rPr>
          <w:rFonts w:ascii="Arial" w:hAnsi="Arial" w:cs="Arial"/>
          <w:color w:val="000000"/>
          <w:sz w:val="28"/>
          <w:szCs w:val="28"/>
        </w:rPr>
        <w:t>bles investigated in this study.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49"/>
        <w:gridCol w:w="15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5049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24"/>
                <w:lang w:bidi="ar"/>
              </w:rPr>
              <w:t>Variable</w:t>
            </w:r>
          </w:p>
        </w:tc>
        <w:tc>
          <w:tcPr>
            <w:tcW w:w="157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24"/>
                <w:lang w:bidi="ar"/>
              </w:rPr>
              <w:t>Levels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5049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bidi="ar"/>
              </w:rPr>
              <w:t>Sample year</w:t>
            </w:r>
          </w:p>
        </w:tc>
        <w:tc>
          <w:tcPr>
            <w:tcW w:w="157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bidi="ar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5049" w:type="dxa"/>
            <w:noWrap w:val="0"/>
            <w:vAlign w:val="center"/>
          </w:tcPr>
          <w:p>
            <w:pPr>
              <w:ind w:firstLine="240" w:firstLineChars="100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bidi="ar"/>
              </w:rPr>
              <w:t>2015</w:t>
            </w:r>
          </w:p>
        </w:tc>
        <w:tc>
          <w:tcPr>
            <w:tcW w:w="1570" w:type="dxa"/>
            <w:noWrap w:val="0"/>
            <w:vAlign w:val="center"/>
          </w:tcPr>
          <w:p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5049" w:type="dxa"/>
            <w:noWrap w:val="0"/>
            <w:vAlign w:val="center"/>
          </w:tcPr>
          <w:p>
            <w:pPr>
              <w:ind w:firstLine="240" w:firstLineChars="100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bidi="ar"/>
              </w:rPr>
              <w:t>2016</w:t>
            </w:r>
          </w:p>
        </w:tc>
        <w:tc>
          <w:tcPr>
            <w:tcW w:w="1570" w:type="dxa"/>
            <w:noWrap w:val="0"/>
            <w:vAlign w:val="center"/>
          </w:tcPr>
          <w:p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5049" w:type="dxa"/>
            <w:noWrap w:val="0"/>
            <w:vAlign w:val="center"/>
          </w:tcPr>
          <w:p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bidi="ar"/>
              </w:rPr>
              <w:t xml:space="preserve">Sample </w:t>
            </w: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source</w:t>
            </w:r>
          </w:p>
        </w:tc>
        <w:tc>
          <w:tcPr>
            <w:tcW w:w="1570" w:type="dxa"/>
            <w:noWrap w:val="0"/>
            <w:vAlign w:val="center"/>
          </w:tcPr>
          <w:p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bidi="ar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5049" w:type="dxa"/>
            <w:noWrap w:val="0"/>
            <w:vAlign w:val="center"/>
          </w:tcPr>
          <w:p>
            <w:pPr>
              <w:ind w:firstLine="240" w:firstLineChars="100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bidi="ar"/>
              </w:rPr>
              <w:t>Rhizosphere soil</w:t>
            </w:r>
          </w:p>
        </w:tc>
        <w:tc>
          <w:tcPr>
            <w:tcW w:w="1570" w:type="dxa"/>
            <w:noWrap w:val="0"/>
            <w:vAlign w:val="center"/>
          </w:tcPr>
          <w:p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5049" w:type="dxa"/>
            <w:noWrap w:val="0"/>
            <w:vAlign w:val="center"/>
          </w:tcPr>
          <w:p>
            <w:pPr>
              <w:ind w:firstLine="240" w:firstLineChars="100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bidi="ar"/>
              </w:rPr>
              <w:t>Rice roots</w:t>
            </w:r>
          </w:p>
        </w:tc>
        <w:tc>
          <w:tcPr>
            <w:tcW w:w="1570" w:type="dxa"/>
            <w:noWrap w:val="0"/>
            <w:vAlign w:val="center"/>
          </w:tcPr>
          <w:p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5049" w:type="dxa"/>
            <w:noWrap w:val="0"/>
            <w:vAlign w:val="center"/>
          </w:tcPr>
          <w:p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bidi="ar"/>
              </w:rPr>
              <w:t>Growth periods</w:t>
            </w:r>
          </w:p>
        </w:tc>
        <w:tc>
          <w:tcPr>
            <w:tcW w:w="1570" w:type="dxa"/>
            <w:noWrap w:val="0"/>
            <w:vAlign w:val="center"/>
          </w:tcPr>
          <w:p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bidi="ar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5049" w:type="dxa"/>
            <w:noWrap w:val="0"/>
            <w:vAlign w:val="center"/>
          </w:tcPr>
          <w:p>
            <w:pPr>
              <w:ind w:firstLine="240" w:firstLineChars="100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bidi="ar"/>
              </w:rPr>
              <w:t>Tillering stage</w:t>
            </w:r>
          </w:p>
        </w:tc>
        <w:tc>
          <w:tcPr>
            <w:tcW w:w="1570" w:type="dxa"/>
            <w:noWrap w:val="0"/>
            <w:vAlign w:val="center"/>
          </w:tcPr>
          <w:p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5049" w:type="dxa"/>
            <w:noWrap w:val="0"/>
            <w:vAlign w:val="center"/>
          </w:tcPr>
          <w:p>
            <w:pPr>
              <w:ind w:firstLine="240" w:firstLineChars="100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bidi="ar"/>
              </w:rPr>
              <w:t>Heading stage</w:t>
            </w:r>
          </w:p>
        </w:tc>
        <w:tc>
          <w:tcPr>
            <w:tcW w:w="1570" w:type="dxa"/>
            <w:noWrap w:val="0"/>
            <w:vAlign w:val="center"/>
          </w:tcPr>
          <w:p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5049" w:type="dxa"/>
            <w:noWrap w:val="0"/>
            <w:vAlign w:val="center"/>
          </w:tcPr>
          <w:p>
            <w:pPr>
              <w:ind w:firstLine="240" w:firstLineChars="100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bidi="ar"/>
              </w:rPr>
              <w:t>Mature stage</w:t>
            </w:r>
          </w:p>
        </w:tc>
        <w:tc>
          <w:tcPr>
            <w:tcW w:w="1570" w:type="dxa"/>
            <w:noWrap w:val="0"/>
            <w:vAlign w:val="center"/>
          </w:tcPr>
          <w:p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5049" w:type="dxa"/>
            <w:noWrap w:val="0"/>
            <w:vAlign w:val="center"/>
          </w:tcPr>
          <w:p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bidi="ar"/>
              </w:rPr>
              <w:t>Fertilizer treatments</w:t>
            </w:r>
          </w:p>
        </w:tc>
        <w:tc>
          <w:tcPr>
            <w:tcW w:w="1570" w:type="dxa"/>
            <w:noWrap w:val="0"/>
            <w:vAlign w:val="center"/>
          </w:tcPr>
          <w:p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bidi="ar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5049" w:type="dxa"/>
            <w:noWrap w:val="0"/>
            <w:vAlign w:val="center"/>
          </w:tcPr>
          <w:p>
            <w:pPr>
              <w:ind w:firstLine="240" w:firstLineChars="100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bidi="ar"/>
              </w:rPr>
              <w:t>CK</w:t>
            </w:r>
          </w:p>
        </w:tc>
        <w:tc>
          <w:tcPr>
            <w:tcW w:w="1570" w:type="dxa"/>
            <w:noWrap w:val="0"/>
            <w:vAlign w:val="center"/>
          </w:tcPr>
          <w:p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5049" w:type="dxa"/>
            <w:noWrap w:val="0"/>
            <w:vAlign w:val="center"/>
          </w:tcPr>
          <w:p>
            <w:pPr>
              <w:ind w:firstLine="240" w:firstLineChars="100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bidi="ar"/>
              </w:rPr>
              <w:t>NPK</w:t>
            </w:r>
          </w:p>
        </w:tc>
        <w:tc>
          <w:tcPr>
            <w:tcW w:w="1570" w:type="dxa"/>
            <w:noWrap w:val="0"/>
            <w:vAlign w:val="center"/>
          </w:tcPr>
          <w:p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5049" w:type="dxa"/>
            <w:noWrap w:val="0"/>
            <w:vAlign w:val="center"/>
          </w:tcPr>
          <w:p>
            <w:pPr>
              <w:ind w:firstLine="240" w:firstLineChars="100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bidi="ar"/>
              </w:rPr>
              <w:t>NPKM</w:t>
            </w:r>
          </w:p>
        </w:tc>
        <w:tc>
          <w:tcPr>
            <w:tcW w:w="1570" w:type="dxa"/>
            <w:noWrap w:val="0"/>
            <w:vAlign w:val="center"/>
          </w:tcPr>
          <w:p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5049" w:type="dxa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ind w:firstLine="240" w:firstLineChars="100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bidi="ar"/>
              </w:rPr>
              <w:t>NPKS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</w:tbl>
    <w:p>
      <w:pPr>
        <w:spacing w:line="480" w:lineRule="auto"/>
        <w:jc w:val="both"/>
        <w:rPr>
          <w:rFonts w:hint="default" w:ascii="Arial" w:hAnsi="Arial" w:cs="Arial"/>
          <w:bCs/>
          <w:color w:val="000000"/>
          <w:sz w:val="24"/>
          <w:szCs w:val="24"/>
          <w:lang w:bidi="ar"/>
        </w:rPr>
      </w:pPr>
      <w:r>
        <w:rPr>
          <w:rFonts w:hint="default" w:ascii="Arial" w:hAnsi="Arial" w:cs="Arial"/>
          <w:sz w:val="24"/>
          <w:szCs w:val="24"/>
        </w:rPr>
        <w:t>Note:</w:t>
      </w:r>
      <w:r>
        <w:rPr>
          <w:rFonts w:hint="eastAsia" w:ascii="Arial" w:hAnsi="Arial" w:cs="Arial"/>
          <w:sz w:val="24"/>
          <w:szCs w:val="24"/>
          <w:lang w:val="en-US" w:eastAsia="zh-CN"/>
        </w:rPr>
        <w:t xml:space="preserve"> </w:t>
      </w:r>
      <w:r>
        <w:rPr>
          <w:rFonts w:hint="default" w:ascii="Arial" w:hAnsi="Arial" w:cs="Arial"/>
          <w:bCs/>
          <w:color w:val="000000"/>
          <w:sz w:val="24"/>
          <w:szCs w:val="24"/>
          <w:lang w:bidi="ar"/>
        </w:rPr>
        <w:t>CK: no fertilization, NPK: 100% chemical fertilizers (300 kg/ha urea, 120 kg/ha P</w:t>
      </w:r>
      <w:r>
        <w:rPr>
          <w:rFonts w:hint="default" w:ascii="Arial" w:hAnsi="Arial" w:cs="Arial"/>
          <w:bCs/>
          <w:color w:val="000000"/>
          <w:sz w:val="24"/>
          <w:szCs w:val="24"/>
          <w:vertAlign w:val="subscript"/>
          <w:lang w:bidi="ar"/>
        </w:rPr>
        <w:t>2</w:t>
      </w:r>
      <w:r>
        <w:rPr>
          <w:rFonts w:hint="default" w:ascii="Arial" w:hAnsi="Arial" w:cs="Arial"/>
          <w:bCs/>
          <w:color w:val="000000"/>
          <w:sz w:val="24"/>
          <w:szCs w:val="24"/>
          <w:lang w:bidi="ar"/>
        </w:rPr>
        <w:t>O</w:t>
      </w:r>
      <w:r>
        <w:rPr>
          <w:rFonts w:hint="default" w:ascii="Arial" w:hAnsi="Arial" w:cs="Arial"/>
          <w:bCs/>
          <w:color w:val="000000"/>
          <w:sz w:val="24"/>
          <w:szCs w:val="24"/>
          <w:vertAlign w:val="subscript"/>
          <w:lang w:bidi="ar"/>
        </w:rPr>
        <w:t>5</w:t>
      </w:r>
      <w:r>
        <w:rPr>
          <w:rFonts w:hint="default" w:ascii="Arial" w:hAnsi="Arial" w:cs="Arial"/>
          <w:bCs/>
          <w:color w:val="000000"/>
          <w:sz w:val="24"/>
          <w:szCs w:val="24"/>
          <w:lang w:bidi="ar"/>
        </w:rPr>
        <w:t xml:space="preserve"> and 100 kg/ha K</w:t>
      </w:r>
      <w:r>
        <w:rPr>
          <w:rFonts w:hint="default" w:ascii="Arial" w:hAnsi="Arial" w:cs="Arial"/>
          <w:bCs/>
          <w:color w:val="000000"/>
          <w:sz w:val="24"/>
          <w:szCs w:val="24"/>
          <w:vertAlign w:val="subscript"/>
          <w:lang w:bidi="ar"/>
        </w:rPr>
        <w:t>2</w:t>
      </w:r>
      <w:r>
        <w:rPr>
          <w:rFonts w:hint="default" w:ascii="Arial" w:hAnsi="Arial" w:cs="Arial"/>
          <w:bCs/>
          <w:color w:val="000000"/>
          <w:sz w:val="24"/>
          <w:szCs w:val="24"/>
          <w:lang w:bidi="ar"/>
        </w:rPr>
        <w:t>O), NPKM: 50% chemical fertilizers plus 6000 kg/ha pig manure, NPKS: 100% chemical fertilizers plus 8000 kg/ha crop straw.</w:t>
      </w:r>
      <w:r>
        <w:rPr>
          <w:rFonts w:hint="eastAsia" w:ascii="Arial" w:hAnsi="Arial" w:cs="Arial"/>
          <w:bCs/>
          <w:color w:val="000000"/>
          <w:sz w:val="24"/>
          <w:szCs w:val="24"/>
          <w:lang w:val="en-US" w:eastAsia="zh-CN" w:bidi="ar"/>
        </w:rPr>
        <w:t xml:space="preserve"> </w:t>
      </w:r>
      <w:r>
        <w:rPr>
          <w:rFonts w:hint="default" w:ascii="Arial" w:hAnsi="Arial" w:cs="Arial"/>
          <w:bCs/>
          <w:color w:val="000000"/>
          <w:sz w:val="24"/>
          <w:szCs w:val="24"/>
          <w:lang w:bidi="ar"/>
        </w:rPr>
        <w:t>Sampling time</w:t>
      </w:r>
      <w:r>
        <w:rPr>
          <w:rFonts w:hint="eastAsia" w:ascii="Arial" w:hAnsi="Arial" w:cs="Arial"/>
          <w:bCs/>
          <w:color w:val="000000"/>
          <w:sz w:val="24"/>
          <w:szCs w:val="24"/>
          <w:lang w:val="en-US" w:eastAsia="zh-CN" w:bidi="ar"/>
        </w:rPr>
        <w:t xml:space="preserve"> points</w:t>
      </w:r>
      <w:r>
        <w:rPr>
          <w:rFonts w:hint="default" w:ascii="Arial" w:hAnsi="Arial" w:cs="Arial"/>
          <w:bCs/>
          <w:color w:val="000000"/>
          <w:sz w:val="24"/>
          <w:szCs w:val="24"/>
          <w:lang w:bidi="ar"/>
        </w:rPr>
        <w:t xml:space="preserve"> are 8 July (tillering stage), 1 September (heading stage), and 17 October (mature stage) </w:t>
      </w:r>
      <w:r>
        <w:rPr>
          <w:rFonts w:hint="eastAsia" w:ascii="Arial" w:hAnsi="Arial" w:cs="Arial"/>
          <w:bCs/>
          <w:color w:val="000000"/>
          <w:sz w:val="24"/>
          <w:szCs w:val="24"/>
          <w:lang w:val="en-US" w:eastAsia="zh-CN" w:bidi="ar"/>
        </w:rPr>
        <w:t xml:space="preserve">in </w:t>
      </w:r>
      <w:r>
        <w:rPr>
          <w:rFonts w:hint="default" w:ascii="Arial" w:hAnsi="Arial" w:cs="Arial"/>
          <w:bCs/>
          <w:color w:val="000000"/>
          <w:sz w:val="24"/>
          <w:szCs w:val="24"/>
          <w:lang w:bidi="ar"/>
        </w:rPr>
        <w:t>2015 and 27 July (tillering stage), 12 September (heading stage), and 25 October (mature stage)</w:t>
      </w:r>
      <w:r>
        <w:rPr>
          <w:rFonts w:hint="eastAsia" w:ascii="Arial" w:hAnsi="Arial" w:cs="Arial"/>
          <w:bCs/>
          <w:color w:val="000000"/>
          <w:sz w:val="24"/>
          <w:szCs w:val="24"/>
          <w:lang w:val="en-US" w:eastAsia="zh-CN" w:bidi="ar"/>
        </w:rPr>
        <w:t xml:space="preserve"> in </w:t>
      </w:r>
      <w:r>
        <w:rPr>
          <w:rFonts w:hint="default" w:ascii="Arial" w:hAnsi="Arial" w:cs="Arial"/>
          <w:bCs/>
          <w:color w:val="000000"/>
          <w:sz w:val="24"/>
          <w:szCs w:val="24"/>
          <w:lang w:bidi="ar"/>
        </w:rPr>
        <w:t>2016.</w:t>
      </w:r>
    </w:p>
    <w:p>
      <w:pPr>
        <w:spacing w:line="480" w:lineRule="auto"/>
        <w:jc w:val="both"/>
        <w:rPr>
          <w:rFonts w:hint="default" w:ascii="Arial" w:hAnsi="Arial" w:cs="Arial"/>
          <w:bCs/>
          <w:color w:val="000000"/>
          <w:sz w:val="24"/>
          <w:szCs w:val="24"/>
          <w:lang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1E75E1"/>
    <w:rsid w:val="10432A71"/>
    <w:rsid w:val="12D13D46"/>
    <w:rsid w:val="5BB75B6C"/>
    <w:rsid w:val="5C1E75E1"/>
    <w:rsid w:val="721F0427"/>
    <w:rsid w:val="79A35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2020-10-08T07:35:00Z</dcterms:created>
  <dc:creator>罗雪</dc:creator>
  <cp:lastModifiedBy>罗雪</cp:lastModifiedBy>
  <dcterms:modified xsi:type="dcterms:W3CDTF">2020-10-10T02:42:39Z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