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BD0B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t>Supplementary Figure</w:t>
      </w:r>
    </w:p>
    <w:p w14:paraId="6FC5CF6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default" w:ascii="Times New Roman" w:hAnsi="Times New Roman"/>
          <w:lang w:val="en-US" w:eastAsia="zh-CN"/>
        </w:rPr>
        <w:drawing>
          <wp:inline distT="0" distB="0" distL="114300" distR="114300">
            <wp:extent cx="5600700" cy="2000885"/>
            <wp:effectExtent l="0" t="0" r="7620" b="10795"/>
            <wp:docPr id="1" name="图片 1" descr="s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Fig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D7D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sFigure 1.</w:t>
      </w:r>
      <w:r>
        <w:rPr>
          <w:rFonts w:hint="default" w:ascii="Times New Roman" w:hAnsi="Times New Roman" w:cs="Times New Roman"/>
          <w:b/>
          <w:bCs/>
          <w:i w:val="0"/>
          <w:iCs w:val="0"/>
          <w:sz w:val="21"/>
          <w:szCs w:val="21"/>
        </w:rPr>
        <w:t>LINC02894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is a SE-driven lncRNA dependent on BRD4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CRC</w:t>
      </w:r>
    </w:p>
    <w:p w14:paraId="0C35778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</w:pPr>
      <w:r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  <w:t xml:space="preserve">The impact of active super enhancers near </w:t>
      </w:r>
      <w:r>
        <w:rPr>
          <w:rFonts w:hint="eastAsia" w:ascii="Times New Roman" w:hAnsi="Times New Roman" w:eastAsia="宋体" w:cs="Times New Roman"/>
          <w:i/>
          <w:iCs/>
          <w:color w:val="0F1115"/>
          <w:szCs w:val="21"/>
          <w:shd w:val="clear" w:color="auto" w:fill="FFFFFF"/>
        </w:rPr>
        <w:t>LINC02894</w:t>
      </w:r>
      <w:r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  <w:t xml:space="preserve"> on various tissues, as shown in the SEdb 2.0 database</w:t>
      </w:r>
      <w:r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val="en-US" w:eastAsia="zh-CN"/>
        </w:rPr>
        <w:t>.</w:t>
      </w:r>
      <w:r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val="en-US" w:eastAsia="zh-CN"/>
        </w:rPr>
        <w:t>(</w:t>
      </w:r>
      <w:r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  <w:t>B</w:t>
      </w:r>
      <w:r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val="en-US" w:eastAsia="zh-CN"/>
        </w:rPr>
        <w:t xml:space="preserve">)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ChIP-qPCR validation of H3K27ac and H3K4me1 enrichment at the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>LINC02894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SE modules (E1-E5) in SW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620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CRC cell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. (</w:t>
      </w:r>
      <w:r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  <w:t>C</w:t>
      </w:r>
      <w:r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val="en-US" w:eastAsia="zh-CN"/>
        </w:rPr>
        <w:t xml:space="preserve">)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Dual-luciferase reporter assays demonstrating activity of the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>LINC02894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promoter and SE elements E4/E5 in CRC cells.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(</w:t>
      </w:r>
      <w:r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  <w:t>D</w:t>
      </w:r>
      <w:r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val="en-US" w:eastAsia="zh-CN"/>
        </w:rPr>
        <w:t xml:space="preserve">) </w:t>
      </w:r>
      <w:r>
        <w:rPr>
          <w:rFonts w:ascii="Times New Roman" w:hAnsi="Times New Roman" w:eastAsia="Segoe UI" w:cs="Times New Roman"/>
          <w:color w:val="0F1115"/>
          <w:szCs w:val="21"/>
          <w:shd w:val="clear" w:color="auto" w:fill="FFFFFF"/>
        </w:rPr>
        <w:t>; E. Validation of the efficiency of the BRD4 plasmid by Western blot assay.</w:t>
      </w:r>
      <w:r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val="en-US" w:eastAsia="zh-CN"/>
        </w:rPr>
        <w:t xml:space="preserve"> (D)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Dual-luciferase assays showing significantly reduced activity of E4-Mut and E5-Mut reporters compared to WT controls in SW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620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CRC cells.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(E)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>LINC02894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expression was suppressed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by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JQ1 (1 µM, 24h)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in SW620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CRC cells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.(F)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RT-qPCR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results indicated that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BRD4 overexpression increased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>LINC02894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level in SW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620 cells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.</w:t>
      </w:r>
    </w:p>
    <w:p w14:paraId="770356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eastAsia="zh-CN"/>
        </w:rPr>
      </w:pPr>
      <w:r>
        <w:rPr>
          <w:rFonts w:hint="eastAsia" w:ascii="Times New Roman" w:hAnsi="Times New Roman" w:eastAsia="宋体" w:cs="Times New Roman"/>
          <w:color w:val="0F1115"/>
          <w:szCs w:val="21"/>
          <w:shd w:val="clear" w:color="auto" w:fill="FFFFFF"/>
          <w:lang w:eastAsia="zh-CN"/>
        </w:rPr>
        <w:drawing>
          <wp:inline distT="0" distB="0" distL="114300" distR="114300">
            <wp:extent cx="5495290" cy="6159500"/>
            <wp:effectExtent l="0" t="0" r="6350" b="12700"/>
            <wp:docPr id="2" name="图片 2" descr="s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Figur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B00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hint="eastAsia" w:ascii="Times New Roman" w:hAnsi="Times New Roman"/>
          <w:b/>
          <w:bCs/>
          <w:sz w:val="21"/>
          <w:szCs w:val="21"/>
        </w:rPr>
        <w:t>2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LINC02894</w:t>
      </w:r>
      <w:r>
        <w:rPr>
          <w:rFonts w:ascii="Times New Roman" w:hAnsi="Times New Roman"/>
          <w:b/>
          <w:bCs/>
          <w:sz w:val="21"/>
          <w:szCs w:val="21"/>
        </w:rPr>
        <w:t xml:space="preserve"> expression 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promotes CRC cell </w:t>
      </w:r>
      <w:r>
        <w:rPr>
          <w:rFonts w:ascii="Times New Roman" w:hAnsi="Times New Roman"/>
          <w:b/>
          <w:bCs/>
          <w:sz w:val="21"/>
          <w:szCs w:val="21"/>
        </w:rPr>
        <w:t>proliferati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on,and was inhibited by JQ1.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(A) The s</w:t>
      </w:r>
      <w:r>
        <w:rPr>
          <w:rFonts w:hint="default" w:ascii="Times New Roman" w:hAnsi="Times New Roman" w:cs="Times New Roman"/>
          <w:sz w:val="21"/>
          <w:szCs w:val="21"/>
        </w:rPr>
        <w:t>table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/>
          <w:iCs/>
          <w:sz w:val="21"/>
          <w:szCs w:val="21"/>
        </w:rPr>
        <w:t>LINC02894</w:t>
      </w:r>
      <w:r>
        <w:rPr>
          <w:rFonts w:ascii="Times New Roman" w:hAnsi="Times New Roman"/>
          <w:sz w:val="21"/>
          <w:szCs w:val="21"/>
        </w:rPr>
        <w:t xml:space="preserve">-overexpressing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of </w:t>
      </w:r>
      <w:r>
        <w:rPr>
          <w:rFonts w:ascii="Times New Roman" w:hAnsi="Times New Roman"/>
          <w:sz w:val="21"/>
          <w:szCs w:val="21"/>
        </w:rPr>
        <w:t>LoVo and SW480 cell lines were established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by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performing </w:t>
      </w:r>
      <w:r>
        <w:rPr>
          <w:rFonts w:ascii="Times New Roman" w:hAnsi="Times New Roman"/>
          <w:sz w:val="21"/>
          <w:szCs w:val="21"/>
        </w:rPr>
        <w:t xml:space="preserve">RT-qPCR.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(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)</w:t>
      </w:r>
      <w:r>
        <w:rPr>
          <w:rFonts w:ascii="Times New Roman" w:hAnsi="Times New Roman"/>
          <w:sz w:val="21"/>
          <w:szCs w:val="21"/>
        </w:rPr>
        <w:t>EdU assay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s </w:t>
      </w:r>
      <w:r>
        <w:rPr>
          <w:rFonts w:ascii="Times New Roman" w:hAnsi="Times New Roman"/>
          <w:sz w:val="21"/>
          <w:szCs w:val="21"/>
        </w:rPr>
        <w:t>evaluate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d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that </w:t>
      </w:r>
      <w:r>
        <w:rPr>
          <w:rFonts w:ascii="Times New Roman" w:hAnsi="Times New Roman"/>
          <w:sz w:val="21"/>
          <w:szCs w:val="21"/>
        </w:rPr>
        <w:t xml:space="preserve">the effect of </w:t>
      </w:r>
      <w:r>
        <w:rPr>
          <w:rFonts w:ascii="Times New Roman" w:hAnsi="Times New Roman"/>
          <w:i/>
          <w:iCs/>
          <w:sz w:val="21"/>
          <w:szCs w:val="21"/>
        </w:rPr>
        <w:t>LINC02894</w:t>
      </w:r>
      <w:r>
        <w:rPr>
          <w:rFonts w:ascii="Times New Roman" w:hAnsi="Times New Roman"/>
          <w:sz w:val="21"/>
          <w:szCs w:val="21"/>
        </w:rPr>
        <w:t xml:space="preserve"> overexpression combined with JQ1 treatment on the proliferative capacity of LoVo and SW480 colon cancer cells (scale bar: 200 μm).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(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) </w:t>
      </w:r>
      <w:r>
        <w:rPr>
          <w:rFonts w:ascii="Times New Roman" w:hAnsi="Times New Roman"/>
          <w:sz w:val="21"/>
          <w:szCs w:val="21"/>
        </w:rPr>
        <w:t>Statistical graph of the cell colon</w:t>
      </w:r>
      <w:r>
        <w:rPr>
          <w:rFonts w:hint="eastAsia" w:ascii="Times New Roman" w:hAnsi="Times New Roman"/>
          <w:sz w:val="21"/>
          <w:szCs w:val="21"/>
        </w:rPr>
        <w:t xml:space="preserve">y </w:t>
      </w:r>
      <w:r>
        <w:rPr>
          <w:rFonts w:ascii="Times New Roman" w:hAnsi="Times New Roman"/>
          <w:sz w:val="21"/>
          <w:szCs w:val="21"/>
        </w:rPr>
        <w:t xml:space="preserve">number after </w:t>
      </w:r>
      <w:r>
        <w:rPr>
          <w:rFonts w:ascii="Times New Roman" w:hAnsi="Times New Roman"/>
          <w:i/>
          <w:iCs/>
          <w:sz w:val="21"/>
          <w:szCs w:val="21"/>
        </w:rPr>
        <w:t>LINC02894</w:t>
      </w:r>
      <w:r>
        <w:rPr>
          <w:rFonts w:ascii="Times New Roman" w:hAnsi="Times New Roman"/>
          <w:sz w:val="21"/>
          <w:szCs w:val="21"/>
        </w:rPr>
        <w:t xml:space="preserve"> overexpression and JQ1 treatment.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(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) </w:t>
      </w:r>
      <w:r>
        <w:rPr>
          <w:rFonts w:ascii="Times New Roman" w:hAnsi="Times New Roman"/>
          <w:sz w:val="21"/>
          <w:szCs w:val="21"/>
        </w:rPr>
        <w:t xml:space="preserve">Stable </w:t>
      </w:r>
      <w:r>
        <w:rPr>
          <w:rFonts w:ascii="Times New Roman" w:hAnsi="Times New Roman"/>
          <w:i/>
          <w:iCs/>
          <w:sz w:val="21"/>
          <w:szCs w:val="21"/>
        </w:rPr>
        <w:t>LINC02894</w:t>
      </w:r>
      <w:r>
        <w:rPr>
          <w:rFonts w:ascii="Times New Roman" w:hAnsi="Times New Roman"/>
          <w:sz w:val="21"/>
          <w:szCs w:val="21"/>
        </w:rPr>
        <w:t xml:space="preserve">-knockdown LoVo and SW480 cell lines were constructed, and RT-qPCR was conducted to confirm </w:t>
      </w:r>
      <w:r>
        <w:rPr>
          <w:rFonts w:ascii="Times New Roman" w:hAnsi="Times New Roman"/>
          <w:i/>
          <w:iCs/>
          <w:sz w:val="21"/>
          <w:szCs w:val="21"/>
        </w:rPr>
        <w:t>LINC02894</w:t>
      </w:r>
      <w:r>
        <w:rPr>
          <w:rFonts w:ascii="Times New Roman" w:hAnsi="Times New Roman"/>
          <w:sz w:val="21"/>
          <w:szCs w:val="21"/>
        </w:rPr>
        <w:t xml:space="preserve"> expression levels.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(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)</w:t>
      </w:r>
      <w:r>
        <w:rPr>
          <w:rFonts w:ascii="Times New Roman" w:hAnsi="Times New Roman"/>
          <w:sz w:val="21"/>
          <w:szCs w:val="21"/>
        </w:rPr>
        <w:t xml:space="preserve"> EdU assay was applied to assess the impact of</w:t>
      </w:r>
      <w:r>
        <w:rPr>
          <w:rFonts w:ascii="Times New Roman" w:hAnsi="Times New Roman"/>
          <w:i/>
          <w:iCs/>
          <w:sz w:val="21"/>
          <w:szCs w:val="21"/>
        </w:rPr>
        <w:t xml:space="preserve"> LINC02894</w:t>
      </w:r>
      <w:r>
        <w:rPr>
          <w:rFonts w:ascii="Times New Roman" w:hAnsi="Times New Roman"/>
          <w:sz w:val="21"/>
          <w:szCs w:val="21"/>
        </w:rPr>
        <w:t xml:space="preserve"> knockdown combined with JQ1 treatment on the proliferation ability of LoVo and SW480 colon cancer cells (scale bar: 200 μm).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(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) </w:t>
      </w:r>
      <w:r>
        <w:rPr>
          <w:rFonts w:ascii="Times New Roman" w:hAnsi="Times New Roman"/>
          <w:sz w:val="21"/>
          <w:szCs w:val="21"/>
        </w:rPr>
        <w:t xml:space="preserve">Statistical graph of </w:t>
      </w:r>
      <w:r>
        <w:rPr>
          <w:rFonts w:hint="eastAsia" w:ascii="Times New Roman" w:hAnsi="Times New Roman"/>
          <w:sz w:val="21"/>
          <w:szCs w:val="21"/>
        </w:rPr>
        <w:t xml:space="preserve">the </w:t>
      </w:r>
      <w:r>
        <w:rPr>
          <w:rFonts w:ascii="Times New Roman" w:hAnsi="Times New Roman"/>
          <w:sz w:val="21"/>
          <w:szCs w:val="21"/>
        </w:rPr>
        <w:t>cell colon</w:t>
      </w:r>
      <w:r>
        <w:rPr>
          <w:rFonts w:hint="eastAsia" w:ascii="Times New Roman" w:hAnsi="Times New Roman"/>
          <w:sz w:val="21"/>
          <w:szCs w:val="21"/>
        </w:rPr>
        <w:t xml:space="preserve">y </w:t>
      </w:r>
      <w:r>
        <w:rPr>
          <w:rFonts w:ascii="Times New Roman" w:hAnsi="Times New Roman"/>
          <w:sz w:val="21"/>
          <w:szCs w:val="21"/>
        </w:rPr>
        <w:t>number after</w:t>
      </w:r>
      <w:r>
        <w:rPr>
          <w:rFonts w:ascii="Times New Roman" w:hAnsi="Times New Roman"/>
          <w:i/>
          <w:iCs/>
          <w:sz w:val="21"/>
          <w:szCs w:val="21"/>
        </w:rPr>
        <w:t xml:space="preserve"> LINC02894 </w:t>
      </w:r>
      <w:r>
        <w:rPr>
          <w:rFonts w:ascii="Times New Roman" w:hAnsi="Times New Roman"/>
          <w:sz w:val="21"/>
          <w:szCs w:val="21"/>
        </w:rPr>
        <w:t xml:space="preserve">knockdown and JQ1 treatment. </w:t>
      </w:r>
    </w:p>
    <w:p w14:paraId="172FA88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Times New Roman" w:hAnsi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drawing>
          <wp:inline distT="0" distB="0" distL="114300" distR="114300">
            <wp:extent cx="5269230" cy="5665470"/>
            <wp:effectExtent l="0" t="0" r="0" b="0"/>
            <wp:docPr id="4" name="图片 4" descr="sFig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igure3"/>
                    <pic:cNvPicPr>
                      <a:picLocks noChangeAspect="1"/>
                    </pic:cNvPicPr>
                  </pic:nvPicPr>
                  <pic:blipFill>
                    <a:blip r:embed="rId6"/>
                    <a:srcRect t="2045" b="194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66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FE3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Times New Roman" w:hAnsi="Times New Roman" w:eastAsiaTheme="minorEastAsia"/>
          <w:b/>
          <w:bCs/>
          <w:sz w:val="21"/>
          <w:szCs w:val="21"/>
          <w:lang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hint="eastAsia" w:ascii="Times New Roman" w:hAnsi="Times New Roman"/>
          <w:b/>
          <w:bCs/>
          <w:sz w:val="21"/>
          <w:szCs w:val="21"/>
        </w:rPr>
        <w:t>3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.MORC2 increased </w:t>
      </w:r>
      <w:r>
        <w:rPr>
          <w:rFonts w:ascii="Times New Roman" w:hAnsi="Times New Roman"/>
          <w:b/>
          <w:bCs/>
          <w:i w:val="0"/>
          <w:iCs w:val="0"/>
          <w:sz w:val="21"/>
          <w:szCs w:val="21"/>
        </w:rPr>
        <w:t>LINC02894</w:t>
      </w:r>
      <w:r>
        <w:rPr>
          <w:rFonts w:hint="eastAsia" w:ascii="Times New Roman" w:hAnsi="Times New Roman"/>
          <w:b/>
          <w:bCs/>
          <w:i w:val="0"/>
          <w:iCs w:val="0"/>
          <w:sz w:val="21"/>
          <w:szCs w:val="21"/>
          <w:lang w:val="en-US" w:eastAsia="zh-CN"/>
        </w:rPr>
        <w:t xml:space="preserve"> expression by binding to 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>E4 and E5 enhancer elements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 xml:space="preserve"> of 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LINC02894</w:t>
      </w:r>
    </w:p>
    <w:p w14:paraId="29B0DA5A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  <w:lang w:val="en-US" w:eastAsia="zh-CN"/>
        </w:rPr>
        <w:t>L</w:t>
      </w:r>
      <w:r>
        <w:rPr>
          <w:rFonts w:ascii="Times New Roman" w:hAnsi="Times New Roman"/>
          <w:sz w:val="21"/>
          <w:szCs w:val="21"/>
        </w:rPr>
        <w:t xml:space="preserve">ncRNA-seq data in hepatocellular carcinoma cells indicating </w:t>
      </w:r>
      <w:r>
        <w:rPr>
          <w:rFonts w:ascii="Times New Roman" w:hAnsi="Times New Roman"/>
          <w:i/>
          <w:iCs/>
          <w:sz w:val="21"/>
          <w:szCs w:val="21"/>
        </w:rPr>
        <w:t>LINC02894</w:t>
      </w:r>
      <w:r>
        <w:rPr>
          <w:rFonts w:ascii="Times New Roman" w:hAnsi="Times New Roman"/>
          <w:sz w:val="21"/>
          <w:szCs w:val="21"/>
        </w:rPr>
        <w:t xml:space="preserve"> regulation by MORC2.</w:t>
      </w:r>
      <w:r>
        <w:rPr>
          <w:rFonts w:hint="eastAsia" w:ascii="Times New Roman" w:hAnsi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 xml:space="preserve">(B)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RT-qPCR analysis confirming MORC2 overexpression increased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 xml:space="preserve">LINC02894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level in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SW62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0 cells. 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Dual-luciferase reporter assays detected the impact of MORC2 overexpression on the activity of E4 and E5 enhancer elements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of </w:t>
      </w:r>
      <w:r>
        <w:rPr>
          <w:rFonts w:ascii="Times New Roman" w:hAnsi="Times New Roman"/>
          <w:i/>
          <w:iCs/>
          <w:sz w:val="21"/>
          <w:szCs w:val="21"/>
        </w:rPr>
        <w:t>LINC02894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in SW480 cells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/>
          <w:sz w:val="21"/>
          <w:szCs w:val="21"/>
        </w:rPr>
        <w:t>D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) </w:t>
      </w:r>
      <w:r>
        <w:rPr>
          <w:rFonts w:ascii="Times New Roman" w:hAnsi="Times New Roman"/>
          <w:sz w:val="21"/>
          <w:szCs w:val="21"/>
        </w:rPr>
        <w:t>BioGRID protein-protein interaction network analysis identifying BRD4 as an interacting partner of MORC2</w:t>
      </w:r>
      <w:r>
        <w:rPr>
          <w:rFonts w:hint="eastAsia" w:ascii="Times New Roman" w:hAnsi="Times New Roman"/>
          <w:sz w:val="21"/>
          <w:szCs w:val="21"/>
        </w:rPr>
        <w:t>.</w:t>
      </w:r>
    </w:p>
    <w:p w14:paraId="3F49B8D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Times New Roman" w:hAnsi="Times New Roman" w:eastAsiaTheme="minorEastAsia"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drawing>
          <wp:inline distT="0" distB="0" distL="114300" distR="114300">
            <wp:extent cx="6193790" cy="3096895"/>
            <wp:effectExtent l="0" t="0" r="8890" b="12065"/>
            <wp:docPr id="5" name="图片 5" descr="s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Figure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1D5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Times New Roman" w:hAnsi="Times New Roman" w:eastAsia="Segoe UI" w:cs="Times New Roman"/>
          <w:b/>
          <w:bCs/>
          <w:color w:val="0F1115"/>
          <w:kern w:val="2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hint="eastAsia" w:ascii="Times New Roman" w:hAnsi="Times New Roman"/>
          <w:b/>
          <w:bCs/>
          <w:sz w:val="21"/>
          <w:szCs w:val="21"/>
        </w:rPr>
        <w:t>4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F1115"/>
          <w:kern w:val="2"/>
          <w:sz w:val="21"/>
          <w:szCs w:val="21"/>
          <w:shd w:val="clear" w:fill="FFFFFF"/>
          <w:lang w:val="en-US" w:eastAsia="zh-CN" w:bidi="ar"/>
        </w:rPr>
        <w:t>LINC02894</w:t>
      </w:r>
      <w:r>
        <w:rPr>
          <w:rFonts w:hint="eastAsia" w:ascii="Times New Roman" w:hAnsi="Times New Roman" w:eastAsia="宋体" w:cs="Times New Roman"/>
          <w:b/>
          <w:bCs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promotes </w:t>
      </w:r>
      <w:r>
        <w:rPr>
          <w:rFonts w:hint="default" w:ascii="Times New Roman" w:hAnsi="Times New Roman" w:eastAsia="Segoe UI" w:cs="Times New Roman"/>
          <w:b/>
          <w:bCs/>
          <w:color w:val="0F1115"/>
          <w:kern w:val="2"/>
          <w:sz w:val="21"/>
          <w:szCs w:val="21"/>
          <w:shd w:val="clear" w:fill="FFFFFF"/>
          <w:lang w:val="en-US" w:eastAsia="zh-CN" w:bidi="ar"/>
        </w:rPr>
        <w:t>ESRP1 expression</w:t>
      </w:r>
      <w:r>
        <w:rPr>
          <w:rFonts w:hint="eastAsia" w:ascii="Times New Roman" w:hAnsi="Times New Roman" w:eastAsia="Segoe UI" w:cs="Times New Roman"/>
          <w:b/>
          <w:bCs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in CRC .</w:t>
      </w:r>
    </w:p>
    <w:p w14:paraId="623A57C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Segoe UI"/>
          <w:color w:val="0F1115"/>
          <w:sz w:val="21"/>
          <w:szCs w:val="21"/>
          <w:shd w:val="clear" w:color="auto" w:fill="FFFFFF"/>
          <w:lang w:val="en-US"/>
        </w:rPr>
      </w:pPr>
      <w:r>
        <w:rPr>
          <w:rFonts w:hint="eastAsia" w:ascii="Times New Roman" w:hAnsi="Times New Roman" w:eastAsia="宋体"/>
          <w:color w:val="0F1115"/>
          <w:sz w:val="21"/>
          <w:szCs w:val="21"/>
          <w:shd w:val="clear" w:color="auto" w:fill="FFFFFF"/>
          <w:lang w:val="en-US" w:eastAsia="zh-CN"/>
        </w:rPr>
        <w:t>(A,B)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RT-qPCR and 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Western blot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analysis 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the effect of</w:t>
      </w:r>
      <w:r>
        <w:rPr>
          <w:rFonts w:hint="default" w:ascii="Times New Roman" w:hAnsi="Times New Roman" w:eastAsia="Segoe UI" w:cs="Times New Roman"/>
          <w:i/>
          <w:iCs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i/>
          <w:iCs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overexpression </w:t>
      </w:r>
      <w:r>
        <w:rPr>
          <w:rFonts w:hint="default" w:ascii="Times New Roman" w:hAnsi="Times New Roman" w:eastAsia="宋体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LINC02894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(LV-</w:t>
      </w:r>
      <w:r>
        <w:rPr>
          <w:rFonts w:hint="default" w:ascii="Times New Roman" w:hAnsi="Times New Roman" w:eastAsia="宋体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LINC02894</w:t>
      </w:r>
      <w:r>
        <w:rPr>
          <w:rFonts w:hint="default" w:ascii="Times New Roman" w:hAnsi="Times New Roman" w:eastAsia="等线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) 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on ESRP1 expression</w:t>
      </w:r>
      <w:r>
        <w:rPr>
          <w:rFonts w:hint="eastAsia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in SW620 cells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eastAsia" w:ascii="Times New Roman" w:hAnsi="Times New Roman" w:eastAsia="宋体"/>
          <w:color w:val="0F1115"/>
          <w:sz w:val="21"/>
          <w:szCs w:val="21"/>
          <w:shd w:val="clear" w:color="auto" w:fill="FFFFFF"/>
          <w:lang w:val="en-US" w:eastAsia="zh-CN"/>
        </w:rPr>
        <w:t xml:space="preserve"> (C,D)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RT-qPCR and 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Western blot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analysis 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the effect of</w:t>
      </w:r>
      <w:r>
        <w:rPr>
          <w:rFonts w:hint="default" w:ascii="Times New Roman" w:hAnsi="Times New Roman" w:eastAsia="等线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knockdown</w:t>
      </w:r>
      <w:r>
        <w:rPr>
          <w:rFonts w:hint="default" w:ascii="Times New Roman" w:hAnsi="Times New Roman" w:eastAsia="宋体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LINC02894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(sh-</w:t>
      </w:r>
      <w:r>
        <w:rPr>
          <w:rFonts w:hint="default" w:ascii="Times New Roman" w:hAnsi="Times New Roman" w:eastAsia="宋体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LINC02894</w:t>
      </w:r>
      <w:r>
        <w:rPr>
          <w:rFonts w:hint="default" w:ascii="Times New Roman" w:hAnsi="Times New Roman" w:eastAsia="等线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) </w:t>
      </w:r>
      <w:r>
        <w:rPr>
          <w:rFonts w:hint="default" w:ascii="Times New Roman" w:hAnsi="Times New Roman" w:eastAsia="Segoe UI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>on ESRP1 expression</w:t>
      </w:r>
      <w:r>
        <w:rPr>
          <w:rFonts w:hint="default" w:ascii="Times New Roman" w:hAnsi="Times New Roman" w:eastAsia="等线" w:cs="Times New Roman"/>
          <w:color w:val="0F1115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in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Lovo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cells.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/>
          <w:color w:val="0F1115"/>
          <w:sz w:val="21"/>
          <w:szCs w:val="21"/>
          <w:shd w:val="clear" w:color="auto" w:fill="FFFFFF"/>
          <w:lang w:val="en-US" w:eastAsia="zh-CN"/>
        </w:rPr>
        <w:t>(E)</w:t>
      </w:r>
      <w:r>
        <w:rPr>
          <w:rFonts w:ascii="Times New Roman" w:hAnsi="Times New Roman" w:eastAsia="Segoe UI"/>
          <w:color w:val="0F1115"/>
          <w:sz w:val="21"/>
          <w:szCs w:val="21"/>
          <w:shd w:val="clear" w:color="auto" w:fill="FFFFFF"/>
        </w:rPr>
        <w:t>Western blot assay validating the efficiency of siESRP1.</w:t>
      </w:r>
      <w:r>
        <w:rPr>
          <w:rFonts w:hint="eastAsia" w:ascii="Times New Roman" w:hAnsi="Times New Roman" w:eastAsia="宋体"/>
          <w:color w:val="0F1115"/>
          <w:sz w:val="21"/>
          <w:szCs w:val="21"/>
          <w:shd w:val="clear" w:color="auto" w:fill="FFFFFF"/>
          <w:lang w:val="en-US" w:eastAsia="zh-CN"/>
        </w:rPr>
        <w:t>(F)</w:t>
      </w:r>
      <w:r>
        <w:rPr>
          <w:rFonts w:ascii="Times New Roman" w:hAnsi="Times New Roman" w:eastAsia="Segoe UI"/>
          <w:color w:val="0F1115"/>
          <w:sz w:val="21"/>
          <w:szCs w:val="21"/>
          <w:shd w:val="clear" w:color="auto" w:fill="FFFFFF"/>
        </w:rPr>
        <w:t xml:space="preserve"> Quantification of EdU-positive cells </w:t>
      </w:r>
      <w:r>
        <w:rPr>
          <w:rFonts w:hint="eastAsia" w:ascii="Times New Roman" w:hAnsi="Times New Roman" w:eastAsia="宋体"/>
          <w:color w:val="0F1115"/>
          <w:sz w:val="21"/>
          <w:szCs w:val="21"/>
          <w:shd w:val="clear" w:color="auto" w:fill="FFFFFF"/>
          <w:lang w:val="en-US" w:eastAsia="zh-CN"/>
        </w:rPr>
        <w:t>with</w:t>
      </w:r>
      <w:r>
        <w:rPr>
          <w:rFonts w:ascii="Times New Roman" w:hAnsi="Times New Roman" w:eastAsia="Segoe UI"/>
          <w:color w:val="0F1115"/>
          <w:sz w:val="21"/>
          <w:szCs w:val="21"/>
          <w:shd w:val="clear" w:color="auto" w:fill="FFFFFF"/>
        </w:rPr>
        <w:t xml:space="preserve"> ESRP1 knockdown</w:t>
      </w:r>
      <w:r>
        <w:rPr>
          <w:rFonts w:hint="eastAsia" w:ascii="Times New Roman" w:hAnsi="Times New Roman" w:eastAsia="宋体"/>
          <w:color w:val="0F1115"/>
          <w:sz w:val="21"/>
          <w:szCs w:val="21"/>
          <w:shd w:val="clear" w:color="auto" w:fill="FFFFFF"/>
          <w:lang w:val="en-US" w:eastAsia="zh-CN"/>
        </w:rPr>
        <w:t xml:space="preserve"> in CRC cells.(G)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lang w:val="en-US" w:eastAsia="zh-CN" w:bidi="ar"/>
        </w:rPr>
        <w:t>(G)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Analysis of TCGA and GTEx data via GEPIA revealing significant upregulation of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>ESRP1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in COAD tissues compared to normal controls.</w:t>
      </w:r>
    </w:p>
    <w:p w14:paraId="0877A45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Times New Roman" w:hAnsi="Times New Roman" w:eastAsia="等线"/>
          <w:color w:val="000000" w:themeColor="text1"/>
          <w:kern w:val="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8689F5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A199E8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042D70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6711B0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68ED3E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EBE84E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2916F1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660CA9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77ECA03">
      <w:pPr>
        <w:pStyle w:val="5"/>
        <w:widowControl/>
        <w:spacing w:line="480" w:lineRule="auto"/>
        <w:jc w:val="both"/>
        <w:rPr>
          <w:rFonts w:hint="eastAsia" w:ascii="Times New Roman" w:hAnsi="Times New Roman" w:eastAsia="等线"/>
          <w:color w:val="000000" w:themeColor="text1"/>
          <w:kern w:val="2"/>
          <w:lang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CC374"/>
    <w:multiLevelType w:val="singleLevel"/>
    <w:tmpl w:val="949CC374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41D4633A"/>
    <w:multiLevelType w:val="singleLevel"/>
    <w:tmpl w:val="41D4633A"/>
    <w:lvl w:ilvl="0" w:tentative="0">
      <w:start w:val="1"/>
      <w:numFmt w:val="upperLetter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4B"/>
    <w:rsid w:val="000442BC"/>
    <w:rsid w:val="00084C4B"/>
    <w:rsid w:val="00175967"/>
    <w:rsid w:val="00683BAE"/>
    <w:rsid w:val="0089266E"/>
    <w:rsid w:val="00940EE9"/>
    <w:rsid w:val="00C75D12"/>
    <w:rsid w:val="00EF6546"/>
    <w:rsid w:val="01370276"/>
    <w:rsid w:val="0EF04442"/>
    <w:rsid w:val="24A3442A"/>
    <w:rsid w:val="27947E92"/>
    <w:rsid w:val="29791BFE"/>
    <w:rsid w:val="2D082E08"/>
    <w:rsid w:val="302041AB"/>
    <w:rsid w:val="33CB0B11"/>
    <w:rsid w:val="36404914"/>
    <w:rsid w:val="3D5347E8"/>
    <w:rsid w:val="413B5045"/>
    <w:rsid w:val="45E33C3D"/>
    <w:rsid w:val="462F3918"/>
    <w:rsid w:val="4AE051E1"/>
    <w:rsid w:val="4EBB663A"/>
    <w:rsid w:val="58A77E6E"/>
    <w:rsid w:val="5A07278A"/>
    <w:rsid w:val="5A4D3578"/>
    <w:rsid w:val="658B0713"/>
    <w:rsid w:val="668C58B6"/>
    <w:rsid w:val="6A461000"/>
    <w:rsid w:val="6CC43147"/>
    <w:rsid w:val="70904E30"/>
    <w:rsid w:val="70C9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line number"/>
    <w:basedOn w:val="7"/>
    <w:qFormat/>
    <w:uiPriority w:val="0"/>
  </w:style>
  <w:style w:type="paragraph" w:customStyle="1" w:styleId="10">
    <w:name w:val="表序、标题"/>
    <w:basedOn w:val="1"/>
    <w:autoRedefine/>
    <w:qFormat/>
    <w:uiPriority w:val="0"/>
    <w:pPr>
      <w:spacing w:before="163" w:beforeLines="50"/>
      <w:jc w:val="center"/>
    </w:pPr>
    <w:rPr>
      <w:lang w:val="zh-CN"/>
    </w:rPr>
  </w:style>
  <w:style w:type="paragraph" w:customStyle="1" w:styleId="11">
    <w:name w:val="表格内容"/>
    <w:basedOn w:val="1"/>
    <w:autoRedefine/>
    <w:qFormat/>
    <w:uiPriority w:val="0"/>
    <w:pPr>
      <w:jc w:val="center"/>
    </w:pPr>
    <w:rPr>
      <w:rFonts w:cstheme="majorBidi"/>
      <w:color w:val="000000" w:themeColor="text1"/>
      <w14:textFill>
        <w14:solidFill>
          <w14:schemeClr w14:val="tx1"/>
        </w14:solidFill>
      </w14:textFill>
    </w:rPr>
  </w:style>
  <w:style w:type="table" w:customStyle="1" w:styleId="12">
    <w:name w:val="清单表 7 彩色1"/>
    <w:basedOn w:val="6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417</Words>
  <Characters>2443</Characters>
  <Lines>138</Lines>
  <Paragraphs>103</Paragraphs>
  <TotalTime>162</TotalTime>
  <ScaleCrop>false</ScaleCrop>
  <LinksUpToDate>false</LinksUpToDate>
  <CharactersWithSpaces>2853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2025-09-13T14:18:00Z</dcterms:created>
  <dc:creator>gongx</dc:creator>
  <cp:lastModifiedBy>顺顺</cp:lastModifiedBy>
  <dcterms:modified xsi:type="dcterms:W3CDTF">2026-03-03T09:04:23Z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5A0835E151F24002B742668FD8C7FFE9_13</vt:lpwstr>
  </property>
  <property fmtid="{D5CDD505-2E9C-101B-9397-08002B2CF9AE}" pid="4" name="KSOTemplateDocerSaveRecord">
    <vt:lpwstr>eyJoZGlkIjoiNGU5YTk2NWU3OTRhNTU0YjZlNWE0ODExMjY4YzM0MTgiLCJ1c2VySWQiOiI0MjU1NzYyMzEifQ==</vt:lpwstr>
  </property>
  <property fmtid="{D5CDD505-2E9C-101B-9397-08002B2CF9AE}" pid="5" name="_DocHome">
    <vt:i4>1352730635</vt:i4>
  </property>
</Properties>
</file>