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E7F55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 data</w:t>
      </w:r>
    </w:p>
    <w:bookmarkEnd w:id="0"/>
    <w:p w14:paraId="3273EA41">
      <w:pPr>
        <w:rPr>
          <w:rFonts w:hint="eastAsia" w:eastAsiaTheme="minorEastAsia"/>
          <w:lang w:eastAsia="zh-CN"/>
        </w:rPr>
      </w:pPr>
    </w:p>
    <w:p w14:paraId="675B008D">
      <w:pPr>
        <w:jc w:val="center"/>
        <w:rPr>
          <w:rFonts w:ascii="Times New Roman" w:hAnsi="Times New Roman" w:eastAsia="宋体" w:cs="Times New Roman"/>
          <w14:ligatures w14:val="none"/>
        </w:rPr>
      </w:pPr>
      <w:r>
        <w:rPr>
          <w:rFonts w:ascii="Times New Roman" w:hAnsi="Times New Roman" w:eastAsia="宋体" w:cs="Times New Roman"/>
          <w14:ligatures w14:val="none"/>
        </w:rPr>
        <w:drawing>
          <wp:inline distT="0" distB="0" distL="0" distR="0">
            <wp:extent cx="4804410" cy="4004310"/>
            <wp:effectExtent l="0" t="0" r="11430" b="3810"/>
            <wp:docPr id="3638009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00996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DE26">
      <w:pPr>
        <w:jc w:val="center"/>
        <w:rPr>
          <w:rFonts w:hint="eastAsia" w:ascii="Times New Roman" w:hAnsi="Times New Roman" w:eastAsia="宋体" w:cs="Times New Roman"/>
          <w:b w:val="0"/>
          <w:bCs w:val="0"/>
          <w:sz w:val="22"/>
          <w:szCs w:val="22"/>
          <w:lang w:eastAsia="zh-CN"/>
          <w14:ligatures w14:val="none"/>
        </w:rPr>
      </w:pPr>
      <w:r>
        <w:rPr>
          <w:rFonts w:hint="eastAsia" w:ascii="Times New Roman" w:hAnsi="Times New Roman" w:eastAsia="宋体" w:cs="Times New Roman"/>
          <w:b w:val="0"/>
          <w:bCs w:val="0"/>
          <w:sz w:val="22"/>
          <w:szCs w:val="22"/>
          <w:lang w:eastAsia="zh-CN"/>
          <w14:ligatures w14:val="none"/>
        </w:rPr>
        <w:t>Figure S1. Correlation analysis of air pollutants and meteorological factors with the number of AECOPD hospitalizations</w:t>
      </w:r>
    </w:p>
    <w:p w14:paraId="5D8E5079">
      <w:pPr>
        <w:rPr>
          <w:rFonts w:hint="eastAsia" w:ascii="Times New Roman" w:hAnsi="Times New Roman" w:eastAsia="宋体" w:cs="Times New Roman"/>
          <w:lang w:eastAsia="zh-CN"/>
          <w14:ligatures w14:val="none"/>
        </w:rPr>
      </w:pPr>
    </w:p>
    <w:p w14:paraId="3C518BAC">
      <w:pPr>
        <w:jc w:val="center"/>
        <w:rPr>
          <w:rFonts w:ascii="Times New Roman" w:hAnsi="Times New Roman" w:eastAsia="宋体" w:cs="Times New Roman"/>
          <w14:ligatures w14:val="none"/>
        </w:rPr>
      </w:pPr>
      <w:r>
        <w:rPr>
          <w:rFonts w:ascii="Times New Roman" w:hAnsi="Times New Roman" w:eastAsia="宋体" w:cs="Times New Roman"/>
          <w14:ligatures w14:val="none"/>
        </w:rPr>
        <w:drawing>
          <wp:inline distT="0" distB="0" distL="0" distR="0">
            <wp:extent cx="3837940" cy="7676515"/>
            <wp:effectExtent l="0" t="0" r="2540" b="4445"/>
            <wp:docPr id="3884017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01704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CA27">
      <w:pPr>
        <w:jc w:val="center"/>
        <w:rPr>
          <w:rFonts w:hint="eastAsia" w:ascii="Times New Roman" w:hAnsi="Times New Roman" w:eastAsia="宋体" w:cs="Times New Roman"/>
          <w:lang w:val="en-US" w:eastAsia="zh-CN"/>
          <w14:ligatures w14:val="none"/>
        </w:rPr>
      </w:pPr>
      <w:r>
        <w:rPr>
          <w:rFonts w:hint="eastAsia" w:ascii="Times New Roman" w:hAnsi="Times New Roman" w:eastAsia="宋体" w:cs="Times New Roman"/>
          <w:sz w:val="22"/>
          <w:szCs w:val="22"/>
          <w:lang w:eastAsia="zh-CN"/>
          <w14:ligatures w14:val="none"/>
        </w:rPr>
        <w:t>Figure S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>2</w:t>
      </w:r>
      <w:r>
        <w:rPr>
          <w:rFonts w:hint="eastAsia" w:ascii="Times New Roman" w:hAnsi="Times New Roman" w:eastAsia="宋体" w:cs="Times New Roman"/>
          <w:sz w:val="22"/>
          <w:szCs w:val="22"/>
          <w:lang w:eastAsia="zh-CN"/>
          <w14:ligatures w14:val="none"/>
        </w:rPr>
        <w:t>.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 Subgroup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a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nalysis of the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a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ssociation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b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etween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a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ir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p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ollutants and the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r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 xml:space="preserve">isk of AECOPD </w:t>
      </w:r>
      <w:r>
        <w:rPr>
          <w:rFonts w:hint="default" w:ascii="Times New Roman" w:hAnsi="Times New Roman" w:eastAsia="宋体" w:cs="Times New Roman"/>
          <w:sz w:val="22"/>
          <w:szCs w:val="22"/>
          <w:lang w:eastAsia="zh-CN"/>
          <w14:ligatures w14:val="none"/>
        </w:rPr>
        <w:t>h</w:t>
      </w:r>
      <w:r>
        <w:rPr>
          <w:rFonts w:hint="eastAsia" w:ascii="Times New Roman" w:hAnsi="Times New Roman" w:eastAsia="宋体" w:cs="Times New Roman"/>
          <w:sz w:val="22"/>
          <w:szCs w:val="22"/>
          <w:lang w:val="en-US" w:eastAsia="zh-CN"/>
          <w14:ligatures w14:val="none"/>
        </w:rPr>
        <w:t>ospitalization</w:t>
      </w:r>
    </w:p>
    <w:p w14:paraId="53A4F567">
      <w:pPr>
        <w:jc w:val="center"/>
      </w:pPr>
      <w:r>
        <w:drawing>
          <wp:inline distT="0" distB="0" distL="0" distR="0">
            <wp:extent cx="3768090" cy="2691765"/>
            <wp:effectExtent l="0" t="0" r="11430" b="5715"/>
            <wp:docPr id="16066768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768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EDF6">
      <w:pPr>
        <w:jc w:val="center"/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  <w:r>
        <w:rPr>
          <w:rFonts w:ascii="Times New Roman" w:hAnsi="Times New Roman" w:cs="Times New Roman"/>
          <w:sz w:val="22"/>
          <w:szCs w:val="22"/>
        </w:rPr>
        <w:t>Figure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S3. </w:t>
      </w:r>
      <w:r>
        <w:rPr>
          <w:rFonts w:ascii="Times New Roman" w:hAnsi="Times New Roman" w:cs="Times New Roman"/>
          <w:sz w:val="22"/>
          <w:szCs w:val="22"/>
        </w:rPr>
        <w:t>Three-dimensional plot of pollutants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df=6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)</w:t>
      </w:r>
    </w:p>
    <w:p w14:paraId="295E50F9">
      <w:pPr>
        <w:jc w:val="center"/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</w:p>
    <w:p w14:paraId="110AD79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791585" cy="2708275"/>
            <wp:effectExtent l="0" t="0" r="3175" b="4445"/>
            <wp:docPr id="8990260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2608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1BE5">
      <w:pPr>
        <w:jc w:val="center"/>
        <w:rPr>
          <w:rFonts w:hint="eastAsia"/>
          <w:lang w:val="en-US" w:eastAsia="zh-CN"/>
        </w:rPr>
      </w:pPr>
      <w:r>
        <w:rPr>
          <w:rFonts w:ascii="Times New Roman" w:hAnsi="Times New Roman" w:cs="Times New Roman"/>
          <w:sz w:val="22"/>
          <w:szCs w:val="22"/>
        </w:rPr>
        <w:t>Figure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S4. </w:t>
      </w:r>
      <w:r>
        <w:rPr>
          <w:rFonts w:ascii="Times New Roman" w:hAnsi="Times New Roman" w:cs="Times New Roman"/>
          <w:sz w:val="22"/>
          <w:szCs w:val="22"/>
        </w:rPr>
        <w:t>Three-dimensional plot of pollutants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df=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8)</w:t>
      </w:r>
    </w:p>
    <w:p w14:paraId="2D2F117E">
      <w:pPr>
        <w:jc w:val="left"/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</w:p>
    <w:p w14:paraId="08D0C17C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29505" cy="3943985"/>
            <wp:effectExtent l="0" t="0" r="8255" b="3175"/>
            <wp:docPr id="20337409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4098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BD56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Figure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S</w:t>
      </w:r>
      <w:r>
        <w:rPr>
          <w:rFonts w:ascii="Times New Roman" w:hAnsi="Times New Roman" w:cs="Times New Roman"/>
          <w:sz w:val="22"/>
          <w:szCs w:val="22"/>
        </w:rPr>
        <w:t>5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Q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gcomp</w:t>
      </w:r>
      <w:r>
        <w:rPr>
          <w:rFonts w:ascii="Times New Roman" w:hAnsi="Times New Roman" w:cs="Times New Roman"/>
          <w:sz w:val="22"/>
          <w:szCs w:val="22"/>
        </w:rPr>
        <w:t xml:space="preserve"> quantile test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weight plot</w:t>
      </w:r>
      <w:r>
        <w:rPr>
          <w:rFonts w:ascii="Times New Roman" w:hAnsi="Times New Roman" w:cs="Times New Roman"/>
          <w:sz w:val="22"/>
          <w:szCs w:val="22"/>
        </w:rPr>
        <w:t xml:space="preserve"> (q = 3, 4, 5, 10)</w:t>
      </w:r>
    </w:p>
    <w:p w14:paraId="796E295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DB2B06B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598035" cy="3831590"/>
            <wp:effectExtent l="0" t="0" r="4445" b="8890"/>
            <wp:docPr id="12318065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065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949" cy="38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1B6A">
      <w:pPr>
        <w:jc w:val="center"/>
        <w:rPr>
          <w:rFonts w:hint="eastAsia"/>
        </w:rPr>
      </w:pPr>
      <w:r>
        <w:rPr>
          <w:rFonts w:ascii="Times New Roman" w:hAnsi="Times New Roman" w:cs="Times New Roman"/>
          <w:sz w:val="22"/>
          <w:szCs w:val="22"/>
        </w:rPr>
        <w:t xml:space="preserve">Figure 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S6. </w:t>
      </w:r>
      <w:r>
        <w:rPr>
          <w:rFonts w:ascii="Times New Roman" w:hAnsi="Times New Roman" w:cs="Times New Roman"/>
          <w:sz w:val="22"/>
          <w:szCs w:val="22"/>
        </w:rPr>
        <w:t>Joint exposure-response relationship for AECOPD hospital admissions</w:t>
      </w:r>
    </w:p>
    <w:p w14:paraId="75D0C356">
      <w:pPr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E76B806">
      <w:pPr>
        <w:spacing w:after="120"/>
        <w:jc w:val="left"/>
        <w:rPr>
          <w:rFonts w:hint="eastAsia" w:ascii="Times New Roman" w:hAnsi="Times New Roman" w:eastAsia="宋体" w:cs="Times New Roman"/>
          <w:color w:val="000000"/>
          <w:sz w:val="22"/>
          <w:szCs w:val="22"/>
          <w14:ligatures w14:val="none"/>
        </w:rPr>
      </w:pPr>
      <w:r>
        <w:rPr>
          <w:rFonts w:ascii="Times New Roman" w:hAnsi="Times New Roman" w:eastAsia="宋体" w:cs="Times New Roman"/>
          <w:color w:val="000000"/>
          <w:sz w:val="22"/>
          <w:szCs w:val="22"/>
          <w14:ligatures w14:val="none"/>
        </w:rPr>
        <w:t>Table</w:t>
      </w:r>
      <w:r>
        <w:rPr>
          <w:rFonts w:hint="eastAsia" w:ascii="Times New Roman" w:hAnsi="Times New Roman" w:eastAsia="宋体" w:cs="Times New Roman"/>
          <w:color w:val="000000"/>
          <w:sz w:val="22"/>
          <w:szCs w:val="22"/>
          <w:lang w:val="en-US" w:eastAsia="zh-CN"/>
          <w14:ligatures w14:val="none"/>
        </w:rPr>
        <w:t xml:space="preserve">S1. </w:t>
      </w:r>
      <w:r>
        <w:rPr>
          <w:rFonts w:ascii="Times New Roman" w:hAnsi="Times New Roman" w:eastAsia="宋体" w:cs="Times New Roman"/>
          <w:color w:val="000000"/>
          <w:sz w:val="22"/>
          <w:szCs w:val="22"/>
          <w14:ligatures w14:val="none"/>
        </w:rPr>
        <w:t>Two-pollutant model</w:t>
      </w:r>
    </w:p>
    <w:tbl>
      <w:tblPr>
        <w:tblStyle w:val="4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4"/>
        <w:gridCol w:w="2024"/>
        <w:gridCol w:w="2024"/>
        <w:gridCol w:w="2024"/>
        <w:gridCol w:w="2025"/>
        <w:gridCol w:w="2025"/>
        <w:gridCol w:w="2028"/>
      </w:tblGrid>
      <w:tr w14:paraId="65A8E6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63AF60FA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Adjustment item</w:t>
            </w:r>
          </w:p>
        </w:tc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25ED189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PM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2.5</w:t>
            </w:r>
          </w:p>
        </w:tc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18E96EC8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PM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10</w:t>
            </w:r>
          </w:p>
        </w:tc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0A9F0E16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NO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</w:t>
            </w:r>
          </w:p>
        </w:tc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76FA85FB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</w:t>
            </w:r>
          </w:p>
        </w:tc>
        <w:tc>
          <w:tcPr>
            <w:tcW w:w="714" w:type="pct"/>
            <w:tcBorders>
              <w:bottom w:val="single" w:color="auto" w:sz="4" w:space="0"/>
              <w:insideH w:val="single" w:sz="4" w:space="0"/>
            </w:tcBorders>
          </w:tcPr>
          <w:p w14:paraId="5F7BD43A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O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3</w:t>
            </w:r>
          </w:p>
        </w:tc>
        <w:tc>
          <w:tcPr>
            <w:tcW w:w="715" w:type="pct"/>
            <w:tcBorders>
              <w:bottom w:val="single" w:color="auto" w:sz="4" w:space="0"/>
              <w:insideH w:val="single" w:sz="4" w:space="0"/>
            </w:tcBorders>
          </w:tcPr>
          <w:p w14:paraId="413318FC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</w:t>
            </w:r>
          </w:p>
        </w:tc>
      </w:tr>
      <w:tr w14:paraId="2882A98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39AA848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Single-pollutant model</w:t>
            </w:r>
          </w:p>
        </w:tc>
        <w:tc>
          <w:tcPr>
            <w:tcW w:w="714" w:type="pct"/>
          </w:tcPr>
          <w:p w14:paraId="726DE73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1.028 (1.008-1.049)</w:t>
            </w:r>
          </w:p>
        </w:tc>
        <w:tc>
          <w:tcPr>
            <w:tcW w:w="714" w:type="pct"/>
          </w:tcPr>
          <w:p w14:paraId="58341923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1.025 (0.998-1.053)</w:t>
            </w:r>
          </w:p>
        </w:tc>
        <w:tc>
          <w:tcPr>
            <w:tcW w:w="714" w:type="pct"/>
          </w:tcPr>
          <w:p w14:paraId="53FBCF8F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1.004 (0.953-1.057)</w:t>
            </w:r>
          </w:p>
        </w:tc>
        <w:tc>
          <w:tcPr>
            <w:tcW w:w="714" w:type="pct"/>
          </w:tcPr>
          <w:p w14:paraId="3463CE7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1.000 (0.948-1.056)</w:t>
            </w:r>
          </w:p>
        </w:tc>
        <w:tc>
          <w:tcPr>
            <w:tcW w:w="714" w:type="pct"/>
          </w:tcPr>
          <w:p w14:paraId="53ED0C65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1.010 (0.956-1.067)</w:t>
            </w:r>
          </w:p>
        </w:tc>
        <w:tc>
          <w:tcPr>
            <w:tcW w:w="715" w:type="pct"/>
          </w:tcPr>
          <w:p w14:paraId="56CD19D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1.042 (1.013-1.073)</w:t>
            </w:r>
          </w:p>
        </w:tc>
      </w:tr>
      <w:tr w14:paraId="0A2427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41BC4B3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PM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2.5</w:t>
            </w:r>
          </w:p>
        </w:tc>
        <w:tc>
          <w:tcPr>
            <w:tcW w:w="714" w:type="pct"/>
          </w:tcPr>
          <w:p w14:paraId="4C11BEBA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  <w:tc>
          <w:tcPr>
            <w:tcW w:w="714" w:type="pct"/>
          </w:tcPr>
          <w:p w14:paraId="4ED27B56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1.126 (1.023-1.239)</w:t>
            </w:r>
          </w:p>
        </w:tc>
        <w:tc>
          <w:tcPr>
            <w:tcW w:w="714" w:type="pct"/>
          </w:tcPr>
          <w:p w14:paraId="33D59489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1.011 (0.953-1.073)</w:t>
            </w:r>
          </w:p>
        </w:tc>
        <w:tc>
          <w:tcPr>
            <w:tcW w:w="714" w:type="pct"/>
          </w:tcPr>
          <w:p w14:paraId="56BAF12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0.974 (0.918-1.034)</w:t>
            </w:r>
          </w:p>
        </w:tc>
        <w:tc>
          <w:tcPr>
            <w:tcW w:w="714" w:type="pct"/>
          </w:tcPr>
          <w:p w14:paraId="174C2869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0.987 (0.932-1.045)</w:t>
            </w:r>
          </w:p>
        </w:tc>
        <w:tc>
          <w:tcPr>
            <w:tcW w:w="715" w:type="pct"/>
          </w:tcPr>
          <w:p w14:paraId="557B456E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1.036 (1.004-1.068)</w:t>
            </w:r>
          </w:p>
        </w:tc>
      </w:tr>
      <w:tr w14:paraId="0B9002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64D5B815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PM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10</w:t>
            </w:r>
          </w:p>
        </w:tc>
        <w:tc>
          <w:tcPr>
            <w:tcW w:w="714" w:type="pct"/>
          </w:tcPr>
          <w:p w14:paraId="211137B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1.027 (0.970-1.088)</w:t>
            </w:r>
          </w:p>
        </w:tc>
        <w:tc>
          <w:tcPr>
            <w:tcW w:w="714" w:type="pct"/>
          </w:tcPr>
          <w:p w14:paraId="4A1A97C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  <w:tc>
          <w:tcPr>
            <w:tcW w:w="714" w:type="pct"/>
          </w:tcPr>
          <w:p w14:paraId="35F66679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1.020 (0.959-1.084)</w:t>
            </w:r>
          </w:p>
        </w:tc>
        <w:tc>
          <w:tcPr>
            <w:tcW w:w="714" w:type="pct"/>
          </w:tcPr>
          <w:p w14:paraId="7ED913CF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0.972 (0.915-1.032)</w:t>
            </w:r>
          </w:p>
        </w:tc>
        <w:tc>
          <w:tcPr>
            <w:tcW w:w="714" w:type="pct"/>
          </w:tcPr>
          <w:p w14:paraId="08EC896E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0.978 (0.923-1.036)</w:t>
            </w:r>
          </w:p>
        </w:tc>
        <w:tc>
          <w:tcPr>
            <w:tcW w:w="715" w:type="pct"/>
          </w:tcPr>
          <w:p w14:paraId="190CEBF1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1.031 (1.000-1.064)</w:t>
            </w:r>
          </w:p>
        </w:tc>
      </w:tr>
      <w:tr w14:paraId="29A65E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3C95351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NO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</w:t>
            </w:r>
          </w:p>
        </w:tc>
        <w:tc>
          <w:tcPr>
            <w:tcW w:w="714" w:type="pct"/>
          </w:tcPr>
          <w:p w14:paraId="0268D06C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0.999 (0.970-1.029)</w:t>
            </w:r>
          </w:p>
        </w:tc>
        <w:tc>
          <w:tcPr>
            <w:tcW w:w="714" w:type="pct"/>
          </w:tcPr>
          <w:p w14:paraId="110436C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0.971 (0.933-1.012)</w:t>
            </w:r>
          </w:p>
        </w:tc>
        <w:tc>
          <w:tcPr>
            <w:tcW w:w="714" w:type="pct"/>
          </w:tcPr>
          <w:p w14:paraId="2E73E38A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  <w:tc>
          <w:tcPr>
            <w:tcW w:w="714" w:type="pct"/>
          </w:tcPr>
          <w:p w14:paraId="743129C5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0.952 (0.895-1.013)</w:t>
            </w:r>
          </w:p>
        </w:tc>
        <w:tc>
          <w:tcPr>
            <w:tcW w:w="714" w:type="pct"/>
          </w:tcPr>
          <w:p w14:paraId="761D2BBB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0.990 (0.935-1.048)</w:t>
            </w:r>
          </w:p>
        </w:tc>
        <w:tc>
          <w:tcPr>
            <w:tcW w:w="715" w:type="pct"/>
          </w:tcPr>
          <w:p w14:paraId="14B42A0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1.029 (0.999-1.061)</w:t>
            </w:r>
          </w:p>
        </w:tc>
      </w:tr>
      <w:tr w14:paraId="24E1E9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4AD6508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CO</w:t>
            </w:r>
          </w:p>
        </w:tc>
        <w:tc>
          <w:tcPr>
            <w:tcW w:w="714" w:type="pct"/>
          </w:tcPr>
          <w:p w14:paraId="24688ACB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1.035 (1.013-1.058)</w:t>
            </w:r>
          </w:p>
        </w:tc>
        <w:tc>
          <w:tcPr>
            <w:tcW w:w="714" w:type="pct"/>
          </w:tcPr>
          <w:p w14:paraId="480F37FE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1.035 (1.004-1.066)</w:t>
            </w:r>
          </w:p>
        </w:tc>
        <w:tc>
          <w:tcPr>
            <w:tcW w:w="714" w:type="pct"/>
          </w:tcPr>
          <w:p w14:paraId="00AEE7E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1.020 (0.966-1.077)</w:t>
            </w:r>
          </w:p>
        </w:tc>
        <w:tc>
          <w:tcPr>
            <w:tcW w:w="714" w:type="pct"/>
          </w:tcPr>
          <w:p w14:paraId="75153E0B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  <w:tc>
          <w:tcPr>
            <w:tcW w:w="714" w:type="pct"/>
          </w:tcPr>
          <w:p w14:paraId="3C63AD69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1.003 (0.948-1.061)</w:t>
            </w:r>
          </w:p>
        </w:tc>
        <w:tc>
          <w:tcPr>
            <w:tcW w:w="715" w:type="pct"/>
          </w:tcPr>
          <w:p w14:paraId="1829DDF7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1.041 (1.011-1.072)</w:t>
            </w:r>
          </w:p>
        </w:tc>
      </w:tr>
      <w:tr w14:paraId="5F9D44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708D235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3</w:t>
            </w:r>
          </w:p>
        </w:tc>
        <w:tc>
          <w:tcPr>
            <w:tcW w:w="714" w:type="pct"/>
          </w:tcPr>
          <w:p w14:paraId="047F2F9C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1.035 (1.014-1.057)</w:t>
            </w:r>
          </w:p>
        </w:tc>
        <w:tc>
          <w:tcPr>
            <w:tcW w:w="714" w:type="pct"/>
          </w:tcPr>
          <w:p w14:paraId="4AB66276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1.056 (1.023-1.089)</w:t>
            </w:r>
          </w:p>
        </w:tc>
        <w:tc>
          <w:tcPr>
            <w:tcW w:w="714" w:type="pct"/>
          </w:tcPr>
          <w:p w14:paraId="450F7773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1.027 (0.974-1.082)</w:t>
            </w:r>
          </w:p>
        </w:tc>
        <w:tc>
          <w:tcPr>
            <w:tcW w:w="714" w:type="pct"/>
          </w:tcPr>
          <w:p w14:paraId="6BBE033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1.019 (0.963-1.077)</w:t>
            </w:r>
          </w:p>
        </w:tc>
        <w:tc>
          <w:tcPr>
            <w:tcW w:w="714" w:type="pct"/>
          </w:tcPr>
          <w:p w14:paraId="548DC5E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  <w:tc>
          <w:tcPr>
            <w:tcW w:w="715" w:type="pct"/>
          </w:tcPr>
          <w:p w14:paraId="6204112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1.043 (1.013-1.074)</w:t>
            </w:r>
          </w:p>
        </w:tc>
      </w:tr>
      <w:tr w14:paraId="300AFAA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14" w:type="pct"/>
          </w:tcPr>
          <w:p w14:paraId="60E28A12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+ SO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vertAlign w:val="subscript"/>
                <w14:ligatures w14:val="none"/>
              </w:rPr>
              <w:t>2</w:t>
            </w:r>
          </w:p>
        </w:tc>
        <w:tc>
          <w:tcPr>
            <w:tcW w:w="714" w:type="pct"/>
          </w:tcPr>
          <w:p w14:paraId="770E37ED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1.030 (1.008-1.052)</w:t>
            </w:r>
          </w:p>
        </w:tc>
        <w:tc>
          <w:tcPr>
            <w:tcW w:w="714" w:type="pct"/>
          </w:tcPr>
          <w:p w14:paraId="1A59DC24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1.022 (0.992-1.052)</w:t>
            </w:r>
          </w:p>
        </w:tc>
        <w:tc>
          <w:tcPr>
            <w:tcW w:w="714" w:type="pct"/>
          </w:tcPr>
          <w:p w14:paraId="31AAD68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1.001 (0.950-1.055)</w:t>
            </w:r>
          </w:p>
        </w:tc>
        <w:tc>
          <w:tcPr>
            <w:tcW w:w="714" w:type="pct"/>
          </w:tcPr>
          <w:p w14:paraId="417AB40A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0.992 (0.939-1.048)</w:t>
            </w:r>
          </w:p>
        </w:tc>
        <w:tc>
          <w:tcPr>
            <w:tcW w:w="714" w:type="pct"/>
          </w:tcPr>
          <w:p w14:paraId="7AD8DB18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0.998 (0.944-1.055)</w:t>
            </w:r>
          </w:p>
        </w:tc>
        <w:tc>
          <w:tcPr>
            <w:tcW w:w="715" w:type="pct"/>
          </w:tcPr>
          <w:p w14:paraId="58DCAB60"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</w:p>
        </w:tc>
      </w:tr>
    </w:tbl>
    <w:p w14:paraId="72B30D34">
      <w:pPr>
        <w:jc w:val="center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36BAA"/>
    <w:rsid w:val="4526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三线表"/>
    <w:basedOn w:val="2"/>
    <w:uiPriority w:val="99"/>
    <w:rPr>
      <w:rFonts w:ascii="Times New Roman" w:hAnsi="Times New Roman" w:eastAsia="宋体" w:cs="Times New Roman"/>
      <w:kern w:val="0"/>
      <w:sz w:val="20"/>
      <w:szCs w:val="20"/>
      <w14:ligatures w14:val="none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bottom w:val="single" w:color="auto" w:sz="4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</Words>
  <Characters>198</Characters>
  <Lines>0</Lines>
  <Paragraphs>0</Paragraphs>
  <TotalTime>0</TotalTime>
  <ScaleCrop>false</ScaleCrop>
  <LinksUpToDate>false</LinksUpToDate>
  <CharactersWithSpaces>228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2026-03-23T06:41:00Z</dcterms:created>
  <dc:creator>sena</dc:creator>
  <cp:lastModifiedBy>sena</cp:lastModifiedBy>
  <dcterms:modified xsi:type="dcterms:W3CDTF">2026-03-24T05:57:34Z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AE1765B6212E421A95CEE50202F29B99_11</vt:lpwstr>
  </property>
  <property fmtid="{D5CDD505-2E9C-101B-9397-08002B2CF9AE}" pid="4" name="KSOTemplateDocerSaveRecord">
    <vt:lpwstr>eyJoZGlkIjoiOWNiMjcyOGFlZTQ3MmIwZTdjY2UwNmEwMjQ1MmNiZDAiLCJ1c2VySWQiOiI5NjY3NTYyOTIifQ==</vt:lpwstr>
  </property>
</Properties>
</file>