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0ED0" w14:textId="77777777" w:rsidR="00AC2B75" w:rsidRPr="00E149FC" w:rsidRDefault="00AC2B75" w:rsidP="00AC2B75">
      <w:pPr>
        <w:spacing w:line="360" w:lineRule="auto"/>
        <w:rPr>
          <w:sz w:val="28"/>
          <w:szCs w:val="28"/>
        </w:rPr>
      </w:pPr>
      <w:r w:rsidRPr="00E149FC">
        <w:rPr>
          <w:b/>
          <w:bCs/>
          <w:sz w:val="28"/>
          <w:szCs w:val="28"/>
        </w:rPr>
        <w:t>Figure legend</w:t>
      </w:r>
      <w:r w:rsidRPr="00E149FC">
        <w:rPr>
          <w:rFonts w:hint="eastAsia"/>
          <w:b/>
          <w:bCs/>
          <w:sz w:val="28"/>
          <w:szCs w:val="28"/>
        </w:rPr>
        <w:t>s</w:t>
      </w:r>
    </w:p>
    <w:p w14:paraId="57AF758D" w14:textId="7469E00A" w:rsidR="001B5F6E" w:rsidRDefault="00AC2B75" w:rsidP="00AC2B75">
      <w:pPr>
        <w:spacing w:line="360" w:lineRule="auto"/>
        <w:jc w:val="both"/>
        <w:rPr>
          <w:b/>
          <w:bCs/>
          <w:sz w:val="24"/>
          <w:szCs w:val="24"/>
        </w:rPr>
      </w:pPr>
      <w:r>
        <w:rPr>
          <w:rFonts w:hint="eastAsia"/>
          <w:b/>
          <w:bCs/>
          <w:sz w:val="24"/>
          <w:szCs w:val="24"/>
        </w:rPr>
        <w:t>Supplem</w:t>
      </w:r>
      <w:r w:rsidR="002D5DEA">
        <w:rPr>
          <w:rFonts w:hint="eastAsia"/>
          <w:b/>
          <w:bCs/>
          <w:sz w:val="24"/>
          <w:szCs w:val="24"/>
        </w:rPr>
        <w:t>e</w:t>
      </w:r>
      <w:r>
        <w:rPr>
          <w:rFonts w:hint="eastAsia"/>
          <w:b/>
          <w:bCs/>
          <w:sz w:val="24"/>
          <w:szCs w:val="24"/>
        </w:rPr>
        <w:t xml:space="preserve">ntary </w:t>
      </w:r>
      <w:r w:rsidRPr="002713A0">
        <w:rPr>
          <w:b/>
          <w:bCs/>
          <w:sz w:val="24"/>
          <w:szCs w:val="24"/>
        </w:rPr>
        <w:t xml:space="preserve">Fig. 1 </w:t>
      </w:r>
      <w:r>
        <w:rPr>
          <w:rFonts w:hint="eastAsia"/>
          <w:b/>
          <w:bCs/>
          <w:sz w:val="24"/>
          <w:szCs w:val="24"/>
        </w:rPr>
        <w:t>|</w:t>
      </w:r>
      <w:r w:rsidRPr="00ED0B60">
        <w:rPr>
          <w:rFonts w:hint="eastAsia"/>
          <w:b/>
          <w:bCs/>
          <w:sz w:val="24"/>
          <w:szCs w:val="24"/>
        </w:rPr>
        <w:t xml:space="preserve"> </w:t>
      </w:r>
      <w:r w:rsidR="002D5DEA" w:rsidRPr="002D5DEA">
        <w:rPr>
          <w:b/>
          <w:bCs/>
          <w:sz w:val="24"/>
          <w:szCs w:val="24"/>
        </w:rPr>
        <w:t>Validation of immune cell type annotation by canonical marker gene expression in single-cell RNA-seq data.</w:t>
      </w:r>
    </w:p>
    <w:p w14:paraId="4DBE7B43" w14:textId="77777777" w:rsidR="001D4329" w:rsidRDefault="002D5DEA" w:rsidP="002D5DEA">
      <w:pPr>
        <w:spacing w:line="360" w:lineRule="auto"/>
        <w:jc w:val="both"/>
      </w:pPr>
      <w:r w:rsidRPr="002D5DEA">
        <w:rPr>
          <w:rFonts w:hint="eastAsia"/>
          <w:b/>
          <w:bCs/>
        </w:rPr>
        <w:t>a</w:t>
      </w:r>
      <w:r w:rsidRPr="002D5DEA">
        <w:rPr>
          <w:rFonts w:hint="eastAsia"/>
          <w:b/>
          <w:bCs/>
        </w:rPr>
        <w:t>–</w:t>
      </w:r>
      <w:r w:rsidRPr="002D5DEA">
        <w:rPr>
          <w:rFonts w:hint="eastAsia"/>
          <w:b/>
          <w:bCs/>
        </w:rPr>
        <w:t>e,</w:t>
      </w:r>
      <w:r>
        <w:t xml:space="preserve"> t-SNE feature plots showing the expression patterns of canonical marker genes used to validate immune cell type annotation in the single-cell dataset.</w:t>
      </w:r>
      <w:r w:rsidR="001D4329">
        <w:rPr>
          <w:rFonts w:hint="eastAsia"/>
        </w:rPr>
        <w:t xml:space="preserve"> </w:t>
      </w:r>
      <w:r w:rsidRPr="002D5DEA">
        <w:rPr>
          <w:rFonts w:hint="eastAsia"/>
          <w:b/>
          <w:bCs/>
        </w:rPr>
        <w:t>a,</w:t>
      </w:r>
      <w:r>
        <w:t xml:space="preserve"> Expression of T cell markers CD3E and CD3D.</w:t>
      </w:r>
      <w:r w:rsidR="001D4329">
        <w:rPr>
          <w:rFonts w:hint="eastAsia"/>
        </w:rPr>
        <w:t xml:space="preserve"> </w:t>
      </w:r>
      <w:r w:rsidRPr="002D5DEA">
        <w:rPr>
          <w:rFonts w:hint="eastAsia"/>
          <w:b/>
          <w:bCs/>
        </w:rPr>
        <w:t>b,</w:t>
      </w:r>
      <w:r w:rsidRPr="002D5DEA">
        <w:rPr>
          <w:b/>
          <w:bCs/>
        </w:rPr>
        <w:t xml:space="preserve"> </w:t>
      </w:r>
      <w:r>
        <w:t>Expression of natural killer (NK) cell markers NCR1 and KLRC1.</w:t>
      </w:r>
      <w:r w:rsidR="001D4329">
        <w:rPr>
          <w:rFonts w:hint="eastAsia"/>
        </w:rPr>
        <w:t xml:space="preserve"> </w:t>
      </w:r>
      <w:r w:rsidRPr="002D5DEA">
        <w:rPr>
          <w:rFonts w:hint="eastAsia"/>
          <w:b/>
          <w:bCs/>
        </w:rPr>
        <w:t>c,</w:t>
      </w:r>
      <w:r w:rsidRPr="002D5DEA">
        <w:rPr>
          <w:b/>
          <w:bCs/>
        </w:rPr>
        <w:t xml:space="preserve"> </w:t>
      </w:r>
      <w:r>
        <w:t>Expression of monocyte markers CD163 and CD68.</w:t>
      </w:r>
      <w:r w:rsidR="001D4329">
        <w:rPr>
          <w:rFonts w:hint="eastAsia"/>
        </w:rPr>
        <w:t xml:space="preserve"> </w:t>
      </w:r>
      <w:r w:rsidRPr="002D5DEA">
        <w:rPr>
          <w:rFonts w:hint="eastAsia"/>
          <w:b/>
          <w:bCs/>
        </w:rPr>
        <w:t>d,</w:t>
      </w:r>
      <w:r>
        <w:t xml:space="preserve"> Expression of B cell markers CD19 and CD79A.</w:t>
      </w:r>
      <w:r w:rsidR="001D4329">
        <w:rPr>
          <w:rFonts w:hint="eastAsia"/>
        </w:rPr>
        <w:t xml:space="preserve"> </w:t>
      </w:r>
      <w:r w:rsidRPr="002D5DEA">
        <w:rPr>
          <w:rFonts w:hint="eastAsia"/>
          <w:b/>
          <w:bCs/>
        </w:rPr>
        <w:t xml:space="preserve">e, </w:t>
      </w:r>
      <w:r>
        <w:t>Expression of dendritic cell (DC) markers XCR1 and CLEC9A.</w:t>
      </w:r>
      <w:r w:rsidR="001D4329">
        <w:rPr>
          <w:rFonts w:hint="eastAsia"/>
        </w:rPr>
        <w:t xml:space="preserve"> </w:t>
      </w:r>
    </w:p>
    <w:p w14:paraId="359C1F5E" w14:textId="553E2FD9" w:rsidR="002D5DEA" w:rsidRDefault="002D5DEA" w:rsidP="002D5DEA">
      <w:pPr>
        <w:spacing w:line="360" w:lineRule="auto"/>
        <w:jc w:val="both"/>
        <w:sectPr w:rsidR="002D5DEA">
          <w:pgSz w:w="11906" w:h="16838"/>
          <w:pgMar w:top="1440" w:right="1800" w:bottom="1440" w:left="1800" w:header="851" w:footer="992" w:gutter="0"/>
          <w:cols w:space="425"/>
          <w:docGrid w:type="lines" w:linePitch="312"/>
        </w:sectPr>
      </w:pPr>
      <w:r>
        <w:t>Color intensity represents the normalized expression level of each gene in individual cells. The distribution patterns of these marker genes are consistent with the annotated cell clusters shown in Figure 1, supporting the accuracy and robustness of immune cell classification.</w:t>
      </w:r>
    </w:p>
    <w:p w14:paraId="38E1BF2F" w14:textId="610D0D30" w:rsidR="002D5DEA" w:rsidRDefault="002D5DEA" w:rsidP="002D5DEA">
      <w:pPr>
        <w:spacing w:line="360" w:lineRule="auto"/>
        <w:jc w:val="both"/>
        <w:rPr>
          <w:b/>
          <w:bCs/>
          <w:sz w:val="24"/>
          <w:szCs w:val="24"/>
        </w:rPr>
      </w:pPr>
      <w:r>
        <w:rPr>
          <w:rFonts w:hint="eastAsia"/>
          <w:b/>
          <w:bCs/>
          <w:sz w:val="24"/>
          <w:szCs w:val="24"/>
        </w:rPr>
        <w:lastRenderedPageBreak/>
        <w:t xml:space="preserve">Supplementary </w:t>
      </w:r>
      <w:r w:rsidRPr="002713A0">
        <w:rPr>
          <w:b/>
          <w:bCs/>
          <w:sz w:val="24"/>
          <w:szCs w:val="24"/>
        </w:rPr>
        <w:t xml:space="preserve">Fig. </w:t>
      </w:r>
      <w:r>
        <w:rPr>
          <w:rFonts w:hint="eastAsia"/>
          <w:b/>
          <w:bCs/>
          <w:sz w:val="24"/>
          <w:szCs w:val="24"/>
        </w:rPr>
        <w:t>2</w:t>
      </w:r>
      <w:r w:rsidRPr="002713A0">
        <w:rPr>
          <w:b/>
          <w:bCs/>
          <w:sz w:val="24"/>
          <w:szCs w:val="24"/>
        </w:rPr>
        <w:t xml:space="preserve"> </w:t>
      </w:r>
      <w:r>
        <w:rPr>
          <w:rFonts w:hint="eastAsia"/>
          <w:b/>
          <w:bCs/>
          <w:sz w:val="24"/>
          <w:szCs w:val="24"/>
        </w:rPr>
        <w:t>|</w:t>
      </w:r>
      <w:r w:rsidRPr="00ED0B60">
        <w:rPr>
          <w:rFonts w:hint="eastAsia"/>
          <w:b/>
          <w:bCs/>
          <w:sz w:val="24"/>
          <w:szCs w:val="24"/>
        </w:rPr>
        <w:t xml:space="preserve"> </w:t>
      </w:r>
      <w:r w:rsidR="000D2D6C" w:rsidRPr="000D2D6C">
        <w:rPr>
          <w:b/>
          <w:bCs/>
          <w:sz w:val="24"/>
          <w:szCs w:val="24"/>
        </w:rPr>
        <w:t>Independent prognostic analysis and further evaluation of the tumor immune microenvironment and immunotherapy response with external validation.</w:t>
      </w:r>
    </w:p>
    <w:p w14:paraId="51063272" w14:textId="61F05D60" w:rsidR="000D2D6C" w:rsidRPr="001D4329" w:rsidRDefault="000D2D6C" w:rsidP="000D2D6C">
      <w:pPr>
        <w:spacing w:line="360" w:lineRule="auto"/>
      </w:pPr>
      <w:r w:rsidRPr="000D2D6C">
        <w:rPr>
          <w:b/>
          <w:bCs/>
        </w:rPr>
        <w:t xml:space="preserve">a, </w:t>
      </w:r>
      <w:r w:rsidRPr="000D2D6C">
        <w:t>Forest plot of the multivariate Cox proportional hazards regression analysis incorporating clinical characteristics and molecular subtypes in the TCGA-LIHC cohort. The results establish the C2 subtype as an independent risk factor for poor overall survival in hepatocellular carcinoma patients.</w:t>
      </w:r>
      <w:r w:rsidR="001D4329">
        <w:rPr>
          <w:rFonts w:hint="eastAsia"/>
        </w:rPr>
        <w:t xml:space="preserve"> </w:t>
      </w:r>
      <w:r w:rsidRPr="000D2D6C">
        <w:rPr>
          <w:b/>
          <w:bCs/>
        </w:rPr>
        <w:t xml:space="preserve">b, </w:t>
      </w:r>
      <w:r w:rsidRPr="000D2D6C">
        <w:t>Comparison of the transcriptional expression levels of antigen-presenting molecules and multiple immune checkpoints (e.g., CD27, PDCD1, CTLA4, and LAG3) among the three molecular subtypes (C1, C2, and C3).</w:t>
      </w:r>
      <w:r w:rsidR="001D4329">
        <w:rPr>
          <w:rFonts w:hint="eastAsia"/>
        </w:rPr>
        <w:t xml:space="preserve"> </w:t>
      </w:r>
      <w:r w:rsidRPr="000D2D6C">
        <w:rPr>
          <w:b/>
          <w:bCs/>
        </w:rPr>
        <w:t>c,</w:t>
      </w:r>
      <w:r w:rsidRPr="000D2D6C">
        <w:t xml:space="preserve"> Relative infiltration levels (scores) of various immune cell subpopulations across the molecular subtypes, quantified using the </w:t>
      </w:r>
      <w:proofErr w:type="spellStart"/>
      <w:r w:rsidRPr="000D2D6C">
        <w:t>ssGSEA</w:t>
      </w:r>
      <w:proofErr w:type="spellEnd"/>
      <w:r w:rsidRPr="000D2D6C">
        <w:t xml:space="preserve"> algorithm. The C3 subtype demonstrates an "immuno-hot" phenotype, characterized by a significantly higher abundance of activated B cells, activated CD4 T cells, activated CD8 T cells, and immature B cells.</w:t>
      </w:r>
      <w:r w:rsidR="001D4329">
        <w:rPr>
          <w:rFonts w:hint="eastAsia"/>
        </w:rPr>
        <w:t xml:space="preserve"> </w:t>
      </w:r>
      <w:r w:rsidRPr="000D2D6C">
        <w:rPr>
          <w:b/>
          <w:bCs/>
        </w:rPr>
        <w:t xml:space="preserve">d, </w:t>
      </w:r>
      <w:r w:rsidRPr="000D2D6C">
        <w:t>Submap analysis predicting the likelihood of clinical response to immune checkpoint inhibitors (anti-PD-1 and anti-CTLA-4) across the subtypes within the ICGC-LIRI validation cohort.</w:t>
      </w:r>
      <w:r w:rsidR="001D4329">
        <w:rPr>
          <w:rFonts w:hint="eastAsia"/>
        </w:rPr>
        <w:t xml:space="preserve"> </w:t>
      </w:r>
      <w:r w:rsidRPr="000D2D6C">
        <w:rPr>
          <w:b/>
          <w:bCs/>
        </w:rPr>
        <w:t xml:space="preserve">e, f, </w:t>
      </w:r>
      <w:r w:rsidRPr="000D2D6C">
        <w:t>Comparison of T-cell-inflamed signature (TIS) scores across molecular subtypes in the validation cohorts, assessing the potential clinical benefit from immune checkpoint blockade.</w:t>
      </w:r>
      <w:r w:rsidR="001D4329">
        <w:rPr>
          <w:rFonts w:hint="eastAsia"/>
        </w:rPr>
        <w:t xml:space="preserve"> </w:t>
      </w:r>
      <w:r w:rsidRPr="000D2D6C">
        <w:rPr>
          <w:b/>
          <w:bCs/>
        </w:rPr>
        <w:t>g–</w:t>
      </w:r>
      <w:proofErr w:type="spellStart"/>
      <w:r w:rsidRPr="000D2D6C">
        <w:rPr>
          <w:b/>
          <w:bCs/>
        </w:rPr>
        <w:t>i</w:t>
      </w:r>
      <w:proofErr w:type="spellEnd"/>
      <w:r w:rsidRPr="000D2D6C">
        <w:rPr>
          <w:b/>
          <w:bCs/>
        </w:rPr>
        <w:t xml:space="preserve">, </w:t>
      </w:r>
      <w:r w:rsidRPr="000D2D6C">
        <w:t xml:space="preserve">Evaluation of the functional components of the </w:t>
      </w:r>
      <w:proofErr w:type="spellStart"/>
      <w:r w:rsidRPr="000D2D6C">
        <w:t>Immunophenoscore</w:t>
      </w:r>
      <w:proofErr w:type="spellEnd"/>
      <w:r w:rsidRPr="000D2D6C">
        <w:t xml:space="preserve"> (IPS) within the validation </w:t>
      </w:r>
      <w:proofErr w:type="gramStart"/>
      <w:r w:rsidRPr="000D2D6C">
        <w:t>cohorts ,</w:t>
      </w:r>
      <w:proofErr w:type="gramEnd"/>
      <w:r w:rsidRPr="000D2D6C">
        <w:t xml:space="preserve"> illustrating the distribution and significant differences in effector cell (EC_IPS, g), suppressor cell (SC_IPS, h), and checkpoint (CP_IPS, </w:t>
      </w:r>
      <w:proofErr w:type="spellStart"/>
      <w:r w:rsidRPr="000D2D6C">
        <w:t>i</w:t>
      </w:r>
      <w:proofErr w:type="spellEnd"/>
      <w:r w:rsidRPr="000D2D6C">
        <w:t>) scores among the three subgroups.</w:t>
      </w:r>
    </w:p>
    <w:p w14:paraId="12B6667F" w14:textId="75CA319A" w:rsidR="002D5DEA" w:rsidRPr="000D2D6C" w:rsidRDefault="000D2D6C" w:rsidP="000D2D6C">
      <w:pPr>
        <w:spacing w:line="360" w:lineRule="auto"/>
      </w:pPr>
      <w:r w:rsidRPr="000D2D6C">
        <w:t>Statistical Note: Data comparisons among groups were performed using the Kruskal-</w:t>
      </w:r>
      <w:proofErr w:type="gramStart"/>
      <w:r w:rsidRPr="000D2D6C">
        <w:t>Wallis</w:t>
      </w:r>
      <w:proofErr w:type="gramEnd"/>
      <w:r w:rsidRPr="000D2D6C">
        <w:t xml:space="preserve"> test or Wilcoxon rank-sum test. Statistical significance is denoted as: * P &lt; 0.05; ** P &lt; 0.01; *** P &lt; 0.001; ns, not significant.</w:t>
      </w:r>
    </w:p>
    <w:p w14:paraId="280E0E31" w14:textId="0B074C02" w:rsidR="002D5DEA" w:rsidRPr="002D5DEA" w:rsidRDefault="002D5DEA" w:rsidP="002D5DEA">
      <w:pPr>
        <w:spacing w:line="360" w:lineRule="auto"/>
        <w:jc w:val="both"/>
      </w:pPr>
    </w:p>
    <w:sectPr w:rsidR="002D5DEA" w:rsidRPr="002D5D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75"/>
    <w:rsid w:val="0000710C"/>
    <w:rsid w:val="000D2D6C"/>
    <w:rsid w:val="001B5F6E"/>
    <w:rsid w:val="001D4329"/>
    <w:rsid w:val="00263510"/>
    <w:rsid w:val="002D5DEA"/>
    <w:rsid w:val="007A50A9"/>
    <w:rsid w:val="009667A6"/>
    <w:rsid w:val="00AC2B75"/>
    <w:rsid w:val="00B4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5B4AA"/>
  <w15:chartTrackingRefBased/>
  <w15:docId w15:val="{4A71CCF3-4423-4CDE-91FD-CBDEBB1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EA"/>
    <w:pPr>
      <w:spacing w:after="0" w:line="240" w:lineRule="auto"/>
    </w:pPr>
    <w:rPr>
      <w:rFonts w:ascii="Times New Roman" w:eastAsia="宋体" w:hAnsi="Times New Roman" w:cs="Times New Roman"/>
      <w:sz w:val="20"/>
      <w:szCs w:val="20"/>
    </w:rPr>
  </w:style>
  <w:style w:type="paragraph" w:styleId="1">
    <w:name w:val="heading 1"/>
    <w:basedOn w:val="a"/>
    <w:next w:val="a"/>
    <w:link w:val="10"/>
    <w:uiPriority w:val="9"/>
    <w:qFormat/>
    <w:rsid w:val="00AC2B75"/>
    <w:pPr>
      <w:keepNext/>
      <w:keepLines/>
      <w:widowControl w:val="0"/>
      <w:spacing w:before="480" w:after="80" w:line="278" w:lineRule="auto"/>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B75"/>
    <w:pPr>
      <w:keepNext/>
      <w:keepLines/>
      <w:widowControl w:val="0"/>
      <w:spacing w:before="160" w:after="80" w:line="278" w:lineRule="auto"/>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B75"/>
    <w:pPr>
      <w:keepNext/>
      <w:keepLines/>
      <w:widowControl w:val="0"/>
      <w:spacing w:before="160" w:after="80" w:line="278" w:lineRule="auto"/>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B75"/>
    <w:pPr>
      <w:keepNext/>
      <w:keepLines/>
      <w:widowControl w:val="0"/>
      <w:spacing w:before="80" w:after="40" w:line="278" w:lineRule="auto"/>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AC2B75"/>
    <w:pPr>
      <w:keepNext/>
      <w:keepLines/>
      <w:widowControl w:val="0"/>
      <w:spacing w:before="80" w:after="40" w:line="278" w:lineRule="auto"/>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AC2B75"/>
    <w:pPr>
      <w:keepNext/>
      <w:keepLines/>
      <w:widowControl w:val="0"/>
      <w:spacing w:before="40" w:line="278" w:lineRule="auto"/>
      <w:outlineLvl w:val="5"/>
    </w:pPr>
    <w:rPr>
      <w:rFonts w:asciiTheme="minorHAnsi" w:eastAsiaTheme="minorEastAsia" w:hAnsiTheme="minorHAnsi" w:cstheme="majorBidi"/>
      <w:b/>
      <w:bCs/>
      <w:color w:val="2F5496" w:themeColor="accent1" w:themeShade="BF"/>
      <w:sz w:val="22"/>
      <w:szCs w:val="24"/>
    </w:rPr>
  </w:style>
  <w:style w:type="paragraph" w:styleId="7">
    <w:name w:val="heading 7"/>
    <w:basedOn w:val="a"/>
    <w:next w:val="a"/>
    <w:link w:val="70"/>
    <w:uiPriority w:val="9"/>
    <w:semiHidden/>
    <w:unhideWhenUsed/>
    <w:qFormat/>
    <w:rsid w:val="00AC2B75"/>
    <w:pPr>
      <w:keepNext/>
      <w:keepLines/>
      <w:widowControl w:val="0"/>
      <w:spacing w:before="40" w:line="278" w:lineRule="auto"/>
      <w:outlineLvl w:val="6"/>
    </w:pPr>
    <w:rPr>
      <w:rFonts w:asciiTheme="minorHAnsi" w:eastAsiaTheme="minorEastAsia" w:hAnsiTheme="minorHAnsi" w:cstheme="majorBidi"/>
      <w:b/>
      <w:bCs/>
      <w:color w:val="595959" w:themeColor="text1" w:themeTint="A6"/>
      <w:sz w:val="22"/>
      <w:szCs w:val="24"/>
    </w:rPr>
  </w:style>
  <w:style w:type="paragraph" w:styleId="8">
    <w:name w:val="heading 8"/>
    <w:basedOn w:val="a"/>
    <w:next w:val="a"/>
    <w:link w:val="80"/>
    <w:uiPriority w:val="9"/>
    <w:semiHidden/>
    <w:unhideWhenUsed/>
    <w:qFormat/>
    <w:rsid w:val="00AC2B75"/>
    <w:pPr>
      <w:keepNext/>
      <w:keepLines/>
      <w:widowControl w:val="0"/>
      <w:spacing w:line="278" w:lineRule="auto"/>
      <w:outlineLvl w:val="7"/>
    </w:pPr>
    <w:rPr>
      <w:rFonts w:asciiTheme="minorHAnsi" w:eastAsiaTheme="minorEastAsia" w:hAnsiTheme="minorHAnsi" w:cstheme="majorBidi"/>
      <w:color w:val="595959" w:themeColor="text1" w:themeTint="A6"/>
      <w:sz w:val="22"/>
      <w:szCs w:val="24"/>
    </w:rPr>
  </w:style>
  <w:style w:type="paragraph" w:styleId="9">
    <w:name w:val="heading 9"/>
    <w:basedOn w:val="a"/>
    <w:next w:val="a"/>
    <w:link w:val="90"/>
    <w:uiPriority w:val="9"/>
    <w:semiHidden/>
    <w:unhideWhenUsed/>
    <w:qFormat/>
    <w:rsid w:val="00AC2B75"/>
    <w:pPr>
      <w:keepNext/>
      <w:keepLines/>
      <w:widowControl w:val="0"/>
      <w:spacing w:line="278" w:lineRule="auto"/>
      <w:outlineLvl w:val="8"/>
    </w:pPr>
    <w:rPr>
      <w:rFonts w:asciiTheme="minorHAnsi" w:eastAsiaTheme="majorEastAsia" w:hAnsiTheme="minorHAnsi" w:cstheme="majorBidi"/>
      <w:color w:val="595959" w:themeColor="text1" w:themeTint="A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B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B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B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B75"/>
    <w:rPr>
      <w:rFonts w:cstheme="majorBidi"/>
      <w:color w:val="2F5496" w:themeColor="accent1" w:themeShade="BF"/>
      <w:sz w:val="28"/>
      <w:szCs w:val="28"/>
    </w:rPr>
  </w:style>
  <w:style w:type="character" w:customStyle="1" w:styleId="50">
    <w:name w:val="标题 5 字符"/>
    <w:basedOn w:val="a0"/>
    <w:link w:val="5"/>
    <w:uiPriority w:val="9"/>
    <w:semiHidden/>
    <w:rsid w:val="00AC2B75"/>
    <w:rPr>
      <w:rFonts w:cstheme="majorBidi"/>
      <w:color w:val="2F5496" w:themeColor="accent1" w:themeShade="BF"/>
      <w:sz w:val="24"/>
    </w:rPr>
  </w:style>
  <w:style w:type="character" w:customStyle="1" w:styleId="60">
    <w:name w:val="标题 6 字符"/>
    <w:basedOn w:val="a0"/>
    <w:link w:val="6"/>
    <w:uiPriority w:val="9"/>
    <w:semiHidden/>
    <w:rsid w:val="00AC2B75"/>
    <w:rPr>
      <w:rFonts w:cstheme="majorBidi"/>
      <w:b/>
      <w:bCs/>
      <w:color w:val="2F5496" w:themeColor="accent1" w:themeShade="BF"/>
    </w:rPr>
  </w:style>
  <w:style w:type="character" w:customStyle="1" w:styleId="70">
    <w:name w:val="标题 7 字符"/>
    <w:basedOn w:val="a0"/>
    <w:link w:val="7"/>
    <w:uiPriority w:val="9"/>
    <w:semiHidden/>
    <w:rsid w:val="00AC2B75"/>
    <w:rPr>
      <w:rFonts w:cstheme="majorBidi"/>
      <w:b/>
      <w:bCs/>
      <w:color w:val="595959" w:themeColor="text1" w:themeTint="A6"/>
    </w:rPr>
  </w:style>
  <w:style w:type="character" w:customStyle="1" w:styleId="80">
    <w:name w:val="标题 8 字符"/>
    <w:basedOn w:val="a0"/>
    <w:link w:val="8"/>
    <w:uiPriority w:val="9"/>
    <w:semiHidden/>
    <w:rsid w:val="00AC2B75"/>
    <w:rPr>
      <w:rFonts w:cstheme="majorBidi"/>
      <w:color w:val="595959" w:themeColor="text1" w:themeTint="A6"/>
    </w:rPr>
  </w:style>
  <w:style w:type="character" w:customStyle="1" w:styleId="90">
    <w:name w:val="标题 9 字符"/>
    <w:basedOn w:val="a0"/>
    <w:link w:val="9"/>
    <w:uiPriority w:val="9"/>
    <w:semiHidden/>
    <w:rsid w:val="00AC2B75"/>
    <w:rPr>
      <w:rFonts w:eastAsiaTheme="majorEastAsia" w:cstheme="majorBidi"/>
      <w:color w:val="595959" w:themeColor="text1" w:themeTint="A6"/>
    </w:rPr>
  </w:style>
  <w:style w:type="paragraph" w:styleId="a3">
    <w:name w:val="Title"/>
    <w:basedOn w:val="a"/>
    <w:next w:val="a"/>
    <w:link w:val="a4"/>
    <w:uiPriority w:val="10"/>
    <w:qFormat/>
    <w:rsid w:val="00AC2B75"/>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B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B75"/>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B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B75"/>
    <w:pPr>
      <w:widowControl w:val="0"/>
      <w:spacing w:before="160" w:after="160" w:line="278" w:lineRule="auto"/>
      <w:jc w:val="center"/>
    </w:pPr>
    <w:rPr>
      <w:rFonts w:asciiTheme="minorHAnsi" w:eastAsiaTheme="minorEastAsia" w:hAnsiTheme="minorHAnsi" w:cstheme="minorBidi"/>
      <w:i/>
      <w:iCs/>
      <w:color w:val="404040" w:themeColor="text1" w:themeTint="BF"/>
      <w:sz w:val="22"/>
      <w:szCs w:val="24"/>
    </w:rPr>
  </w:style>
  <w:style w:type="character" w:customStyle="1" w:styleId="a8">
    <w:name w:val="引用 字符"/>
    <w:basedOn w:val="a0"/>
    <w:link w:val="a7"/>
    <w:uiPriority w:val="29"/>
    <w:rsid w:val="00AC2B75"/>
    <w:rPr>
      <w:i/>
      <w:iCs/>
      <w:color w:val="404040" w:themeColor="text1" w:themeTint="BF"/>
    </w:rPr>
  </w:style>
  <w:style w:type="paragraph" w:styleId="a9">
    <w:name w:val="List Paragraph"/>
    <w:basedOn w:val="a"/>
    <w:uiPriority w:val="34"/>
    <w:qFormat/>
    <w:rsid w:val="00AC2B75"/>
    <w:pPr>
      <w:widowControl w:val="0"/>
      <w:spacing w:after="160" w:line="278" w:lineRule="auto"/>
      <w:ind w:left="720"/>
      <w:contextualSpacing/>
    </w:pPr>
    <w:rPr>
      <w:rFonts w:asciiTheme="minorHAnsi" w:eastAsiaTheme="minorEastAsia" w:hAnsiTheme="minorHAnsi" w:cstheme="minorBidi"/>
      <w:sz w:val="22"/>
      <w:szCs w:val="24"/>
    </w:rPr>
  </w:style>
  <w:style w:type="character" w:styleId="aa">
    <w:name w:val="Intense Emphasis"/>
    <w:basedOn w:val="a0"/>
    <w:uiPriority w:val="21"/>
    <w:qFormat/>
    <w:rsid w:val="00AC2B75"/>
    <w:rPr>
      <w:i/>
      <w:iCs/>
      <w:color w:val="2F5496" w:themeColor="accent1" w:themeShade="BF"/>
    </w:rPr>
  </w:style>
  <w:style w:type="paragraph" w:styleId="ab">
    <w:name w:val="Intense Quote"/>
    <w:basedOn w:val="a"/>
    <w:next w:val="a"/>
    <w:link w:val="ac"/>
    <w:uiPriority w:val="30"/>
    <w:qFormat/>
    <w:rsid w:val="00AC2B75"/>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rPr>
  </w:style>
  <w:style w:type="character" w:customStyle="1" w:styleId="ac">
    <w:name w:val="明显引用 字符"/>
    <w:basedOn w:val="a0"/>
    <w:link w:val="ab"/>
    <w:uiPriority w:val="30"/>
    <w:rsid w:val="00AC2B75"/>
    <w:rPr>
      <w:i/>
      <w:iCs/>
      <w:color w:val="2F5496" w:themeColor="accent1" w:themeShade="BF"/>
    </w:rPr>
  </w:style>
  <w:style w:type="character" w:styleId="ad">
    <w:name w:val="Intense Reference"/>
    <w:basedOn w:val="a0"/>
    <w:uiPriority w:val="32"/>
    <w:qFormat/>
    <w:rsid w:val="00AC2B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394</Words>
  <Characters>2357</Characters>
  <Application>Microsoft Office Word</Application>
  <DocSecurity>0</DocSecurity>
  <Lines>37</Lines>
  <Paragraphs>19</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L</dc:creator>
  <cp:keywords/>
  <dc:description/>
  <cp:lastModifiedBy>Y L</cp:lastModifiedBy>
  <cp:revision>2</cp:revision>
  <dcterms:created xsi:type="dcterms:W3CDTF">2026-03-17T04:43:00Z</dcterms:created>
  <dcterms:modified xsi:type="dcterms:W3CDTF">2026-03-17T06:49:00Z</dcterms:modified>
</cp:coreProperties>
</file>