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6"/>
        <w:gridCol w:w="2591"/>
        <w:gridCol w:w="621"/>
        <w:gridCol w:w="2591"/>
        <w:gridCol w:w="621"/>
      </w:tblGrid>
      <w:tr w:rsidR="00544419" w:rsidRPr="00731047" w:rsidTr="006B7026">
        <w:tc>
          <w:tcPr>
            <w:tcW w:w="83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6208" w:rsidRPr="00731047" w:rsidRDefault="004E6208" w:rsidP="006B7026">
            <w:pPr>
              <w:snapToGrid w:val="0"/>
              <w:spacing w:after="0"/>
              <w:rPr>
                <w:rFonts w:hint="eastAsia"/>
                <w:b/>
                <w:bCs/>
                <w:sz w:val="20"/>
                <w:szCs w:val="20"/>
              </w:rPr>
            </w:pPr>
            <w:bookmarkStart w:id="0" w:name="_GoBack"/>
            <w:r>
              <w:rPr>
                <w:rFonts w:hint="eastAsia"/>
                <w:b/>
                <w:bCs/>
                <w:sz w:val="20"/>
                <w:szCs w:val="20"/>
              </w:rPr>
              <w:t>Supplemental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20"/>
                <w:szCs w:val="20"/>
              </w:rPr>
              <w:t>Table</w:t>
            </w:r>
            <w:r>
              <w:rPr>
                <w:b/>
                <w:bCs/>
                <w:sz w:val="20"/>
                <w:szCs w:val="20"/>
              </w:rPr>
              <w:t xml:space="preserve"> 2</w:t>
            </w:r>
            <w:r w:rsidR="00544419" w:rsidRPr="00F931D8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544419" w:rsidRPr="00F931D8">
              <w:rPr>
                <w:b/>
                <w:bCs/>
                <w:sz w:val="20"/>
                <w:szCs w:val="20"/>
              </w:rPr>
              <w:t xml:space="preserve"> </w:t>
            </w:r>
            <w:r w:rsidR="00544419">
              <w:rPr>
                <w:rFonts w:hint="eastAsia"/>
                <w:b/>
                <w:bCs/>
                <w:sz w:val="20"/>
                <w:szCs w:val="20"/>
              </w:rPr>
              <w:t>Multi</w:t>
            </w:r>
            <w:r w:rsidR="00544419">
              <w:rPr>
                <w:b/>
                <w:bCs/>
                <w:sz w:val="20"/>
                <w:szCs w:val="20"/>
              </w:rPr>
              <w:t>variable Cox Regression models for PFS and OS in DLBCL patients</w:t>
            </w:r>
          </w:p>
        </w:tc>
      </w:tr>
      <w:tr w:rsidR="00544419" w:rsidRPr="00F931D8" w:rsidTr="006B7026">
        <w:trPr>
          <w:trHeight w:val="314"/>
        </w:trPr>
        <w:tc>
          <w:tcPr>
            <w:tcW w:w="18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Progression-free survival</w:t>
            </w:r>
          </w:p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(n=</w:t>
            </w:r>
            <w:r w:rsidRPr="00F931D8">
              <w:rPr>
                <w:rFonts w:hint="eastAsia"/>
                <w:b/>
                <w:bCs/>
                <w:color w:val="000000" w:themeColor="text1"/>
                <w:sz w:val="16"/>
                <w:szCs w:val="16"/>
              </w:rPr>
              <w:t>109</w:t>
            </w: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/123)</w:t>
            </w: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Overall survival</w:t>
            </w:r>
          </w:p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(n=</w:t>
            </w:r>
            <w:r w:rsidRPr="00F931D8">
              <w:rPr>
                <w:rFonts w:hint="eastAsia"/>
                <w:b/>
                <w:bCs/>
                <w:color w:val="000000" w:themeColor="text1"/>
                <w:sz w:val="16"/>
                <w:szCs w:val="16"/>
              </w:rPr>
              <w:t>111</w:t>
            </w: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/123)</w:t>
            </w:r>
          </w:p>
        </w:tc>
      </w:tr>
      <w:tr w:rsidR="00544419" w:rsidRPr="00F931D8" w:rsidTr="006B7026"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color w:val="000000" w:themeColor="text1"/>
                <w:sz w:val="16"/>
                <w:szCs w:val="16"/>
              </w:rPr>
              <w:t>microRNA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Hazards ratio (95% CI)</w:t>
            </w:r>
            <w:r w:rsidRPr="00F931D8">
              <w:rPr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a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color w:val="000000" w:themeColor="text1"/>
                <w:sz w:val="16"/>
                <w:szCs w:val="16"/>
              </w:rPr>
              <w:t>Hazards ratio (95%CI)</w:t>
            </w:r>
            <w:r w:rsidRPr="00F931D8">
              <w:rPr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F931D8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</w:p>
        </w:tc>
      </w:tr>
      <w:tr w:rsidR="00544419" w:rsidRPr="00F931D8" w:rsidTr="006B7026"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F931D8">
              <w:rPr>
                <w:color w:val="000000" w:themeColor="text1"/>
                <w:sz w:val="16"/>
                <w:szCs w:val="16"/>
              </w:rPr>
              <w:t>High</w:t>
            </w:r>
            <w:r w:rsidRPr="00F931D8">
              <w:rPr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F931D8">
              <w:rPr>
                <w:color w:val="000000" w:themeColor="text1"/>
                <w:sz w:val="16"/>
                <w:szCs w:val="16"/>
              </w:rPr>
              <w:t xml:space="preserve"> miR-451a</w:t>
            </w:r>
          </w:p>
          <w:p w:rsidR="00544419" w:rsidRPr="00F931D8" w:rsidRDefault="00544419" w:rsidP="006B7026">
            <w:pPr>
              <w:snapToGrid w:val="0"/>
              <w:spacing w:after="0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(n=</w:t>
            </w:r>
            <w:r w:rsidRPr="00F931D8">
              <w:rPr>
                <w:rFonts w:hint="eastAsia"/>
                <w:color w:val="000000" w:themeColor="text1"/>
                <w:sz w:val="16"/>
                <w:szCs w:val="16"/>
              </w:rPr>
              <w:t>5</w:t>
            </w:r>
            <w:r>
              <w:rPr>
                <w:color w:val="000000" w:themeColor="text1"/>
                <w:sz w:val="16"/>
                <w:szCs w:val="16"/>
              </w:rPr>
              <w:t>5</w:t>
            </w:r>
            <w:r w:rsidRPr="00F931D8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0.4</w:t>
            </w:r>
            <w:r>
              <w:rPr>
                <w:color w:val="000000" w:themeColor="text1"/>
                <w:sz w:val="16"/>
                <w:szCs w:val="16"/>
              </w:rPr>
              <w:t>44</w:t>
            </w:r>
            <w:r w:rsidRPr="00F931D8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(0.2</w:t>
            </w:r>
            <w:r>
              <w:rPr>
                <w:color w:val="000000" w:themeColor="text1"/>
                <w:sz w:val="16"/>
                <w:szCs w:val="16"/>
              </w:rPr>
              <w:t>43</w:t>
            </w:r>
            <w:r w:rsidRPr="00F931D8">
              <w:rPr>
                <w:color w:val="000000" w:themeColor="text1"/>
                <w:sz w:val="16"/>
                <w:szCs w:val="16"/>
              </w:rPr>
              <w:t>~0.</w:t>
            </w:r>
            <w:r>
              <w:rPr>
                <w:color w:val="000000" w:themeColor="text1"/>
                <w:sz w:val="16"/>
                <w:szCs w:val="16"/>
              </w:rPr>
              <w:t>813</w:t>
            </w:r>
            <w:r w:rsidRPr="00F931D8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0.0</w:t>
            </w:r>
            <w:r>
              <w:rPr>
                <w:color w:val="000000" w:themeColor="text1"/>
                <w:sz w:val="16"/>
                <w:szCs w:val="16"/>
              </w:rPr>
              <w:t>09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0.</w:t>
            </w:r>
            <w:r>
              <w:rPr>
                <w:color w:val="000000" w:themeColor="text1"/>
                <w:sz w:val="16"/>
                <w:szCs w:val="16"/>
              </w:rPr>
              <w:t>331</w:t>
            </w:r>
          </w:p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(0.</w:t>
            </w:r>
            <w:r>
              <w:rPr>
                <w:color w:val="000000" w:themeColor="text1"/>
                <w:sz w:val="16"/>
                <w:szCs w:val="16"/>
              </w:rPr>
              <w:t>159</w:t>
            </w:r>
            <w:r w:rsidRPr="00F931D8">
              <w:rPr>
                <w:color w:val="000000" w:themeColor="text1"/>
                <w:sz w:val="16"/>
                <w:szCs w:val="16"/>
              </w:rPr>
              <w:t>~0</w:t>
            </w:r>
            <w:r>
              <w:rPr>
                <w:color w:val="000000" w:themeColor="text1"/>
                <w:sz w:val="16"/>
                <w:szCs w:val="16"/>
              </w:rPr>
              <w:t>.690</w:t>
            </w:r>
            <w:r w:rsidRPr="00F931D8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4419" w:rsidRPr="00F931D8" w:rsidRDefault="00544419" w:rsidP="006B7026">
            <w:pPr>
              <w:snapToGrid w:val="0"/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F931D8">
              <w:rPr>
                <w:color w:val="000000" w:themeColor="text1"/>
                <w:sz w:val="16"/>
                <w:szCs w:val="16"/>
              </w:rPr>
              <w:t>0.03</w:t>
            </w:r>
            <w:r>
              <w:rPr>
                <w:color w:val="000000" w:themeColor="text1"/>
                <w:sz w:val="16"/>
                <w:szCs w:val="16"/>
              </w:rPr>
              <w:t>0</w:t>
            </w:r>
          </w:p>
        </w:tc>
      </w:tr>
      <w:tr w:rsidR="00544419" w:rsidRPr="00DE146B" w:rsidTr="006B7026">
        <w:trPr>
          <w:trHeight w:val="90"/>
        </w:trPr>
        <w:tc>
          <w:tcPr>
            <w:tcW w:w="83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44419" w:rsidRDefault="00544419" w:rsidP="006B7026">
            <w:pPr>
              <w:snapToGrid w:val="0"/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highlight w:val="magenta"/>
              </w:rPr>
            </w:pPr>
            <w:proofErr w:type="spellStart"/>
            <w:r w:rsidRPr="00DE146B">
              <w:rPr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DE146B">
              <w:rPr>
                <w:color w:val="000000" w:themeColor="text1"/>
                <w:sz w:val="20"/>
                <w:szCs w:val="20"/>
              </w:rPr>
              <w:t xml:space="preserve"> Adjusted</w:t>
            </w:r>
            <w:r>
              <w:rPr>
                <w:color w:val="000000" w:themeColor="text1"/>
                <w:sz w:val="20"/>
                <w:szCs w:val="20"/>
              </w:rPr>
              <w:t xml:space="preserve"> for IPI value</w:t>
            </w:r>
          </w:p>
          <w:p w:rsidR="00544419" w:rsidRPr="00DE146B" w:rsidRDefault="00544419" w:rsidP="006B7026">
            <w:pPr>
              <w:snapToGrid w:val="0"/>
              <w:spacing w:after="0"/>
              <w:rPr>
                <w:color w:val="000000" w:themeColor="text1"/>
                <w:sz w:val="20"/>
                <w:szCs w:val="20"/>
              </w:rPr>
            </w:pPr>
            <w:r w:rsidRPr="000202C7">
              <w:rPr>
                <w:color w:val="000000" w:themeColor="text1"/>
                <w:sz w:val="20"/>
                <w:szCs w:val="20"/>
                <w:vertAlign w:val="superscript"/>
              </w:rPr>
              <w:t>b</w:t>
            </w:r>
            <w:r>
              <w:rPr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High values were those above the group median</w:t>
            </w:r>
          </w:p>
        </w:tc>
      </w:tr>
      <w:bookmarkEnd w:id="0"/>
    </w:tbl>
    <w:p w:rsidR="00703BCD" w:rsidRPr="00544419" w:rsidRDefault="004E6208"/>
    <w:sectPr w:rsidR="00703BCD" w:rsidRPr="00544419" w:rsidSect="00192E5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19"/>
    <w:rsid w:val="000D19EB"/>
    <w:rsid w:val="0016262A"/>
    <w:rsid w:val="00192E59"/>
    <w:rsid w:val="001B0B38"/>
    <w:rsid w:val="002B479E"/>
    <w:rsid w:val="003F79AB"/>
    <w:rsid w:val="004300AD"/>
    <w:rsid w:val="00446A53"/>
    <w:rsid w:val="004A5862"/>
    <w:rsid w:val="004E6208"/>
    <w:rsid w:val="00544419"/>
    <w:rsid w:val="00583955"/>
    <w:rsid w:val="0070665F"/>
    <w:rsid w:val="00810C84"/>
    <w:rsid w:val="0082601A"/>
    <w:rsid w:val="00A634CE"/>
    <w:rsid w:val="00AD07FF"/>
    <w:rsid w:val="00B11692"/>
    <w:rsid w:val="00B40C20"/>
    <w:rsid w:val="00BE5ED6"/>
    <w:rsid w:val="00CE0EFB"/>
    <w:rsid w:val="00DC76A5"/>
    <w:rsid w:val="00DF7694"/>
    <w:rsid w:val="00E70C68"/>
    <w:rsid w:val="00EA1202"/>
    <w:rsid w:val="00F2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BEF7F6"/>
  <w15:chartTrackingRefBased/>
  <w15:docId w15:val="{A0694FD3-634F-2A4D-A2F3-1975C819E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4419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4419"/>
    <w:pPr>
      <w:spacing w:after="80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2020-09-19T12:36:00Z</dcterms:created>
  <dcterms:modified xsi:type="dcterms:W3CDTF">2020-10-10T02:05:00Z</dcterms:modified>
</cp:coreProperties>
</file>