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E4A1A" w14:textId="77777777" w:rsidR="005404FC" w:rsidRDefault="00000000">
      <w:pPr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</w:rPr>
        <w:t>Supplementary Materials</w:t>
      </w:r>
    </w:p>
    <w:p w14:paraId="792D7DB1" w14:textId="77777777" w:rsidR="005404FC" w:rsidRDefault="00000000">
      <w:pPr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 w:hint="eastAsia"/>
          <w:noProof/>
        </w:rPr>
        <w:drawing>
          <wp:inline distT="0" distB="0" distL="114300" distR="114300" wp14:anchorId="31F027EA" wp14:editId="06D7FDC1">
            <wp:extent cx="5114542" cy="6975763"/>
            <wp:effectExtent l="0" t="0" r="0" b="0"/>
            <wp:docPr id="9" name="图片 9" descr="/Users/mac/Desktop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图片2.png图片2"/>
                    <pic:cNvPicPr>
                      <a:picLocks noChangeAspect="1"/>
                    </pic:cNvPicPr>
                  </pic:nvPicPr>
                  <pic:blipFill>
                    <a:blip r:embed="rId6"/>
                    <a:srcRect l="950" r="40"/>
                    <a:stretch>
                      <a:fillRect/>
                    </a:stretch>
                  </pic:blipFill>
                  <pic:spPr>
                    <a:xfrm>
                      <a:off x="0" y="0"/>
                      <a:ext cx="5126720" cy="699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E7AC" w14:textId="5453775F" w:rsidR="00F73B2A" w:rsidRPr="00F73B2A" w:rsidRDefault="00000000" w:rsidP="00F73B2A">
      <w:pPr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</w:rPr>
        <w:t>Supplementary f</w:t>
      </w:r>
      <w:r>
        <w:rPr>
          <w:rFonts w:ascii="Times New Roman Regular" w:hAnsi="Times New Roman Regular" w:cs="Times New Roman Regular" w:hint="eastAsia"/>
        </w:rPr>
        <w:t>igure 1</w:t>
      </w:r>
      <w:r>
        <w:rPr>
          <w:rFonts w:ascii="Times New Roman Regular" w:hAnsi="Times New Roman Regular" w:cs="Times New Roman Regular"/>
        </w:rPr>
        <w:t xml:space="preserve">. </w:t>
      </w:r>
      <w:r w:rsidR="00F73B2A" w:rsidRPr="00F73B2A">
        <w:rPr>
          <w:rFonts w:ascii="Times New Roman Regular" w:hAnsi="Times New Roman Regular" w:cs="Times New Roman Regular"/>
        </w:rPr>
        <w:t xml:space="preserve">Exploratory transcriptomic profiling of </w:t>
      </w:r>
      <w:proofErr w:type="spellStart"/>
      <w:r w:rsidR="00F73B2A" w:rsidRPr="00F73B2A">
        <w:rPr>
          <w:rFonts w:ascii="Times New Roman Regular" w:hAnsi="Times New Roman Regular" w:cs="Times New Roman Regular"/>
        </w:rPr>
        <w:t>migrasome</w:t>
      </w:r>
      <w:proofErr w:type="spellEnd"/>
      <w:r w:rsidR="00F73B2A" w:rsidRPr="00F73B2A">
        <w:rPr>
          <w:rFonts w:ascii="Times New Roman Regular" w:hAnsi="Times New Roman Regular" w:cs="Times New Roman Regular"/>
        </w:rPr>
        <w:t>-treated lesions.</w:t>
      </w:r>
    </w:p>
    <w:p w14:paraId="51911194" w14:textId="77777777" w:rsidR="00F73B2A" w:rsidRPr="00F73B2A" w:rsidRDefault="00F73B2A" w:rsidP="00F73B2A">
      <w:pPr>
        <w:rPr>
          <w:rFonts w:ascii="Times New Roman Regular" w:hAnsi="Times New Roman Regular" w:cs="Times New Roman Regular"/>
        </w:rPr>
      </w:pPr>
      <w:r w:rsidRPr="00F73B2A">
        <w:rPr>
          <w:rFonts w:ascii="Times New Roman Regular" w:hAnsi="Times New Roman Regular" w:cs="Times New Roman Regular"/>
        </w:rPr>
        <w:t xml:space="preserve">(A) Volcano plot showing differentially expressed genes between </w:t>
      </w:r>
      <w:proofErr w:type="spellStart"/>
      <w:r w:rsidRPr="00F73B2A">
        <w:rPr>
          <w:rFonts w:ascii="Times New Roman Regular" w:hAnsi="Times New Roman Regular" w:cs="Times New Roman Regular"/>
        </w:rPr>
        <w:t>migrasome</w:t>
      </w:r>
      <w:proofErr w:type="spellEnd"/>
      <w:r w:rsidRPr="00F73B2A">
        <w:rPr>
          <w:rFonts w:ascii="Times New Roman Regular" w:hAnsi="Times New Roman Regular" w:cs="Times New Roman Regular"/>
        </w:rPr>
        <w:t>-treated and control lesions. Selected genes related to fibrosis- and microenvironment-associated pathways are highlighted.</w:t>
      </w:r>
    </w:p>
    <w:p w14:paraId="455C4743" w14:textId="77777777" w:rsidR="00F73B2A" w:rsidRPr="00F73B2A" w:rsidRDefault="00F73B2A" w:rsidP="00F73B2A">
      <w:pPr>
        <w:rPr>
          <w:rFonts w:ascii="Times New Roman Regular" w:hAnsi="Times New Roman Regular" w:cs="Times New Roman Regular"/>
        </w:rPr>
      </w:pPr>
      <w:r w:rsidRPr="00F73B2A">
        <w:rPr>
          <w:rFonts w:ascii="Times New Roman Regular" w:hAnsi="Times New Roman Regular" w:cs="Times New Roman Regular"/>
        </w:rPr>
        <w:t>(B) Heatmap of representative genes associated with extracellular matrix remodeling, TGF-β/Smad-related signaling, angiogenesis, and epithelial–mesenchymal plasticity.</w:t>
      </w:r>
    </w:p>
    <w:p w14:paraId="0026AFC8" w14:textId="77777777" w:rsidR="00F73B2A" w:rsidRPr="00F73B2A" w:rsidRDefault="00F73B2A" w:rsidP="00F73B2A">
      <w:pPr>
        <w:rPr>
          <w:rFonts w:ascii="Times New Roman Regular" w:hAnsi="Times New Roman Regular" w:cs="Times New Roman Regular"/>
        </w:rPr>
      </w:pPr>
      <w:r w:rsidRPr="00F73B2A">
        <w:rPr>
          <w:rFonts w:ascii="Times New Roman Regular" w:hAnsi="Times New Roman Regular" w:cs="Times New Roman Regular"/>
        </w:rPr>
        <w:t xml:space="preserve">(C) KEGG pathway enrichment analysis of differentially expressed genes, showing enrichment of </w:t>
      </w:r>
      <w:r w:rsidRPr="00F73B2A">
        <w:rPr>
          <w:rFonts w:ascii="Times New Roman Regular" w:hAnsi="Times New Roman Regular" w:cs="Times New Roman Regular"/>
        </w:rPr>
        <w:lastRenderedPageBreak/>
        <w:t>pathways related to extracellular matrix remodeling, cytokine signaling, and TGF-β-associated signaling.</w:t>
      </w:r>
    </w:p>
    <w:p w14:paraId="67324859" w14:textId="1AB7ABE8" w:rsidR="00F73B2A" w:rsidRPr="00F73B2A" w:rsidRDefault="00F73B2A" w:rsidP="00F73B2A">
      <w:pPr>
        <w:rPr>
          <w:rFonts w:ascii="Times New Roman Regular" w:hAnsi="Times New Roman Regular" w:cs="Times New Roman Regular"/>
        </w:rPr>
      </w:pPr>
      <w:r w:rsidRPr="00F73B2A">
        <w:rPr>
          <w:rFonts w:ascii="Times New Roman Regular" w:hAnsi="Times New Roman Regular" w:cs="Times New Roman Regular"/>
        </w:rPr>
        <w:t>(D) GO enrichment analysis showing representative Biological Process, Cellular Component, and Molecular Function terms associated with extracellular matrix organization, adhesion, and tissue remodeling.</w:t>
      </w:r>
    </w:p>
    <w:p w14:paraId="0F0E5D1F" w14:textId="77777777" w:rsidR="00F73B2A" w:rsidRPr="00F73B2A" w:rsidRDefault="00F73B2A" w:rsidP="00F73B2A">
      <w:pPr>
        <w:rPr>
          <w:rFonts w:ascii="Times New Roman Regular" w:hAnsi="Times New Roman Regular" w:cs="Times New Roman Regular"/>
        </w:rPr>
      </w:pPr>
    </w:p>
    <w:p w14:paraId="613BDC9F" w14:textId="35172782" w:rsidR="005404FC" w:rsidRDefault="00F73B2A" w:rsidP="00F73B2A">
      <w:pPr>
        <w:rPr>
          <w:rFonts w:ascii="Times New Roman Regular" w:hAnsi="Times New Roman Regular" w:cs="Times New Roman Regular"/>
        </w:rPr>
      </w:pPr>
      <w:r w:rsidRPr="00F73B2A">
        <w:rPr>
          <w:rFonts w:ascii="Times New Roman Regular" w:hAnsi="Times New Roman Regular" w:cs="Times New Roman Regular"/>
        </w:rPr>
        <w:t>Because of RNA quality limitations, these transcriptomic data were interpreted as exploratory and were not used as primary mechanistic evidence.</w:t>
      </w:r>
    </w:p>
    <w:p w14:paraId="508B9A33" w14:textId="77777777" w:rsidR="005404FC" w:rsidRDefault="00000000">
      <w:pPr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  <w:noProof/>
        </w:rPr>
        <w:lastRenderedPageBreak/>
        <w:drawing>
          <wp:inline distT="0" distB="0" distL="114300" distR="114300" wp14:anchorId="32606661" wp14:editId="374457D4">
            <wp:extent cx="5273675" cy="7899400"/>
            <wp:effectExtent l="0" t="0" r="0" b="0"/>
            <wp:docPr id="13" name="图片 1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5EE5" w14:textId="0B61D7B6" w:rsidR="00F73B2A" w:rsidRPr="00F73B2A" w:rsidRDefault="00000000" w:rsidP="00F73B2A">
      <w:pPr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</w:rPr>
        <w:t>Supplementary f</w:t>
      </w:r>
      <w:r>
        <w:rPr>
          <w:rFonts w:ascii="Times New Roman Regular" w:hAnsi="Times New Roman Regular" w:cs="Times New Roman Regular" w:hint="eastAsia"/>
        </w:rPr>
        <w:t xml:space="preserve">igure </w:t>
      </w:r>
      <w:r>
        <w:rPr>
          <w:rFonts w:ascii="Times New Roman Regular" w:hAnsi="Times New Roman Regular" w:cs="Times New Roman Regular"/>
        </w:rPr>
        <w:t xml:space="preserve">2. </w:t>
      </w:r>
      <w:r w:rsidR="00F73B2A" w:rsidRPr="00F73B2A">
        <w:rPr>
          <w:rFonts w:ascii="Times New Roman Regular" w:hAnsi="Times New Roman Regular" w:cs="Times New Roman Regular"/>
        </w:rPr>
        <w:t>Uncropped original Western blot images corresponding to Figure 6C–G.</w:t>
      </w:r>
    </w:p>
    <w:p w14:paraId="16A77996" w14:textId="4C7ABABF" w:rsidR="005404FC" w:rsidRDefault="00F73B2A" w:rsidP="00F73B2A">
      <w:pPr>
        <w:rPr>
          <w:rFonts w:ascii="Times New Roman Regular" w:hAnsi="Times New Roman Regular" w:cs="Times New Roman Regular"/>
        </w:rPr>
      </w:pPr>
      <w:r w:rsidRPr="00F73B2A">
        <w:rPr>
          <w:rFonts w:ascii="Times New Roman Regular" w:hAnsi="Times New Roman Regular" w:cs="Times New Roman Regular"/>
        </w:rPr>
        <w:t>Uncropped immunoblot im</w:t>
      </w:r>
      <w:r w:rsidRPr="00BD1E73">
        <w:rPr>
          <w:rFonts w:ascii="Times New Roman" w:hAnsi="Times New Roman" w:cs="Times New Roman"/>
        </w:rPr>
        <w:t>ages for Smad3</w:t>
      </w:r>
      <w:r w:rsidR="00BD1E73">
        <w:rPr>
          <w:rFonts w:ascii="Times New Roman" w:hAnsi="Times New Roman" w:cs="Times New Roman" w:hint="eastAsia"/>
        </w:rPr>
        <w:t xml:space="preserve"> (</w:t>
      </w:r>
      <w:r w:rsidRPr="00BD1E73">
        <w:rPr>
          <w:rFonts w:ascii="Times New Roman" w:hAnsi="Times New Roman" w:cs="Times New Roman"/>
        </w:rPr>
        <w:t>A</w:t>
      </w:r>
      <w:bookmarkStart w:id="0" w:name="OLE_LINK24"/>
      <w:r w:rsidR="00BD1E73">
        <w:rPr>
          <w:rFonts w:ascii="Times New Roman" w:hAnsi="Times New Roman" w:cs="Times New Roman" w:hint="eastAsia"/>
        </w:rPr>
        <w:t>)</w:t>
      </w:r>
      <w:bookmarkEnd w:id="0"/>
      <w:r w:rsidRPr="00BD1E73">
        <w:rPr>
          <w:rFonts w:ascii="Times New Roman" w:hAnsi="Times New Roman" w:cs="Times New Roman"/>
        </w:rPr>
        <w:t>, p-Smad3</w:t>
      </w:r>
      <w:r w:rsidR="00BD1E73">
        <w:rPr>
          <w:rFonts w:ascii="Times New Roman" w:hAnsi="Times New Roman" w:cs="Times New Roman" w:hint="eastAsia"/>
        </w:rPr>
        <w:t>(</w:t>
      </w:r>
      <w:r w:rsidR="00BD1E73" w:rsidRPr="00BD1E73">
        <w:rPr>
          <w:rFonts w:ascii="Times New Roman" w:hAnsi="Times New Roman" w:cs="Times New Roman"/>
        </w:rPr>
        <w:t>B</w:t>
      </w:r>
      <w:r w:rsidR="00BD1E73" w:rsidRPr="00BD1E73">
        <w:rPr>
          <w:rFonts w:ascii="Times New Roman" w:hAnsi="Times New Roman" w:cs="Times New Roman"/>
        </w:rPr>
        <w:t>)</w:t>
      </w:r>
      <w:r w:rsidRPr="00BD1E73">
        <w:rPr>
          <w:rFonts w:ascii="Times New Roman" w:hAnsi="Times New Roman" w:cs="Times New Roman"/>
        </w:rPr>
        <w:t>, Smad2</w:t>
      </w:r>
      <w:r w:rsidR="00BD1E73">
        <w:rPr>
          <w:rFonts w:ascii="Times New Roman" w:hAnsi="Times New Roman" w:cs="Times New Roman" w:hint="eastAsia"/>
        </w:rPr>
        <w:t>(</w:t>
      </w:r>
      <w:r w:rsidR="00BD1E73" w:rsidRPr="00BD1E73">
        <w:rPr>
          <w:rFonts w:ascii="Times New Roman" w:hAnsi="Times New Roman" w:cs="Times New Roman"/>
        </w:rPr>
        <w:t>C</w:t>
      </w:r>
      <w:r w:rsidR="00BD1E73" w:rsidRPr="00BD1E73">
        <w:rPr>
          <w:rFonts w:ascii="Times New Roman" w:hAnsi="Times New Roman" w:cs="Times New Roman"/>
        </w:rPr>
        <w:t>)</w:t>
      </w:r>
      <w:r w:rsidRPr="00BD1E73">
        <w:rPr>
          <w:rFonts w:ascii="Times New Roman" w:hAnsi="Times New Roman" w:cs="Times New Roman"/>
        </w:rPr>
        <w:t>, p-Smad2</w:t>
      </w:r>
      <w:r w:rsidR="00BD1E73">
        <w:rPr>
          <w:rFonts w:ascii="Times New Roman" w:hAnsi="Times New Roman" w:cs="Times New Roman" w:hint="eastAsia"/>
        </w:rPr>
        <w:t>(</w:t>
      </w:r>
      <w:r w:rsidR="00BD1E73" w:rsidRPr="00BD1E73">
        <w:rPr>
          <w:rFonts w:ascii="Times New Roman" w:hAnsi="Times New Roman" w:cs="Times New Roman"/>
        </w:rPr>
        <w:t>D</w:t>
      </w:r>
      <w:r w:rsidR="00BD1E73" w:rsidRPr="00BD1E73">
        <w:rPr>
          <w:rFonts w:ascii="Times New Roman" w:hAnsi="Times New Roman" w:cs="Times New Roman"/>
        </w:rPr>
        <w:t>)</w:t>
      </w:r>
      <w:r w:rsidRPr="00BD1E73">
        <w:rPr>
          <w:rFonts w:ascii="Times New Roman" w:hAnsi="Times New Roman" w:cs="Times New Roman"/>
        </w:rPr>
        <w:t>, and α-SMA</w:t>
      </w:r>
      <w:r w:rsidR="00BD1E73">
        <w:rPr>
          <w:rFonts w:ascii="Times New Roman" w:hAnsi="Times New Roman" w:cs="Times New Roman" w:hint="eastAsia"/>
        </w:rPr>
        <w:t>(</w:t>
      </w:r>
      <w:r w:rsidR="00BD1E73" w:rsidRPr="00BD1E73">
        <w:rPr>
          <w:rFonts w:ascii="Times New Roman" w:hAnsi="Times New Roman" w:cs="Times New Roman"/>
        </w:rPr>
        <w:t>E</w:t>
      </w:r>
      <w:r w:rsidR="00BD1E73" w:rsidRPr="00BD1E73">
        <w:rPr>
          <w:rFonts w:ascii="Times New Roman" w:hAnsi="Times New Roman" w:cs="Times New Roman"/>
        </w:rPr>
        <w:t>)</w:t>
      </w:r>
      <w:r w:rsidRPr="00BD1E73">
        <w:rPr>
          <w:rFonts w:ascii="Times New Roman" w:hAnsi="Times New Roman" w:cs="Times New Roman"/>
        </w:rPr>
        <w:t>, together with their</w:t>
      </w:r>
      <w:r w:rsidRPr="00F73B2A">
        <w:rPr>
          <w:rFonts w:ascii="Times New Roman Regular" w:hAnsi="Times New Roman Regular" w:cs="Times New Roman Regular"/>
        </w:rPr>
        <w:t xml:space="preserve"> corresponding GAPDH loading controls.</w:t>
      </w:r>
      <w:r w:rsidR="00000000">
        <w:rPr>
          <w:rFonts w:ascii="Times New Roman Regular" w:hAnsi="Times New Roman Regular" w:cs="Times New Roman Regular" w:hint="eastAsia"/>
          <w:noProof/>
        </w:rPr>
        <w:drawing>
          <wp:anchor distT="0" distB="0" distL="114300" distR="114300" simplePos="0" relativeHeight="251660288" behindDoc="0" locked="0" layoutInCell="1" allowOverlap="1" wp14:anchorId="53EA2985" wp14:editId="5947B46C">
            <wp:simplePos x="0" y="0"/>
            <wp:positionH relativeFrom="column">
              <wp:posOffset>2693035</wp:posOffset>
            </wp:positionH>
            <wp:positionV relativeFrom="paragraph">
              <wp:posOffset>2717165</wp:posOffset>
            </wp:positionV>
            <wp:extent cx="2537460" cy="2585085"/>
            <wp:effectExtent l="0" t="0" r="0" b="5715"/>
            <wp:wrapNone/>
            <wp:docPr id="6" name="图片 6" descr="p-sm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-smad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Times New Roman Regular" w:hAnsi="Times New Roman Regular" w:cs="Times New Roman Regular" w:hint="eastAsia"/>
          <w:noProof/>
        </w:rPr>
        <w:drawing>
          <wp:anchor distT="0" distB="0" distL="114300" distR="114300" simplePos="0" relativeHeight="251659264" behindDoc="0" locked="0" layoutInCell="1" allowOverlap="1" wp14:anchorId="2EE17CA9" wp14:editId="1B7828AD">
            <wp:simplePos x="0" y="0"/>
            <wp:positionH relativeFrom="column">
              <wp:posOffset>0</wp:posOffset>
            </wp:positionH>
            <wp:positionV relativeFrom="paragraph">
              <wp:posOffset>5425440</wp:posOffset>
            </wp:positionV>
            <wp:extent cx="2821305" cy="2814320"/>
            <wp:effectExtent l="0" t="0" r="0" b="5080"/>
            <wp:wrapNone/>
            <wp:docPr id="5" name="图片 5" descr="a-s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-sm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04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B3ACB" w14:textId="77777777" w:rsidR="00EC4BD3" w:rsidRDefault="00EC4BD3" w:rsidP="00F73B2A">
      <w:r>
        <w:separator/>
      </w:r>
    </w:p>
  </w:endnote>
  <w:endnote w:type="continuationSeparator" w:id="0">
    <w:p w14:paraId="48F80A49" w14:textId="77777777" w:rsidR="00EC4BD3" w:rsidRDefault="00EC4BD3" w:rsidP="00F73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Regular">
    <w:altName w:val="Times New Roman"/>
    <w:charset w:val="00"/>
    <w:family w:val="auto"/>
    <w:pitch w:val="default"/>
    <w:sig w:usb0="E0002AEF" w:usb1="C0007841" w:usb2="00000009" w:usb3="00000000" w:csb0="400001FF" w:csb1="FFFF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59EA2" w14:textId="77777777" w:rsidR="00EC4BD3" w:rsidRDefault="00EC4BD3" w:rsidP="00F73B2A">
      <w:r>
        <w:separator/>
      </w:r>
    </w:p>
  </w:footnote>
  <w:footnote w:type="continuationSeparator" w:id="0">
    <w:p w14:paraId="688DB3F4" w14:textId="77777777" w:rsidR="00EC4BD3" w:rsidRDefault="00EC4BD3" w:rsidP="00F73B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E5EFAD5D"/>
    <w:rsid w:val="E5EFAD5D"/>
    <w:rsid w:val="00726B68"/>
    <w:rsid w:val="607B3B59"/>
    <w:rsid w:val="6FFD1710"/>
    <w:rsid w:val="7B7161F8"/>
    <w:rsid w:val="8F7F5B1C"/>
    <w:rsid w:val="A79D2F71"/>
    <w:rsid w:val="BB9F061A"/>
    <w:rsid w:val="E5EFAD5D"/>
    <w:rsid w:val="EE5FFB87"/>
    <w:rsid w:val="F1F05FB3"/>
    <w:rsid w:val="005404FC"/>
    <w:rsid w:val="00BD1E73"/>
    <w:rsid w:val="00EC4BD3"/>
    <w:rsid w:val="00F73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0BD4CE5"/>
  <w15:docId w15:val="{17AB02C2-D654-40BD-BBF5-6AE5D9458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73B2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73B2A"/>
    <w:rPr>
      <w:kern w:val="2"/>
      <w:sz w:val="18"/>
      <w:szCs w:val="18"/>
    </w:rPr>
  </w:style>
  <w:style w:type="paragraph" w:styleId="a5">
    <w:name w:val="footer"/>
    <w:basedOn w:val="a"/>
    <w:link w:val="a6"/>
    <w:rsid w:val="00F73B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73B2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不忘初心</dc:creator>
  <cp:lastModifiedBy>Peng Lü</cp:lastModifiedBy>
  <cp:revision>2</cp:revision>
  <dcterms:created xsi:type="dcterms:W3CDTF">2026-03-19T14:15:00Z</dcterms:created>
  <dcterms:modified xsi:type="dcterms:W3CDTF">2026-03-19T14:15:00Z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968699821BCDDD2ACE3AA669FE0D2A3C_41</vt:lpwstr>
  </property>
</Properties>
</file>