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Table 1S. Association between type of anesthesia and risk of mortality in cancer patients (adjusted Cox regression model)</w:t>
      </w:r>
      <w:r w:rsidDel="00000000" w:rsidR="00000000" w:rsidRPr="00000000">
        <w:rPr>
          <w:rtl w:val="0"/>
        </w:rPr>
      </w:r>
    </w:p>
    <w:tbl>
      <w:tblPr>
        <w:tblStyle w:val="Table1"/>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30"/>
        <w:gridCol w:w="3210"/>
        <w:gridCol w:w="2760"/>
        <w:tblGridChange w:id="0">
          <w:tblGrid>
            <w:gridCol w:w="3030"/>
            <w:gridCol w:w="3210"/>
            <w:gridCol w:w="2760"/>
          </w:tblGrid>
        </w:tblGridChange>
      </w:tblGrid>
      <w:tr>
        <w:trPr>
          <w:cantSplit w:val="0"/>
          <w:trHeight w:val="515" w:hRule="atLeast"/>
          <w:tblHeader w:val="0"/>
        </w:trPr>
        <w:tc>
          <w:tcPr>
            <w:tcBorders>
              <w:left w:color="b7b7b7" w:space="0" w:sz="8" w:val="single"/>
              <w:right w:color="b7b7b7" w:space="0" w:sz="8" w:val="single"/>
            </w:tcBorders>
            <w:shd w:fill="b7b7b7" w:val="clear"/>
            <w:tcMar>
              <w:top w:w="100.0" w:type="dxa"/>
              <w:left w:w="100.0" w:type="dxa"/>
              <w:bottom w:w="100.0" w:type="dxa"/>
              <w:right w:w="100.0" w:type="dxa"/>
            </w:tcMar>
            <w:vAlign w:val="top"/>
          </w:tcPr>
          <w:p w:rsidR="00000000" w:rsidDel="00000000" w:rsidP="00000000" w:rsidRDefault="00000000" w:rsidRPr="00000000" w14:paraId="00000002">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of anesthesia</w:t>
            </w:r>
          </w:p>
        </w:tc>
        <w:tc>
          <w:tcPr>
            <w:tcBorders>
              <w:top w:color="000000" w:space="0" w:sz="0" w:val="nil"/>
              <w:left w:color="b7b7b7" w:space="0" w:sz="8" w:val="single"/>
              <w:bottom w:color="000000" w:space="0" w:sz="18" w:val="single"/>
              <w:right w:color="000000" w:space="0" w:sz="0" w:val="nil"/>
            </w:tcBorders>
            <w:shd w:fill="b7b7b7" w:val="clear"/>
            <w:tcMar>
              <w:top w:w="100.0" w:type="dxa"/>
              <w:left w:w="100.0" w:type="dxa"/>
              <w:bottom w:w="100.0" w:type="dxa"/>
              <w:right w:w="100.0" w:type="dxa"/>
            </w:tcMar>
            <w:vAlign w:val="top"/>
          </w:tcPr>
          <w:p w:rsidR="00000000" w:rsidDel="00000000" w:rsidP="00000000" w:rsidRDefault="00000000" w:rsidRPr="00000000" w14:paraId="00000003">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HR (IC 95%)</w:t>
            </w:r>
            <w:r w:rsidDel="00000000" w:rsidR="00000000" w:rsidRPr="00000000">
              <w:rPr>
                <w:rtl w:val="0"/>
              </w:rPr>
            </w:r>
          </w:p>
        </w:tc>
        <w:tc>
          <w:tcPr>
            <w:tcBorders>
              <w:top w:color="000000" w:space="0" w:sz="0" w:val="nil"/>
              <w:left w:color="000000" w:space="0" w:sz="0" w:val="nil"/>
              <w:bottom w:color="000000" w:space="0" w:sz="18" w:val="single"/>
              <w:right w:color="000000" w:space="0" w:sz="0" w:val="nil"/>
            </w:tcBorders>
            <w:shd w:fill="b7b7b7" w:val="clear"/>
            <w:tcMar>
              <w:top w:w="100.0" w:type="dxa"/>
              <w:left w:w="100.0" w:type="dxa"/>
              <w:bottom w:w="100.0" w:type="dxa"/>
              <w:right w:w="100.0" w:type="dxa"/>
            </w:tcMar>
            <w:vAlign w:val="top"/>
          </w:tcPr>
          <w:p w:rsidR="00000000" w:rsidDel="00000000" w:rsidP="00000000" w:rsidRDefault="00000000" w:rsidRPr="00000000" w14:paraId="00000004">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valor P</w:t>
            </w:r>
            <w:r w:rsidDel="00000000" w:rsidR="00000000" w:rsidRPr="00000000">
              <w:rPr>
                <w:rtl w:val="0"/>
              </w:rPr>
            </w:r>
          </w:p>
        </w:tc>
      </w:tr>
      <w:tr>
        <w:trPr>
          <w:cantSplit w:val="0"/>
          <w:trHeight w:val="515" w:hRule="atLeast"/>
          <w:tblHeader w:val="0"/>
        </w:trPr>
        <w:tc>
          <w:tcPr>
            <w:tcBorders>
              <w:top w:color="000000" w:space="0" w:sz="18" w:val="single"/>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005">
            <w:pPr>
              <w:spacing w:after="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TIVA (ref.)</w:t>
            </w:r>
          </w:p>
        </w:tc>
        <w:tc>
          <w:tcPr>
            <w:tcBorders>
              <w:top w:color="000000" w:space="0" w:sz="18" w:val="single"/>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006">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18" w:val="single"/>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007">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515" w:hRule="atLeast"/>
          <w:tblHeader w:val="0"/>
        </w:trPr>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spacing w:after="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IA</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0.88 (0.60–1.30)</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0.530</w:t>
            </w:r>
          </w:p>
        </w:tc>
      </w:tr>
    </w:tbl>
    <w:p w:rsidR="00000000" w:rsidDel="00000000" w:rsidP="00000000" w:rsidRDefault="00000000" w:rsidRPr="00000000" w14:paraId="000000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Cox regression model was adjusted for multiple potentially confounding clinical and sociodemographic variables, including: tumor recurrence, age, sex, nocive habits, ASA classification, cancer type, tumor differentiation grade, type of surgery, duration of surgery, transfusions, hospital stay, postoperative complications, chemotherapy and radiotherapy treatment, as well as the Charlson comorbidity index.</w:t>
      </w:r>
    </w:p>
    <w:p w:rsidR="00000000" w:rsidDel="00000000" w:rsidP="00000000" w:rsidRDefault="00000000" w:rsidRPr="00000000" w14:paraId="0000000C">
      <w:pPr>
        <w:spacing w:line="360" w:lineRule="auto"/>
        <w:rPr/>
      </w:pPr>
      <w:r w:rsidDel="00000000" w:rsidR="00000000" w:rsidRPr="00000000">
        <w:rPr>
          <w:rFonts w:ascii="Times New Roman" w:cs="Times New Roman" w:eastAsia="Times New Roman" w:hAnsi="Times New Roman"/>
          <w:rtl w:val="0"/>
        </w:rPr>
        <w:t xml:space="preserve">*TIVA: Total Intravenous Anesthesia. IA: Inhalation Anesthesia.</w:t>
      </w:r>
      <w:r w:rsidDel="00000000" w:rsidR="00000000" w:rsidRPr="00000000">
        <w:rPr>
          <w:rtl w:val="0"/>
        </w:rPr>
      </w:r>
    </w:p>
    <w:sectPr>
      <w:pgSz w:h="16838" w:w="11906"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s_419"/>
      </w:rPr>
    </w:rPrDefault>
    <w:pPrDefault>
      <w:pPr>
        <w:spacing w:after="20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00" w:lineRule="auto"/>
    </w:pPr>
    <w:rPr>
      <w:b w:val="1"/>
      <w:bCs w:val="1"/>
      <w:color w:val="3d85c6"/>
      <w:sz w:val="28"/>
      <w:szCs w:val="28"/>
    </w:rPr>
  </w:style>
  <w:style w:type="paragraph" w:styleId="Heading2">
    <w:name w:val="heading 2"/>
    <w:basedOn w:val="Normal"/>
    <w:next w:val="Normal"/>
    <w:pPr>
      <w:keepNext w:val="1"/>
      <w:keepLines w:val="1"/>
      <w:spacing w:before="200" w:lineRule="auto"/>
    </w:pPr>
    <w:rPr>
      <w:b w:val="1"/>
      <w:bCs w:val="1"/>
      <w:color w:val="3d85c6"/>
      <w:sz w:val="26"/>
      <w:szCs w:val="26"/>
    </w:rPr>
  </w:style>
  <w:style w:type="paragraph" w:styleId="Heading3">
    <w:name w:val="heading 3"/>
    <w:basedOn w:val="Normal"/>
    <w:next w:val="Normal"/>
    <w:pPr>
      <w:keepNext w:val="1"/>
      <w:keepLines w:val="1"/>
    </w:pPr>
    <w:rPr>
      <w:color w:val="6fa8dc"/>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pPr>
    <w:rPr>
      <w:b w:val="1"/>
      <w:bCs w:val="1"/>
      <w:sz w:val="16"/>
      <w:szCs w:val="16"/>
    </w:rPr>
  </w:style>
  <w:style w:type="paragraph" w:styleId="Subtitle">
    <w:name w:val="Subtitle"/>
    <w:basedOn w:val="Normal"/>
    <w:next w:val="Normal"/>
    <w:pPr>
      <w:keepNext w:val="1"/>
      <w:keepLines w:val="1"/>
      <w:pageBreakBefore w:val="0"/>
      <w:ind w:left="720" w:hanging="360"/>
    </w:pPr>
    <w:rPr>
      <w:b w:val="1"/>
      <w:bCs w:val="1"/>
      <w:sz w:val="16"/>
      <w:szCs w:val="16"/>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