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1. Baseline characteristics of patients according to type of anesthesia</w:t>
      </w:r>
    </w:p>
    <w:tbl>
      <w:tblPr>
        <w:tblStyle w:val="Table1"/>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2235"/>
        <w:gridCol w:w="2250"/>
        <w:gridCol w:w="2235"/>
        <w:tblGridChange w:id="0">
          <w:tblGrid>
            <w:gridCol w:w="2220"/>
            <w:gridCol w:w="2235"/>
            <w:gridCol w:w="2250"/>
            <w:gridCol w:w="2235"/>
          </w:tblGrid>
        </w:tblGridChange>
      </w:tblGrid>
      <w:tr>
        <w:trPr>
          <w:cantSplit w:val="0"/>
          <w:trHeight w:val="500.9765625" w:hRule="atLeast"/>
          <w:tblHeader w:val="0"/>
        </w:trPr>
        <w:tc>
          <w:tcPr>
            <w:tcBorders>
              <w:top w:color="ffffff" w:space="0" w:sz="8" w:val="single"/>
              <w:left w:color="ffffff" w:space="0" w:sz="8" w:val="single"/>
              <w:bottom w:color="000000" w:space="0" w:sz="18" w:val="single"/>
              <w:right w:color="b7b7b7"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gridSpan w:val="2"/>
            <w:tcBorders>
              <w:top w:color="ffffff" w:space="0" w:sz="8" w:val="single"/>
              <w:left w:color="b7b7b7" w:space="0" w:sz="8" w:val="single"/>
              <w:bottom w:color="000000" w:space="0" w:sz="1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03">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of anesthesia</w:t>
            </w:r>
            <w:r w:rsidDel="00000000" w:rsidR="00000000" w:rsidRPr="00000000">
              <w:rPr>
                <w:rtl w:val="0"/>
              </w:rPr>
            </w:r>
          </w:p>
        </w:tc>
        <w:tc>
          <w:tcPr>
            <w:tcBorders>
              <w:top w:color="ffffff" w:space="0" w:sz="8" w:val="single"/>
              <w:left w:color="b7b7b7" w:space="0" w:sz="8" w:val="single"/>
              <w:bottom w:color="000000" w:space="0" w:sz="18" w:val="single"/>
              <w:right w:color="ffffff"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 value</w:t>
            </w:r>
          </w:p>
        </w:tc>
      </w:tr>
      <w:tr>
        <w:trPr>
          <w:cantSplit w:val="0"/>
          <w:trHeight w:val="500.9765625" w:hRule="atLeast"/>
          <w:tblHeader w:val="0"/>
        </w:trPr>
        <w:tc>
          <w:tcPr>
            <w:tcBorders>
              <w:top w:color="000000" w:space="0" w:sz="18" w:val="single"/>
              <w:left w:color="ffffff" w:space="0" w:sz="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8" w:val="single"/>
              <w:left w:color="d9d9d9" w:space="0" w:sz="8" w:val="single"/>
              <w:bottom w:color="000000" w:space="0" w:sz="1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TIVA (n=429)</w:t>
            </w:r>
          </w:p>
        </w:tc>
        <w:tc>
          <w:tcPr>
            <w:tcBorders>
              <w:top w:color="000000" w:space="0" w:sz="18" w:val="single"/>
              <w:left w:color="d9d9d9" w:space="0" w:sz="8" w:val="single"/>
              <w:bottom w:color="000000" w:space="0" w:sz="1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IA (n=579)</w:t>
            </w:r>
          </w:p>
        </w:tc>
        <w:tc>
          <w:tcPr>
            <w:tcBorders>
              <w:top w:color="000000" w:space="0" w:sz="18" w:val="single"/>
              <w:left w:color="d9d9d9" w:space="0" w:sz="8" w:val="single"/>
              <w:bottom w:color="ffffff" w:space="0" w:sz="8" w:val="single"/>
              <w:right w:color="ffffff"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rHeight w:val="500.9765625" w:hRule="atLeast"/>
          <w:tblHeader w:val="0"/>
        </w:trPr>
        <w:tc>
          <w:tcPr>
            <w:tcBorders>
              <w:top w:color="ffffff" w:space="0" w:sz="8" w:val="single"/>
              <w:left w:color="ffffff" w:space="0" w:sz="8" w:val="single"/>
              <w:bottom w:color="ffffff" w:space="0" w:sz="8"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8" w:val="single"/>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 (years) ± SD</w:t>
            </w:r>
          </w:p>
        </w:tc>
        <w:tc>
          <w:tcPr>
            <w:tcBorders>
              <w:top w:color="000000" w:space="0" w:sz="18" w:val="single"/>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ffffff" w:space="0" w:sz="8" w:val="single"/>
              <w:left w:color="efefef" w:space="0" w:sz="8" w:val="single"/>
              <w:bottom w:color="000000" w:space="0" w:sz="12"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0.010</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Age</w:t>
            </w:r>
          </w:p>
        </w:tc>
        <w:tc>
          <w:tcPr>
            <w:tcBorders>
              <w:top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60.9 ± 13.8</w:t>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58.6 ± 14.4</w:t>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tcBorders>
              <w:left w:color="ffffff" w:space="0" w:sz="8" w:val="single"/>
              <w:bottom w:color="ffffff" w:space="0" w:sz="18"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w:t>
            </w:r>
          </w:p>
        </w:tc>
        <w:tc>
          <w:tcPr>
            <w:tcBorders>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efefef" w:space="0" w:sz="8" w:val="single"/>
              <w:bottom w:color="000000" w:space="0" w:sz="12"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1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Sex</w:t>
            </w:r>
          </w:p>
        </w:tc>
        <w:tc>
          <w:tcPr>
            <w:tcBorders>
              <w:top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rHeight w:val="470.9765625"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 (34.4)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 (30.6)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281 (65.7)</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402 (69.4)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0.205</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Nocive Habits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335 (78.1)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460 (79.5)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 (15.6)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 (15.5)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(6.3)</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(5.0)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0.673</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ASA</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(5.4)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387 (90.2)</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495 (87.0)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(4.4)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(5.6)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0.286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Cancer Type</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Urogenital</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 (20.1)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144 (24.9)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Gynecological</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 (11.4)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(9.8)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Breast</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(23.5)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(34.9)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Gastrointestinal</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(28.7)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(15.7)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Thyroid</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(13.5)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 (13.5)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Lung</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(2.8)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(1.2)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Degree of histological differentiation</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 differentiated</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 (17.6)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 (26.5)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Moderately differentiated</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257 (60.3)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254 (44.6)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Poorly differentiated</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 (22.1)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 (29.0)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surgery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Laparoscopic</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 (23.1)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 (21.8)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329 (76.9)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453 (78.2)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0.606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Transfusion</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(10.7)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 (18.1)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383 (89.3)</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474 (81.9)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Complications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 (15.9)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(6.0)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361 (84.2)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544 (94.0)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Chemotherapy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 (37.9)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 (38.1)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266 (62.2)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358 (61.9)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0.945</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Radiotherapy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118 (27.6)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(34.8)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310 (72.4)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377 (65.2)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0.015</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CCI</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comorbidity</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338 (78.8)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432 (74.6)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comorbidity</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(21.2)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 (25.4)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0.123</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Recurrence</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 (23.1)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 (17.1)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330 (76.9)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480 (82.9)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0.018</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Mortality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 (15.9)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(15.9)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361 (84.2)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487 (84.1)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0.987</w:t>
            </w:r>
          </w:p>
        </w:tc>
      </w:tr>
    </w:tbl>
    <w:p w:rsidR="00000000" w:rsidDel="00000000" w:rsidP="00000000" w:rsidRDefault="00000000" w:rsidRPr="00000000" w14:paraId="000000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age: Difference in means: 2.32 (95% CI: 0.5 to 4.1)</w:t>
      </w:r>
    </w:p>
    <w:p w:rsidR="00000000" w:rsidDel="00000000" w:rsidP="00000000" w:rsidRDefault="00000000" w:rsidRPr="00000000" w14:paraId="000000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*CCI: Charlson Comorbidity Index. ASA: ASA Physical Status Classification System. TIVA: Total Intravenous Anesthesia. IA: Inhalation Anesthesia.</w:t>
      </w:r>
    </w:p>
    <w:p w:rsidR="00000000" w:rsidDel="00000000" w:rsidP="00000000" w:rsidRDefault="00000000" w:rsidRPr="00000000" w14:paraId="000000D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2. Bivariate analysis of baseline characteristics in relation to mortality</w:t>
      </w:r>
    </w:p>
    <w:tbl>
      <w:tblPr>
        <w:tblStyle w:val="Table2"/>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2205"/>
        <w:gridCol w:w="2250"/>
        <w:gridCol w:w="2235"/>
        <w:tblGridChange w:id="0">
          <w:tblGrid>
            <w:gridCol w:w="2250"/>
            <w:gridCol w:w="2205"/>
            <w:gridCol w:w="2250"/>
            <w:gridCol w:w="2235"/>
          </w:tblGrid>
        </w:tblGridChange>
      </w:tblGrid>
      <w:tr>
        <w:trPr>
          <w:cantSplit w:val="0"/>
          <w:trHeight w:val="500.9765625" w:hRule="atLeast"/>
          <w:tblHeader w:val="0"/>
        </w:trPr>
        <w:tc>
          <w:tcPr>
            <w:tcBorders>
              <w:top w:color="ffffff" w:space="0" w:sz="8" w:val="single"/>
              <w:left w:color="ffffff" w:space="0" w:sz="8" w:val="single"/>
              <w:bottom w:color="000000" w:space="0" w:sz="18" w:val="single"/>
              <w:right w:color="b7b7b7"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gridSpan w:val="2"/>
            <w:tcBorders>
              <w:top w:color="ffffff" w:space="0" w:sz="8" w:val="single"/>
              <w:left w:color="b7b7b7" w:space="0" w:sz="8" w:val="single"/>
              <w:bottom w:color="000000" w:space="0" w:sz="1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ffffff" w:space="0" w:sz="8" w:val="single"/>
              <w:left w:color="b7b7b7" w:space="0" w:sz="8" w:val="single"/>
              <w:bottom w:color="000000" w:space="0" w:sz="18" w:val="single"/>
              <w:right w:color="ffffff"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valor P</w:t>
            </w:r>
          </w:p>
        </w:tc>
      </w:tr>
      <w:tr>
        <w:trPr>
          <w:cantSplit w:val="0"/>
          <w:trHeight w:val="500.9765625" w:hRule="atLeast"/>
          <w:tblHeader w:val="0"/>
        </w:trPr>
        <w:tc>
          <w:tcPr>
            <w:tcBorders>
              <w:top w:color="000000" w:space="0" w:sz="18" w:val="single"/>
              <w:left w:color="ffffff" w:space="0" w:sz="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8" w:val="single"/>
              <w:left w:color="d9d9d9" w:space="0" w:sz="8" w:val="single"/>
              <w:bottom w:color="000000" w:space="0" w:sz="1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(n=848)</w:t>
            </w:r>
          </w:p>
        </w:tc>
        <w:tc>
          <w:tcPr>
            <w:tcBorders>
              <w:top w:color="000000" w:space="0" w:sz="18" w:val="single"/>
              <w:left w:color="d9d9d9" w:space="0" w:sz="8" w:val="single"/>
              <w:bottom w:color="000000" w:space="0" w:sz="18" w:val="single"/>
              <w:right w:color="d9d9d9"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(n=160)</w:t>
            </w:r>
          </w:p>
        </w:tc>
        <w:tc>
          <w:tcPr>
            <w:tcBorders>
              <w:top w:color="000000" w:space="0" w:sz="18" w:val="single"/>
              <w:left w:color="d9d9d9" w:space="0" w:sz="8" w:val="single"/>
              <w:bottom w:color="ffffff" w:space="0" w:sz="8" w:val="single"/>
              <w:right w:color="ffffff"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rHeight w:val="500.9765625" w:hRule="atLeast"/>
          <w:tblHeader w:val="0"/>
        </w:trPr>
        <w:tc>
          <w:tcPr>
            <w:tcBorders>
              <w:top w:color="ffffff" w:space="0" w:sz="8" w:val="single"/>
              <w:left w:color="ffffff" w:space="0" w:sz="8" w:val="single"/>
              <w:bottom w:color="ffffff" w:space="0" w:sz="8"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8" w:val="single"/>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 (years) ± SD</w:t>
            </w:r>
          </w:p>
        </w:tc>
        <w:tc>
          <w:tcPr>
            <w:tcBorders>
              <w:top w:color="000000" w:space="0" w:sz="18" w:val="single"/>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ffffff" w:space="0" w:sz="8" w:val="single"/>
              <w:left w:color="efefef" w:space="0" w:sz="8" w:val="single"/>
              <w:bottom w:color="000000" w:space="0" w:sz="12"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Age</w:t>
            </w:r>
          </w:p>
        </w:tc>
        <w:tc>
          <w:tcPr>
            <w:tcBorders>
              <w:top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58.8 ± 14.1</w:t>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 ± 14.2</w:t>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rHeight w:val="440" w:hRule="atLeast"/>
          <w:tblHeader w:val="0"/>
        </w:trPr>
        <w:tc>
          <w:tcPr>
            <w:tcBorders>
              <w:left w:color="ffffff" w:space="0" w:sz="8" w:val="single"/>
              <w:bottom w:color="ffffff" w:space="0" w:sz="18"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w:t>
            </w:r>
          </w:p>
        </w:tc>
        <w:tc>
          <w:tcPr>
            <w:tcBorders>
              <w:left w:color="efefef" w:space="0" w:sz="8" w:val="single"/>
              <w:bottom w:color="000000" w:space="0" w:sz="12"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efefef" w:space="0" w:sz="8" w:val="single"/>
              <w:bottom w:color="000000" w:space="0" w:sz="12"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1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Sex</w:t>
            </w:r>
          </w:p>
        </w:tc>
        <w:tc>
          <w:tcPr>
            <w:tcBorders>
              <w:top w:color="000000" w:space="0" w:sz="12"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12"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rHeight w:val="470.9765625"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266 (31.4)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(36.3)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581 (68.6)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(63.8)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0.229</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Nocive Habits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674 (79.5)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(75.6)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 (15.0)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(18.6)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(5.5)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(5.6)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ASA</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(6.9)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(4.4)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743 (88.7)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 (86.9)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(4.4)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(8.8)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0.042</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Cancer Type</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Urogenital</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194 (22.9)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(22.5)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Gynecological</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 (9.1)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(18.1)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Breast</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262 (30.9)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(25.6)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Gastrointestinal</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169 (19.9)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(28.1)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Thyroid</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 (15.7)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(1.9)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Lung</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(1.5)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Degree of histological differentiation</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 differentiated</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(25.1)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(9.2)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Moderately differentiated</w:t>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464 (55.0)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(30.9)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Poorly differentiated</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 (19.9)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(59.9)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surgery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Laparoscopic</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 (20.1)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(34.4)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677 (79.9)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 (65.6)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Transfusion</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(13.1)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(25.0)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737 (86.9)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 (75.0)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Complications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 (8.3)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(20.6)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778 (91.8)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127 (79.4)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Chemotherapy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269 (31.8)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(70.6)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577 (68.2)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(29.4)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Radiotherapy</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 (29.6)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 (43.1)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596 (70.5)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(56.9)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CCI</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comorbidity</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705 (83.1)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(40.6)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comorbidity</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 (16.9)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 (59.4)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Recurrence</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 (11.1)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 (65.0)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754 (88.9)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(35.0)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anesthesia</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jc w:val="left"/>
              <w:rPr>
                <w:rFonts w:ascii="Times New Roman" w:cs="Times New Roman" w:eastAsia="Times New Roman" w:hAnsi="Times New Roman"/>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TIVA</w:t>
            </w:r>
          </w:p>
        </w:tc>
        <w:tc>
          <w:tcPr>
            <w:tcBorders>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361 (42.6)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 (42.5)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IA</w:t>
            </w:r>
          </w:p>
        </w:tc>
        <w:tc>
          <w:tcPr>
            <w:tcBorders>
              <w:top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487 (57.4)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(57.5)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0.001</w:t>
            </w:r>
          </w:p>
        </w:tc>
      </w:tr>
    </w:tbl>
    <w:p w:rsidR="00000000" w:rsidDel="00000000" w:rsidP="00000000" w:rsidRDefault="00000000" w:rsidRPr="00000000" w14:paraId="000001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age: Difference in means: -4.8 (95% CI: -7.2 to -2.4)</w:t>
      </w:r>
    </w:p>
    <w:p w:rsidR="00000000" w:rsidDel="00000000" w:rsidP="00000000" w:rsidRDefault="00000000" w:rsidRPr="00000000" w14:paraId="0000019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*CCI: Charlson Comorbidity Index. ASA: ASA Physical Status Classification System. TIVA: Total Intravenous Anesthesia. IA: Inhalation Anesthesia.</w:t>
      </w:r>
      <w:r w:rsidDel="00000000" w:rsidR="00000000" w:rsidRPr="00000000">
        <w:rPr>
          <w:rtl w:val="0"/>
        </w:rPr>
      </w:r>
    </w:p>
    <w:p w:rsidR="00000000" w:rsidDel="00000000" w:rsidP="00000000" w:rsidRDefault="00000000" w:rsidRPr="00000000" w14:paraId="0000019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3. Association between type of anesthesia and risk of mortality in cancer patients (adjusted Poisson regression model)</w:t>
      </w:r>
    </w:p>
    <w:tbl>
      <w:tblPr>
        <w:tblStyle w:val="Table3"/>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3210"/>
        <w:gridCol w:w="2760"/>
        <w:tblGridChange w:id="0">
          <w:tblGrid>
            <w:gridCol w:w="3030"/>
            <w:gridCol w:w="3210"/>
            <w:gridCol w:w="2760"/>
          </w:tblGrid>
        </w:tblGridChange>
      </w:tblGrid>
      <w:tr>
        <w:trPr>
          <w:cantSplit w:val="0"/>
          <w:trHeight w:val="515" w:hRule="atLeast"/>
          <w:tblHeader w:val="0"/>
        </w:trPr>
        <w:tc>
          <w:tcPr>
            <w:tcBorders>
              <w:left w:color="b7b7b7" w:space="0" w:sz="8" w:val="single"/>
              <w:right w:color="b7b7b7" w:space="0" w:sz="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1A0">
            <w:pPr>
              <w:widowControl w:val="0"/>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anesthesia</w:t>
            </w:r>
          </w:p>
        </w:tc>
        <w:tc>
          <w:tcPr>
            <w:tcBorders>
              <w:top w:color="000000" w:space="0" w:sz="0" w:val="nil"/>
              <w:left w:color="b7b7b7" w:space="0" w:sz="8" w:val="single"/>
              <w:bottom w:color="000000" w:space="0" w:sz="18" w:val="single"/>
              <w:right w:color="000000" w:space="0" w:sz="0" w:val="nil"/>
            </w:tcBorders>
            <w:shd w:fill="b7b7b7" w:val="clear"/>
            <w:tcMar>
              <w:top w:w="100.0" w:type="dxa"/>
              <w:left w:w="100.0" w:type="dxa"/>
              <w:bottom w:w="100.0" w:type="dxa"/>
              <w:right w:w="100.0" w:type="dxa"/>
            </w:tcMar>
            <w:vAlign w:val="top"/>
          </w:tcPr>
          <w:p w:rsidR="00000000" w:rsidDel="00000000" w:rsidP="00000000" w:rsidRDefault="00000000" w:rsidRPr="00000000" w14:paraId="000001A1">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IRR (IC 95%)</w:t>
            </w:r>
            <w:r w:rsidDel="00000000" w:rsidR="00000000" w:rsidRPr="00000000">
              <w:rPr>
                <w:rtl w:val="0"/>
              </w:rPr>
            </w:r>
          </w:p>
        </w:tc>
        <w:tc>
          <w:tcPr>
            <w:tcBorders>
              <w:top w:color="000000" w:space="0" w:sz="0" w:val="nil"/>
              <w:left w:color="000000" w:space="0" w:sz="0" w:val="nil"/>
              <w:bottom w:color="000000" w:space="0" w:sz="18" w:val="single"/>
              <w:right w:color="000000" w:space="0" w:sz="0" w:val="nil"/>
            </w:tcBorders>
            <w:shd w:fill="b7b7b7" w:val="clear"/>
            <w:tcMar>
              <w:top w:w="100.0" w:type="dxa"/>
              <w:left w:w="100.0" w:type="dxa"/>
              <w:bottom w:w="100.0" w:type="dxa"/>
              <w:right w:w="100.0" w:type="dxa"/>
            </w:tcMar>
            <w:vAlign w:val="top"/>
          </w:tcPr>
          <w:p w:rsidR="00000000" w:rsidDel="00000000" w:rsidP="00000000" w:rsidRDefault="00000000" w:rsidRPr="00000000" w14:paraId="000001A2">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 value</w:t>
            </w:r>
            <w:r w:rsidDel="00000000" w:rsidR="00000000" w:rsidRPr="00000000">
              <w:rPr>
                <w:rtl w:val="0"/>
              </w:rPr>
            </w:r>
          </w:p>
        </w:tc>
      </w:tr>
      <w:tr>
        <w:trPr>
          <w:cantSplit w:val="0"/>
          <w:trHeight w:val="515" w:hRule="atLeast"/>
          <w:tblHeader w:val="0"/>
        </w:trPr>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A3">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TIVA (ref.)</w:t>
            </w:r>
          </w:p>
        </w:tc>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A4">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18" w:val="single"/>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1A5">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51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6">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IA</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7">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(1.01–1.70)</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8">
            <w:pPr>
              <w:spacing w:after="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0.038</w:t>
            </w:r>
          </w:p>
        </w:tc>
      </w:tr>
    </w:tbl>
    <w:p w:rsidR="00000000" w:rsidDel="00000000" w:rsidP="00000000" w:rsidRDefault="00000000" w:rsidRPr="00000000" w14:paraId="000001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Poisson regression model was adjusted for multiple potentially confounding clinical and sociodemographic variables, including: Tumor recurrence, age, sex, nocive habits, ASA classification, cancer type, tumor differentiation grade, type of surgery, duration of surgery, transfusions, hospital stay, postoperative complications, chemotherapy and radiotherapy treatment, as well as the Charlson comorbidity index.</w:t>
      </w:r>
    </w:p>
    <w:p w:rsidR="00000000" w:rsidDel="00000000" w:rsidP="00000000" w:rsidRDefault="00000000" w:rsidRPr="00000000" w14:paraId="000001AA">
      <w:pPr>
        <w:spacing w:line="360" w:lineRule="auto"/>
        <w:rPr/>
      </w:pPr>
      <w:r w:rsidDel="00000000" w:rsidR="00000000" w:rsidRPr="00000000">
        <w:rPr>
          <w:rFonts w:ascii="Times New Roman" w:cs="Times New Roman" w:eastAsia="Times New Roman" w:hAnsi="Times New Roman"/>
          <w:rtl w:val="0"/>
        </w:rPr>
        <w:t xml:space="preserve">*TIVA: Total Intravenous Anesthesia. IA: Inhalation Anesthesia.</w:t>
      </w:r>
      <w:r w:rsidDel="00000000" w:rsidR="00000000" w:rsidRPr="00000000">
        <w:rPr>
          <w:rtl w:val="0"/>
        </w:rPr>
      </w:r>
    </w:p>
    <w:sectPr>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_419"/>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Rule="auto"/>
    </w:pPr>
    <w:rPr>
      <w:b w:val="1"/>
      <w:bCs w:val="1"/>
      <w:color w:val="3d85c6"/>
      <w:sz w:val="28"/>
      <w:szCs w:val="28"/>
    </w:rPr>
  </w:style>
  <w:style w:type="paragraph" w:styleId="Heading2">
    <w:name w:val="heading 2"/>
    <w:basedOn w:val="Normal"/>
    <w:next w:val="Normal"/>
    <w:pPr>
      <w:keepNext w:val="1"/>
      <w:keepLines w:val="1"/>
      <w:spacing w:before="200" w:lineRule="auto"/>
    </w:pPr>
    <w:rPr>
      <w:b w:val="1"/>
      <w:bCs w:val="1"/>
      <w:color w:val="3d85c6"/>
      <w:sz w:val="26"/>
      <w:szCs w:val="26"/>
    </w:rPr>
  </w:style>
  <w:style w:type="paragraph" w:styleId="Heading3">
    <w:name w:val="heading 3"/>
    <w:basedOn w:val="Normal"/>
    <w:next w:val="Normal"/>
    <w:pPr>
      <w:keepNext w:val="1"/>
      <w:keepLines w:val="1"/>
    </w:pPr>
    <w:rPr>
      <w:color w:val="6fa8dc"/>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pPr>
    <w:rPr>
      <w:b w:val="1"/>
      <w:bCs w:val="1"/>
      <w:sz w:val="16"/>
      <w:szCs w:val="16"/>
    </w:rPr>
  </w:style>
  <w:style w:type="paragraph" w:styleId="Subtitle">
    <w:name w:val="Subtitle"/>
    <w:basedOn w:val="Normal"/>
    <w:next w:val="Normal"/>
    <w:pPr>
      <w:keepNext w:val="1"/>
      <w:keepLines w:val="1"/>
      <w:pageBreakBefore w:val="0"/>
      <w:ind w:left="720" w:hanging="360"/>
    </w:pPr>
    <w:rPr>
      <w:b w:val="1"/>
      <w:bCs w:val="1"/>
      <w:sz w:val="16"/>
      <w:szCs w:val="1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