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t>Supplementary Table S1. Complete Search Strategy (MEDLINE, Embase, and Cochrane)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2"/>
        <w:gridCol w:w="730"/>
        <w:gridCol w:w="4601"/>
        <w:gridCol w:w="2043"/>
      </w:tblGrid>
      <w:tr w:rsidR="003A4341"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Database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Date of Search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Search Strategy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Limits Applied</w:t>
            </w:r>
          </w:p>
        </w:tc>
      </w:tr>
      <w:tr w:rsidR="003A4341" w:rsidTr="00A202BF">
        <w:trPr>
          <w:trHeight w:val="2012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MEDLINE (via PubMed)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30 January 2026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("Anorectal Malformations"[MeSH] OR "anorectal malformation*"[tiab] OR "imperforate anus"[tiab])</w:t>
            </w:r>
          </w:p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AND (PSARP[tiab] OR "posterior sagittal anorectoplasty"[tiab] OR "single stage"[tiab] OR "one stage"[tiab] OR "primary repair"[tiab] OR "neonatal repair"[tiab] OR staged[tiab] OR "three stage"[tiab] OR colostomy[tiab])</w:t>
            </w:r>
          </w:p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NOT (rectovestibular[tiab] OR perineal[tiab] OR cloaca*[tiab])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No date or language restriction. Population exclusion terms applied at search stage.</w:t>
            </w:r>
          </w:p>
        </w:tc>
      </w:tr>
      <w:tr w:rsidR="003A4341" w:rsidTr="00A202BF">
        <w:trPr>
          <w:trHeight w:val="2012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Cochrane CENTRAL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30 January 2026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(anorectal malformation OR imperforate anus)</w:t>
            </w:r>
          </w:p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AND (PSARP OR posterior sagittal anorectoplasty OR colostomy OR staged OR one-stage OR single-stage)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No date or language restriction.</w:t>
            </w:r>
          </w:p>
        </w:tc>
      </w:tr>
      <w:tr w:rsidR="003A4341" w:rsidTr="00A202BF">
        <w:trPr>
          <w:trHeight w:val="2012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Embase (via Ovid)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12 March 2026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('anorectal malformation'/exp OR 'imperforate anus'/exp OR 'anal atresia')</w:t>
            </w:r>
          </w:p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AND ('posterior sagittal anorectoplasty' OR 'PSARP' OR 'single stage' OR 'one stage' OR 'primary repair' OR 'neonatal repair' OR 'staged' OR 'three stage' OR 'colostomy'/exp)</w:t>
            </w:r>
          </w:p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NOT ('rectovestibular fistula' OR 'perineal fistula' OR 'cloaca'/exp)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No date or language restriction. Emtree terms exploded where applicable.</w:t>
            </w:r>
          </w:p>
        </w:tc>
      </w:tr>
      <w:tr w:rsidR="003A4341" w:rsidTr="00A202BF">
        <w:trPr>
          <w:trHeight w:val="2012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ClinicalTrials.gov and WHO ICTRP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30 January 2026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sz w:val="16"/>
                <w:szCs w:val="16"/>
              </w:rPr>
              <w:t>"anorectal malformation" AND ("single stage" OR "primary repair" OR "staged" OR "colostomy")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No eligible registered trials identified.</w:t>
            </w:r>
          </w:p>
        </w:tc>
      </w:tr>
    </w:tbl>
    <w:p w:rsidR="003A4341" w:rsidRDefault="00000000">
      <w:pPr>
        <w:spacing w:before="60" w:after="60"/>
      </w:pPr>
      <w:r>
        <w:rPr>
          <w:i/>
          <w:iCs/>
        </w:rPr>
        <w:t>Neonatal population and exclusion of low-type ARM were applied at full-text screening stage according to prespecified eligibility criteria. Reference lists of included studies and prior systematic reviews were manually screened for additional eligible studies. No study-design filter was applied at the search stage.</w:t>
      </w:r>
    </w:p>
    <w:p w:rsidR="003A4341" w:rsidRDefault="00000000">
      <w:r>
        <w:br w:type="page"/>
      </w:r>
    </w:p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lastRenderedPageBreak/>
        <w:t>Supplementary Table S2. Excluded Studies with Reasons (n = 10)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"/>
        <w:gridCol w:w="1941"/>
        <w:gridCol w:w="6875"/>
      </w:tblGrid>
      <w:tr w:rsidR="003A4341"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#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Study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Reason for Exclusion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Gil-Vernet 2001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Staged-only series; no single-stage cohort (1 neonatal case only)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Koga 2010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Wrong comparator: technique comparison (LAARP vs PSARP); all patients had prior colostomy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Vick 2007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Single-arm study; no staged comparison group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Miscia 2024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Systematic review/meta-analysis (excluded study design)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Zhang 2025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Wrong comparator: 2-stage vs 3-stage LAARP (not single-stage vs staged)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Diao 2014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Single-arm study; no comparison group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Xiao 2018 (J Laparoendosc)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Single-arm study; no comparison group (n = 17, one-stage only)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Gangopadhyay 2017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Review article/commentary (excluded study design)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Xiao 2018 (Medicine)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Overlapping cohort with Zhou 2022 (same institution; smaller sample, shorter follow-up)</w:t>
            </w:r>
          </w:p>
        </w:tc>
      </w:tr>
      <w:tr w:rsidR="003A4341" w:rsidTr="00A202BF">
        <w:trPr>
          <w:trHeight w:val="70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Zheng 2008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Mixed ARM population including rectovestibular fistula; high/intermediate data not separately extractable</w:t>
            </w:r>
          </w:p>
        </w:tc>
      </w:tr>
    </w:tbl>
    <w:p w:rsidR="003A4341" w:rsidRDefault="00000000">
      <w:r>
        <w:br w:type="page"/>
      </w:r>
    </w:p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lastRenderedPageBreak/>
        <w:t>Supplementary Table S3. Early Postoperative Infection Outcomes by Study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9"/>
        <w:gridCol w:w="2522"/>
        <w:gridCol w:w="793"/>
        <w:gridCol w:w="830"/>
        <w:gridCol w:w="3382"/>
      </w:tblGrid>
      <w:tr w:rsidR="003A4341"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Study (Year)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Infection Definition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Single-stage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Staged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Key Methodological Issues</w:t>
            </w:r>
          </w:p>
        </w:tc>
      </w:tr>
      <w:tr w:rsidR="003A4341" w:rsidTr="00A202BF">
        <w:trPr>
          <w:trHeight w:val="101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Liu et al. (2004)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Wound/postoperative infection (not further specified)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19/65 (29.2%)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27/48 (56.3%)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Likely cumulative counting across staged procedures; per-procedure denominator unclear</w:t>
            </w:r>
          </w:p>
        </w:tc>
      </w:tr>
      <w:tr w:rsidR="003A4341" w:rsidTr="00A202BF">
        <w:trPr>
          <w:trHeight w:val="1011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Gangopadhyay et al. (2006)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Postoperative wound infection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7/490 (1.4%)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91/458 (19.9%)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Denominators differ markedly from continence analysis; likely cumulative counting</w:t>
            </w:r>
          </w:p>
        </w:tc>
      </w:tr>
      <w:tr w:rsidR="003A4341" w:rsidTr="00A202BF">
        <w:trPr>
          <w:trHeight w:val="1012"/>
        </w:trPr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Zhou et al. (2022)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Surgical site infection following definitive repair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0/42 (0%)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2/42 (4.8%)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Clearly defined per-procedure rates; small number of events; p = 0.49</w:t>
            </w:r>
          </w:p>
        </w:tc>
      </w:tr>
    </w:tbl>
    <w:p w:rsidR="003A4341" w:rsidRDefault="00000000">
      <w:pPr>
        <w:spacing w:before="60" w:after="60"/>
      </w:pPr>
      <w:r>
        <w:rPr>
          <w:i/>
          <w:iCs/>
        </w:rPr>
        <w:t>Abbreviations: SSI, surgical site infection.</w:t>
      </w:r>
    </w:p>
    <w:p w:rsidR="003A4341" w:rsidRDefault="00000000">
      <w:r>
        <w:br w:type="page"/>
      </w:r>
    </w:p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lastRenderedPageBreak/>
        <w:t>Supplementary Table S4. Detailed ROBINS-I Assessment by Domain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5"/>
        <w:gridCol w:w="1050"/>
        <w:gridCol w:w="723"/>
        <w:gridCol w:w="1080"/>
        <w:gridCol w:w="845"/>
        <w:gridCol w:w="1055"/>
        <w:gridCol w:w="1100"/>
        <w:gridCol w:w="815"/>
        <w:gridCol w:w="723"/>
      </w:tblGrid>
      <w:tr w:rsidR="003A4341" w:rsidTr="00A202BF"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Study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Confounding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Selection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Classification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Deviations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Missing Data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Measurement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Reporting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Overall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Liu 2004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Gangopadhyay 2006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Menon 2017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6347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Serious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b/>
                <w:bCs/>
                <w:sz w:val="18"/>
                <w:szCs w:val="18"/>
              </w:rPr>
              <w:t>Zhou 2022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Low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Moderate</w:t>
            </w:r>
          </w:p>
        </w:tc>
      </w:tr>
    </w:tbl>
    <w:p w:rsidR="003A4341" w:rsidRDefault="00000000">
      <w:pPr>
        <w:spacing w:before="60" w:after="60"/>
      </w:pPr>
      <w:r>
        <w:rPr>
          <w:i/>
          <w:iCs/>
        </w:rPr>
        <w:t>Overall risk of bias determined by the highest level of risk in any domain according to ROBINS-I guidance.</w:t>
      </w:r>
    </w:p>
    <w:p w:rsidR="003A4341" w:rsidRDefault="00000000">
      <w:pPr>
        <w:spacing w:before="60" w:after="60"/>
      </w:pPr>
      <w:r>
        <w:rPr>
          <w:i/>
          <w:iCs/>
        </w:rPr>
        <w:t>Major concerns in studies rated Serious included historical control design, substantial attrition (&gt;40–80%), and survival bias in staged cohorts.</w:t>
      </w:r>
    </w:p>
    <w:p w:rsidR="003A4341" w:rsidRDefault="00000000">
      <w:pPr>
        <w:spacing w:before="60" w:after="60"/>
      </w:pPr>
      <w:r>
        <w:rPr>
          <w:i/>
          <w:iCs/>
        </w:rPr>
        <w:t>Zhou 2022 employed propensity score matching to reduce confounding but remained at moderate risk due to retrospective design and potential unmeasured confounders.</w:t>
      </w:r>
    </w:p>
    <w:p w:rsidR="003A4341" w:rsidRDefault="00000000">
      <w:pPr>
        <w:spacing w:before="60" w:after="60"/>
      </w:pPr>
      <w:r>
        <w:rPr>
          <w:i/>
          <w:iCs/>
        </w:rPr>
        <w:t>No randomized controlled trials were identified.</w:t>
      </w:r>
    </w:p>
    <w:p w:rsidR="003A4341" w:rsidRDefault="00000000">
      <w:r>
        <w:br w:type="page"/>
      </w:r>
    </w:p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lastRenderedPageBreak/>
        <w:t>Supplementary Table S5. R Code for Forest Plot and Sensitivity Analyses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6"/>
        <w:gridCol w:w="2603"/>
        <w:gridCol w:w="5737"/>
      </w:tblGrid>
      <w:tr w:rsidR="003A4341" w:rsidTr="00A202BF"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Section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0" w:type="auto"/>
            <w:shd w:val="clear" w:color="auto" w:fill="D9E2F3"/>
            <w:vAlign w:val="center"/>
          </w:tcPr>
          <w:p w:rsidR="003A4341" w:rsidRDefault="00000000" w:rsidP="00A202BF">
            <w:pPr>
              <w:spacing w:before="40" w:after="40"/>
              <w:jc w:val="center"/>
            </w:pPr>
            <w:r>
              <w:rPr>
                <w:b/>
                <w:bCs/>
                <w:sz w:val="18"/>
                <w:szCs w:val="18"/>
              </w:rPr>
              <w:t>R Code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A.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Load Packages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library(meta)</w:t>
            </w:r>
          </w:p>
          <w:p w:rsidR="003A4341" w:rsidRPr="00A202BF" w:rsidRDefault="00000000">
            <w:pPr>
              <w:spacing w:before="20" w:after="20"/>
              <w:rPr>
                <w:lang w:val="vi-VN"/>
              </w:rPr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library(dplyr)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dat &lt;- read.csv("MA_INCONTINENCE.csv")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B.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Prepare Data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dat2 &lt;- dat %&gt;%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rename(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  e1 = single_event, n1 = single_total,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  e0 = staged_event, n0 = staged_total</w:t>
            </w:r>
          </w:p>
          <w:p w:rsidR="003A4341" w:rsidRPr="00A202BF" w:rsidRDefault="00000000">
            <w:pPr>
              <w:spacing w:before="20" w:after="20"/>
              <w:rPr>
                <w:lang w:val="vi-VN"/>
              </w:rPr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stopifnot(all(e1 &lt;= n1), all(e0 &lt;= n0))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C.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Meta-analysis (RR)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m_inc &lt;- metabin(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event.e = e1, n.e = n1,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event.c = e0, n.c = n0,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studlab = study, data = dat2,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sm = "RR", method = "Inverse",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random = TRUE, common = FALSE,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method.tau = "DL"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summary(m_inc)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D.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Forest Plot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forest(m_inc,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leftcols = "studlab", leftlabs = "Study",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xlab = "Risk Ratio (Postoperative Incontinence)",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xlim = c(0.2, 5), at = c(0.2, 0.5, 1, 2, 5),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fontsize = 9, digits = 2,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print.I2 = TRUE, print.tau2 = TRUE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E.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Leave-One-Out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loo &lt;- metainf(m_inc)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print(loo)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forest(loo)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F.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Excl. Menon 2017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m_no_menon &lt;- update(m_inc,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exclude = which(m_inc$studlab == "Menon 2017"))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forest(m_no_menon)</w:t>
            </w:r>
          </w:p>
        </w:tc>
      </w:tr>
      <w:tr w:rsidR="003A4341"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G.</w:t>
            </w:r>
          </w:p>
        </w:tc>
        <w:tc>
          <w:tcPr>
            <w:tcW w:w="0" w:type="auto"/>
            <w:vAlign w:val="center"/>
          </w:tcPr>
          <w:p w:rsidR="003A4341" w:rsidRDefault="00000000">
            <w:pPr>
              <w:spacing w:before="40" w:after="40"/>
            </w:pPr>
            <w:r>
              <w:rPr>
                <w:sz w:val="18"/>
                <w:szCs w:val="18"/>
              </w:rPr>
              <w:t>Excl. Menon + Gangopadhyay</w:t>
            </w:r>
          </w:p>
        </w:tc>
        <w:tc>
          <w:tcPr>
            <w:tcW w:w="0" w:type="auto"/>
          </w:tcPr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m_no_two &lt;- update(m_inc,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exclude = which(m_inc$studlab %in%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 xml:space="preserve">    c("Menon 2017", "Gangopadhyay 2006")))</w:t>
            </w:r>
          </w:p>
          <w:p w:rsidR="003A4341" w:rsidRDefault="00000000">
            <w:pPr>
              <w:spacing w:before="20" w:after="20"/>
            </w:pPr>
            <w:r>
              <w:rPr>
                <w:rFonts w:ascii="Courier New" w:eastAsia="Courier New" w:hAnsi="Courier New" w:cs="Courier New"/>
                <w:sz w:val="16"/>
                <w:szCs w:val="16"/>
              </w:rPr>
              <w:t>forest(m_no_two)</w:t>
            </w:r>
          </w:p>
        </w:tc>
      </w:tr>
    </w:tbl>
    <w:p w:rsidR="003A4341" w:rsidRDefault="00000000">
      <w:pPr>
        <w:spacing w:before="60" w:after="60"/>
      </w:pPr>
      <w:r>
        <w:rPr>
          <w:i/>
          <w:iCs/>
        </w:rPr>
        <w:t>Effect measure: Risk Ratio (RR). Random-effects model using DerSimonian–Laird estimator. Leave-one-out analysis performed using metainf(). All analyses conducted in R using package meta.</w:t>
      </w:r>
    </w:p>
    <w:p w:rsidR="003A4341" w:rsidRDefault="00000000">
      <w:r>
        <w:br w:type="page"/>
      </w:r>
    </w:p>
    <w:p w:rsidR="003A4341" w:rsidRDefault="00000000">
      <w:pPr>
        <w:spacing w:before="360" w:after="120"/>
      </w:pPr>
      <w:r>
        <w:rPr>
          <w:b/>
          <w:bCs/>
          <w:sz w:val="22"/>
          <w:szCs w:val="22"/>
        </w:rPr>
        <w:lastRenderedPageBreak/>
        <w:t>Supplementary Figures</w:t>
      </w:r>
    </w:p>
    <w:p w:rsidR="003A4341" w:rsidRDefault="00000000">
      <w:pPr>
        <w:spacing w:before="60" w:after="60"/>
        <w:rPr>
          <w:b/>
          <w:bCs/>
          <w:lang w:val="vi-VN"/>
        </w:rPr>
      </w:pPr>
      <w:r>
        <w:rPr>
          <w:b/>
          <w:bCs/>
        </w:rPr>
        <w:t>Supplementary Figure S1. Sensitivity analysis forest plot excluding Menon 2017.</w:t>
      </w:r>
    </w:p>
    <w:p w:rsidR="0046338A" w:rsidRPr="0046338A" w:rsidRDefault="0046338A">
      <w:pPr>
        <w:spacing w:before="60" w:after="60"/>
        <w:rPr>
          <w:lang w:val="vi-VN"/>
        </w:rPr>
      </w:pPr>
      <w:r>
        <w:rPr>
          <w:noProof/>
          <w:lang w:val="vi-VN"/>
        </w:rPr>
        <w:drawing>
          <wp:inline distT="0" distB="0" distL="0" distR="0">
            <wp:extent cx="5731510" cy="3183890"/>
            <wp:effectExtent l="0" t="0" r="0" b="3810"/>
            <wp:docPr id="1690287286" name="Picture 1" descr="A graph of a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87286" name="Picture 1" descr="A graph of a model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41" w:rsidRDefault="003A4341">
      <w:pPr>
        <w:spacing w:before="60" w:after="60"/>
      </w:pPr>
    </w:p>
    <w:p w:rsidR="003A4341" w:rsidRDefault="00000000">
      <w:pPr>
        <w:spacing w:before="60" w:after="60"/>
      </w:pPr>
      <w:r>
        <w:rPr>
          <w:b/>
          <w:bCs/>
        </w:rPr>
        <w:t>Supplementary Figure S2. Sensitivity analysis forest plot excluding Menon 2017 and Gangopadhyay 2006.</w:t>
      </w:r>
      <w:r w:rsidR="0046338A">
        <w:rPr>
          <w:noProof/>
        </w:rPr>
        <w:drawing>
          <wp:inline distT="0" distB="0" distL="0" distR="0">
            <wp:extent cx="5731510" cy="3502660"/>
            <wp:effectExtent l="0" t="0" r="0" b="2540"/>
            <wp:docPr id="13238276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27667" name="Picture 13238276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341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FC145F"/>
    <w:multiLevelType w:val="hybridMultilevel"/>
    <w:tmpl w:val="5AB2D7CC"/>
    <w:lvl w:ilvl="0" w:tplc="3B4C3FAC">
      <w:start w:val="1"/>
      <w:numFmt w:val="bullet"/>
      <w:lvlText w:val="●"/>
      <w:lvlJc w:val="left"/>
      <w:pPr>
        <w:ind w:left="720" w:hanging="360"/>
      </w:pPr>
    </w:lvl>
    <w:lvl w:ilvl="1" w:tplc="2E92DD2A">
      <w:start w:val="1"/>
      <w:numFmt w:val="bullet"/>
      <w:lvlText w:val="○"/>
      <w:lvlJc w:val="left"/>
      <w:pPr>
        <w:ind w:left="1440" w:hanging="360"/>
      </w:pPr>
    </w:lvl>
    <w:lvl w:ilvl="2" w:tplc="55924228">
      <w:start w:val="1"/>
      <w:numFmt w:val="bullet"/>
      <w:lvlText w:val="■"/>
      <w:lvlJc w:val="left"/>
      <w:pPr>
        <w:ind w:left="2160" w:hanging="360"/>
      </w:pPr>
    </w:lvl>
    <w:lvl w:ilvl="3" w:tplc="59C428AA">
      <w:start w:val="1"/>
      <w:numFmt w:val="bullet"/>
      <w:lvlText w:val="●"/>
      <w:lvlJc w:val="left"/>
      <w:pPr>
        <w:ind w:left="2880" w:hanging="360"/>
      </w:pPr>
    </w:lvl>
    <w:lvl w:ilvl="4" w:tplc="7A34B106">
      <w:start w:val="1"/>
      <w:numFmt w:val="bullet"/>
      <w:lvlText w:val="○"/>
      <w:lvlJc w:val="left"/>
      <w:pPr>
        <w:ind w:left="3600" w:hanging="360"/>
      </w:pPr>
    </w:lvl>
    <w:lvl w:ilvl="5" w:tplc="B3B6FEA2">
      <w:start w:val="1"/>
      <w:numFmt w:val="bullet"/>
      <w:lvlText w:val="■"/>
      <w:lvlJc w:val="left"/>
      <w:pPr>
        <w:ind w:left="4320" w:hanging="360"/>
      </w:pPr>
    </w:lvl>
    <w:lvl w:ilvl="6" w:tplc="41DAB4C6">
      <w:start w:val="1"/>
      <w:numFmt w:val="bullet"/>
      <w:lvlText w:val="●"/>
      <w:lvlJc w:val="left"/>
      <w:pPr>
        <w:ind w:left="5040" w:hanging="360"/>
      </w:pPr>
    </w:lvl>
    <w:lvl w:ilvl="7" w:tplc="9FD09608">
      <w:start w:val="1"/>
      <w:numFmt w:val="bullet"/>
      <w:lvlText w:val="●"/>
      <w:lvlJc w:val="left"/>
      <w:pPr>
        <w:ind w:left="5760" w:hanging="360"/>
      </w:pPr>
    </w:lvl>
    <w:lvl w:ilvl="8" w:tplc="24564586">
      <w:start w:val="1"/>
      <w:numFmt w:val="bullet"/>
      <w:lvlText w:val="●"/>
      <w:lvlJc w:val="left"/>
      <w:pPr>
        <w:ind w:left="6480" w:hanging="360"/>
      </w:pPr>
    </w:lvl>
  </w:abstractNum>
  <w:num w:numId="1" w16cid:durableId="126537828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41"/>
    <w:rsid w:val="003A4341"/>
    <w:rsid w:val="0046338A"/>
    <w:rsid w:val="00A202BF"/>
    <w:rsid w:val="00CC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DBB223"/>
  <w15:docId w15:val="{1559F23E-0B10-BF45-80E1-A05D5EA9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pPr>
      <w:spacing w:line="240" w:lineRule="auto"/>
    </w:p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pPr>
      <w:spacing w:line="240" w:lineRule="auto"/>
    </w:p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883</Words>
  <Characters>5036</Characters>
  <Application>Microsoft Office Word</Application>
  <DocSecurity>0</DocSecurity>
  <Lines>41</Lines>
  <Paragraphs>11</Paragraphs>
  <ScaleCrop>false</ScaleCrop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Tuyen Tran</cp:lastModifiedBy>
  <cp:revision>3</cp:revision>
  <dcterms:created xsi:type="dcterms:W3CDTF">2026-03-24T04:36:00Z</dcterms:created>
  <dcterms:modified xsi:type="dcterms:W3CDTF">2026-03-24T06:13:00Z</dcterms:modified>
</cp:coreProperties>
</file>