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0DC49" w14:textId="77777777" w:rsidR="00AC612B" w:rsidRPr="00AC612B" w:rsidRDefault="00AC612B" w:rsidP="00AC612B">
      <w:pPr>
        <w:rPr>
          <w:b/>
          <w:bCs/>
          <w:lang w:val="en-US"/>
        </w:rPr>
      </w:pPr>
      <w:r w:rsidRPr="00AC612B">
        <w:rPr>
          <w:b/>
          <w:bCs/>
          <w:lang w:val="en-US"/>
        </w:rPr>
        <w:t>SUPPLEMENTARY FIGURE LEGENDS</w:t>
      </w:r>
    </w:p>
    <w:p w14:paraId="5B3FB42F" w14:textId="77777777" w:rsidR="00AC612B" w:rsidRPr="00AC612B" w:rsidRDefault="00AC612B" w:rsidP="00AC612B">
      <w:pPr>
        <w:rPr>
          <w:lang w:val="en-US"/>
        </w:rPr>
      </w:pPr>
      <w:r w:rsidRPr="00AC612B">
        <w:rPr>
          <w:b/>
          <w:bCs/>
          <w:lang w:val="en-US"/>
        </w:rPr>
        <w:t>Supplementary Figure 1.</w:t>
      </w:r>
      <w:r w:rsidRPr="00AC612B">
        <w:rPr>
          <w:lang w:val="en-US"/>
        </w:rPr>
        <w:t xml:space="preserve"> </w:t>
      </w:r>
      <w:r w:rsidRPr="00AC612B">
        <w:rPr>
          <w:b/>
          <w:bCs/>
          <w:lang w:val="en-US"/>
        </w:rPr>
        <w:t>Limb angle and digit extension scores for the clasping test shown in Figures 1C and 1D.</w:t>
      </w:r>
      <w:r w:rsidRPr="00AC612B">
        <w:rPr>
          <w:lang w:val="en-US"/>
        </w:rPr>
        <w:t xml:space="preserve"> WT, PKR-KO, and GCN2-KO mice underwent crush injury of the sciatic nerve to induce loss of sensorimotor function in the hindlimbs. The contralateral (uninjured) hindlimb was used as the sham paired control. Functional recovery was monitored for 21 days post-injury (DPI) using the clasping test, calculated as the sum of the limb angle score and the corresponding digit extension score (see Methods). (A) Quantification of limb angle scores in WT (n = 10) and PKR-KO (n = 10) mice for crushed and contralateral sham hindlimbs. (B) Quantification of digit extension scores in WT (n = 10) and PKR-KO (n = 10) mice for crushed and contralateral sham hindlimbs. (C) Quantification of limb angle scores in WT (n = 10) and GCN2-KO (n = 8) mice for crushed and contralateral sham hindlimbs. (D) Quantification of digit extension scores in WT (n = 10) and GCN2-KO (n = 8) mice for crushed and contralateral sham hindlimbs. Data are presented as mean ± SEM. Statistical analysis was performed using a two-tailed Mann–Whitney test: ns, non-significant; *p &lt; 0.05, **p &lt; 0.01, ***p &lt; 0.001, ****p &lt; 0.0001.</w:t>
      </w:r>
    </w:p>
    <w:p w14:paraId="35F05CD8" w14:textId="77777777" w:rsidR="00AC612B" w:rsidRPr="00AC612B" w:rsidRDefault="00AC612B" w:rsidP="00AC612B">
      <w:pPr>
        <w:rPr>
          <w:lang w:val="en-US"/>
        </w:rPr>
      </w:pPr>
      <w:r w:rsidRPr="00AC612B">
        <w:rPr>
          <w:b/>
          <w:bCs/>
          <w:lang w:val="en-US"/>
        </w:rPr>
        <w:t>Supplementary Figure 2. PKR contributes to the withdrawal response after sciatic nerve crush injury.</w:t>
      </w:r>
      <w:r w:rsidRPr="00AC612B">
        <w:rPr>
          <w:lang w:val="en-US"/>
        </w:rPr>
        <w:t xml:space="preserve"> WT and PKR-KO mice underwent crush injury of the sciatic nerve. The contralateral (uninjured) hindlimb was used as the sham paired control. Hindlimb withdrawal responses to foot touch were assessed for 21 days post-injury (DPI) using the Von Frey test. (A) Quantification of the mean 50% withdrawal threshold (g) at 1, 3, 7, 14, and 21 DPI or after sham surgery in WT (n = 10) and PKR-KO (n = 10) mice. Animals that did not respond were assigned a threshold value of 4.82 g. Data are presented as mean ± SEM. Statistical analysis was performed using two-way ANOVA followed by Bonferroni’s post hoc test and a two-tailed Mann–Whitney test: ns, non-significant; for crushed *p &lt; 0.05; for sham #p &lt; 0.05, ###p &lt; 0.001. (B) Filtered analysis of the mean 50% withdrawal threshold (g) excluding non-responding animals at 14 DPI in WT (n = 5) and PKR-KO (n = 7) mice. Data are presented as mean ± SEM. Statistical analysis was performed using a two-tailed Mann–Whitney test: ns, non-significant; *p &lt; 0.05.</w:t>
      </w:r>
    </w:p>
    <w:p w14:paraId="6126A847" w14:textId="77777777" w:rsidR="00AC612B" w:rsidRPr="00AC612B" w:rsidRDefault="00AC612B" w:rsidP="00AC612B">
      <w:pPr>
        <w:rPr>
          <w:lang w:val="en-US"/>
        </w:rPr>
      </w:pPr>
      <w:r w:rsidRPr="00AC612B">
        <w:rPr>
          <w:b/>
          <w:bCs/>
          <w:lang w:val="en-US"/>
        </w:rPr>
        <w:t>Supplementary Figure 3. Dynamics of eIF2</w:t>
      </w:r>
      <w:r w:rsidRPr="00AC612B">
        <w:rPr>
          <w:b/>
          <w:bCs/>
          <w:lang w:val="es-CL"/>
        </w:rPr>
        <w:t>α</w:t>
      </w:r>
      <w:r w:rsidRPr="00AC612B">
        <w:rPr>
          <w:b/>
          <w:bCs/>
          <w:lang w:val="en-US"/>
        </w:rPr>
        <w:t xml:space="preserve"> phosphorylation and nerve structural markers at the injury site following sciatic nerve crush in WT and PKR-KO mice.</w:t>
      </w:r>
      <w:r w:rsidRPr="00AC612B">
        <w:rPr>
          <w:lang w:val="en-US"/>
        </w:rPr>
        <w:t xml:space="preserve"> (A) Western blot analysis showing detection of eIF2</w:t>
      </w:r>
      <w:r w:rsidRPr="00AC612B">
        <w:rPr>
          <w:lang w:val="es-CL"/>
        </w:rPr>
        <w:t>α</w:t>
      </w:r>
      <w:r w:rsidRPr="00AC612B">
        <w:rPr>
          <w:lang w:val="en-US"/>
        </w:rPr>
        <w:t xml:space="preserve"> and phosphorylated eIF2</w:t>
      </w:r>
      <w:r w:rsidRPr="00AC612B">
        <w:rPr>
          <w:lang w:val="es-CL"/>
        </w:rPr>
        <w:t>α</w:t>
      </w:r>
      <w:r w:rsidRPr="00AC612B">
        <w:rPr>
          <w:lang w:val="en-US"/>
        </w:rPr>
        <w:t xml:space="preserve"> (p-eIF2</w:t>
      </w:r>
      <w:r w:rsidRPr="00AC612B">
        <w:rPr>
          <w:lang w:val="es-CL"/>
        </w:rPr>
        <w:t>α</w:t>
      </w:r>
      <w:r w:rsidRPr="00AC612B">
        <w:rPr>
          <w:lang w:val="en-US"/>
        </w:rPr>
        <w:t xml:space="preserve">) at the injury site in sciatic nerve lysates from WT mice. Mice were subjected to sciatic nerve crush injury, and tissue samples were collected before injury (day 0) and at 3, 7, 14, and 21 days post-injury (DPI). Each lane represents the sciatic nerve from a single animal; 12 </w:t>
      </w:r>
      <w:r w:rsidRPr="00AC612B">
        <w:rPr>
          <w:lang w:val="es-CL"/>
        </w:rPr>
        <w:t>μ</w:t>
      </w:r>
      <w:r w:rsidRPr="00AC612B">
        <w:rPr>
          <w:lang w:val="en-US"/>
        </w:rPr>
        <w:t>g of total protein were loaded per lane. Protein levels were quantified by band intensity and normalized to total protein levels (Ponceau S). (B) Quantification of total eIF2</w:t>
      </w:r>
      <w:r w:rsidRPr="00AC612B">
        <w:rPr>
          <w:lang w:val="es-CL"/>
        </w:rPr>
        <w:t>α</w:t>
      </w:r>
      <w:r w:rsidRPr="00AC612B">
        <w:rPr>
          <w:lang w:val="en-US"/>
        </w:rPr>
        <w:t xml:space="preserve"> and phosphorylated eIF2</w:t>
      </w:r>
      <w:r w:rsidRPr="00AC612B">
        <w:rPr>
          <w:lang w:val="es-CL"/>
        </w:rPr>
        <w:t>α</w:t>
      </w:r>
      <w:r w:rsidRPr="00AC612B">
        <w:rPr>
          <w:lang w:val="en-US"/>
        </w:rPr>
        <w:t xml:space="preserve"> (p-eIF2</w:t>
      </w:r>
      <w:r w:rsidRPr="00AC612B">
        <w:rPr>
          <w:lang w:val="es-CL"/>
        </w:rPr>
        <w:t>α</w:t>
      </w:r>
      <w:r w:rsidRPr="00AC612B">
        <w:rPr>
          <w:lang w:val="en-US"/>
        </w:rPr>
        <w:t>) levels in WT mice. (C) Western blot analysis showing detection of eIF2</w:t>
      </w:r>
      <w:r w:rsidRPr="00AC612B">
        <w:rPr>
          <w:lang w:val="es-CL"/>
        </w:rPr>
        <w:t>α</w:t>
      </w:r>
      <w:r w:rsidRPr="00AC612B">
        <w:rPr>
          <w:lang w:val="en-US"/>
        </w:rPr>
        <w:t xml:space="preserve"> and phosphorylated eIF2</w:t>
      </w:r>
      <w:r w:rsidRPr="00AC612B">
        <w:rPr>
          <w:lang w:val="es-CL"/>
        </w:rPr>
        <w:t>α</w:t>
      </w:r>
      <w:r w:rsidRPr="00AC612B">
        <w:rPr>
          <w:lang w:val="en-US"/>
        </w:rPr>
        <w:t xml:space="preserve"> (p-eIF2</w:t>
      </w:r>
      <w:r w:rsidRPr="00AC612B">
        <w:rPr>
          <w:lang w:val="es-CL"/>
        </w:rPr>
        <w:t>α</w:t>
      </w:r>
      <w:r w:rsidRPr="00AC612B">
        <w:rPr>
          <w:lang w:val="en-US"/>
        </w:rPr>
        <w:t xml:space="preserve">) in sciatic nerve </w:t>
      </w:r>
      <w:r w:rsidRPr="00AC612B">
        <w:rPr>
          <w:lang w:val="en-US"/>
        </w:rPr>
        <w:lastRenderedPageBreak/>
        <w:t>lysates from PKR-KO mice. (D) Quantification of total eIF2</w:t>
      </w:r>
      <w:r w:rsidRPr="00AC612B">
        <w:rPr>
          <w:lang w:val="es-CL"/>
        </w:rPr>
        <w:t>α</w:t>
      </w:r>
      <w:r w:rsidRPr="00AC612B">
        <w:rPr>
          <w:lang w:val="en-US"/>
        </w:rPr>
        <w:t xml:space="preserve"> and phosphorylated eIF2</w:t>
      </w:r>
      <w:r w:rsidRPr="00AC612B">
        <w:rPr>
          <w:lang w:val="es-CL"/>
        </w:rPr>
        <w:t>α</w:t>
      </w:r>
      <w:r w:rsidRPr="00AC612B">
        <w:rPr>
          <w:lang w:val="en-US"/>
        </w:rPr>
        <w:t xml:space="preserve"> (p-eIF2</w:t>
      </w:r>
      <w:r w:rsidRPr="00AC612B">
        <w:rPr>
          <w:lang w:val="es-CL"/>
        </w:rPr>
        <w:t>α</w:t>
      </w:r>
      <w:r w:rsidRPr="00AC612B">
        <w:rPr>
          <w:lang w:val="en-US"/>
        </w:rPr>
        <w:t>) levels in PKR-KO mice. Data are presented as fold change relative to day 0. Bars represent mean ± SEM from three mice per time point (n = 3). Statistical analysis was performed using one-way ANOVA followed by Tukey’s multiple comparison test; *p &lt; 0.05, **p &lt; 0.01. Only significant differences are indicated.</w:t>
      </w:r>
    </w:p>
    <w:p w14:paraId="23129585" w14:textId="77777777" w:rsidR="00AC612B" w:rsidRPr="00AC612B" w:rsidRDefault="00AC612B" w:rsidP="00AC612B">
      <w:pPr>
        <w:rPr>
          <w:lang w:val="en-US"/>
        </w:rPr>
      </w:pPr>
      <w:r w:rsidRPr="00AC612B">
        <w:rPr>
          <w:b/>
          <w:bCs/>
          <w:lang w:val="en-US"/>
        </w:rPr>
        <w:t xml:space="preserve">Supplementary Figure 4. Comparative analysis of ISR activation in WT and PKR-KO mice during loss of sciatic nerve integrity and structure at the injury site. </w:t>
      </w:r>
      <w:r w:rsidRPr="00AC612B">
        <w:rPr>
          <w:lang w:val="en-US"/>
        </w:rPr>
        <w:t>Western blot analysis and quantification of neurofilament heavy chain (NF-H), myelin basic protein (MBP), total eIF2</w:t>
      </w:r>
      <w:r w:rsidRPr="00AC612B">
        <w:rPr>
          <w:lang w:val="es-CL"/>
        </w:rPr>
        <w:t>α</w:t>
      </w:r>
      <w:r w:rsidRPr="00AC612B">
        <w:rPr>
          <w:lang w:val="en-US"/>
        </w:rPr>
        <w:t>, and phosphorylated eIF2</w:t>
      </w:r>
      <w:r w:rsidRPr="00AC612B">
        <w:rPr>
          <w:lang w:val="es-CL"/>
        </w:rPr>
        <w:t>α</w:t>
      </w:r>
      <w:r w:rsidRPr="00AC612B">
        <w:rPr>
          <w:lang w:val="en-US"/>
        </w:rPr>
        <w:t xml:space="preserve"> (p-eIF2</w:t>
      </w:r>
      <w:r w:rsidRPr="00AC612B">
        <w:rPr>
          <w:lang w:val="es-CL"/>
        </w:rPr>
        <w:t>α</w:t>
      </w:r>
      <w:r w:rsidRPr="00AC612B">
        <w:rPr>
          <w:lang w:val="en-US"/>
        </w:rPr>
        <w:t xml:space="preserve">) in sciatic nerve lysates from WT and PKR-KO mice at 0 (A) and 3 (B) days post-injury (DPI). Ponceau S staining was used as a loading control. Each lane corresponds to one animal; 12 </w:t>
      </w:r>
      <w:r w:rsidRPr="00AC612B">
        <w:rPr>
          <w:lang w:val="es-CL"/>
        </w:rPr>
        <w:t>μ</w:t>
      </w:r>
      <w:r w:rsidRPr="00AC612B">
        <w:rPr>
          <w:lang w:val="en-US"/>
        </w:rPr>
        <w:t>g of total protein were loaded per lane. Data are presented as mean ± SEM (n = 5 per group). Statistical analysis was performed using a two-tailed Welch’s t-test: ns, non-significant; *p &lt; 0.05.</w:t>
      </w:r>
    </w:p>
    <w:p w14:paraId="1AFECE1C" w14:textId="77777777" w:rsidR="00AC612B" w:rsidRPr="00AC612B" w:rsidRDefault="00AC612B" w:rsidP="00AC612B">
      <w:pPr>
        <w:rPr>
          <w:b/>
          <w:bCs/>
          <w:lang w:val="en-US"/>
        </w:rPr>
      </w:pPr>
      <w:r w:rsidRPr="00AC612B">
        <w:rPr>
          <w:b/>
          <w:bCs/>
          <w:lang w:val="en-US"/>
        </w:rPr>
        <w:t xml:space="preserve">Supplementary Figure 5. Comparative analysis of ISR activation in WT and PKR-KO mice during recovery of sciatic nerve integrity and structure at the injury site. </w:t>
      </w:r>
      <w:r w:rsidRPr="00AC612B">
        <w:rPr>
          <w:lang w:val="en-US"/>
        </w:rPr>
        <w:t>Western blot analysis and quantification of neurofilament heavy chain (NF-H), myelin basic protein (MBP), total eIF2</w:t>
      </w:r>
      <w:r w:rsidRPr="00AC612B">
        <w:rPr>
          <w:lang w:val="es-CL"/>
        </w:rPr>
        <w:t>α</w:t>
      </w:r>
      <w:r w:rsidRPr="00AC612B">
        <w:rPr>
          <w:lang w:val="en-US"/>
        </w:rPr>
        <w:t>, and phosphorylated eIF2</w:t>
      </w:r>
      <w:r w:rsidRPr="00AC612B">
        <w:rPr>
          <w:lang w:val="es-CL"/>
        </w:rPr>
        <w:t>α</w:t>
      </w:r>
      <w:r w:rsidRPr="00AC612B">
        <w:rPr>
          <w:lang w:val="en-US"/>
        </w:rPr>
        <w:t xml:space="preserve"> (p-eIF2</w:t>
      </w:r>
      <w:r w:rsidRPr="00AC612B">
        <w:rPr>
          <w:lang w:val="es-CL"/>
        </w:rPr>
        <w:t>α</w:t>
      </w:r>
      <w:r w:rsidRPr="00AC612B">
        <w:rPr>
          <w:lang w:val="en-US"/>
        </w:rPr>
        <w:t xml:space="preserve">) in sciatic nerve lysates from WT and PKR-KO mice at 7 (A), 14 (B), and 21 (C) days post-injury (DPI). Ponceau S staining was used as a loading control. Each lane corresponds to one animal; 12 </w:t>
      </w:r>
      <w:r w:rsidRPr="00AC612B">
        <w:rPr>
          <w:lang w:val="es-CL"/>
        </w:rPr>
        <w:t>μ</w:t>
      </w:r>
      <w:r w:rsidRPr="00AC612B">
        <w:rPr>
          <w:lang w:val="en-US"/>
        </w:rPr>
        <w:t>g of total protein were loaded per lane. Data are presented as mean ± SEM (n = 5 per group). Statistical analysis was performed using a two-tailed Welch’s t-test: ns, non-significant; *p &lt; 0.05, **p &lt; 0.01.</w:t>
      </w:r>
    </w:p>
    <w:p w14:paraId="3C35C3E4" w14:textId="77777777" w:rsidR="00AC612B" w:rsidRPr="00AC612B" w:rsidRDefault="00AC612B" w:rsidP="00AC612B">
      <w:pPr>
        <w:rPr>
          <w:lang w:val="en-US"/>
        </w:rPr>
      </w:pPr>
      <w:r w:rsidRPr="00AC612B">
        <w:rPr>
          <w:b/>
          <w:bCs/>
          <w:lang w:val="en-US"/>
        </w:rPr>
        <w:t>Supplementary Figure 6.</w:t>
      </w:r>
      <w:r w:rsidRPr="00AC612B">
        <w:rPr>
          <w:lang w:val="en-US"/>
        </w:rPr>
        <w:t xml:space="preserve"> </w:t>
      </w:r>
      <w:r w:rsidRPr="00AC612B">
        <w:rPr>
          <w:b/>
          <w:bCs/>
          <w:lang w:val="en-US"/>
        </w:rPr>
        <w:t>Comparative analysis of ISR activation between WT and PKR-KO mice after sciatic nerve crush injury.</w:t>
      </w:r>
      <w:r w:rsidRPr="00AC612B">
        <w:rPr>
          <w:lang w:val="en-US"/>
        </w:rPr>
        <w:t xml:space="preserve"> WT and PKR-KO mice underwent crush injury of the sciatic nerve. (A–B) Quantification of ISR activation assessed by the ratio of phosphorylated eIF2</w:t>
      </w:r>
      <w:r w:rsidRPr="00AC612B">
        <w:rPr>
          <w:lang w:val="es-CL"/>
        </w:rPr>
        <w:t>α</w:t>
      </w:r>
      <w:r w:rsidRPr="00AC612B">
        <w:rPr>
          <w:lang w:val="en-US"/>
        </w:rPr>
        <w:t xml:space="preserve"> to total eIF2</w:t>
      </w:r>
      <w:r w:rsidRPr="00AC612B">
        <w:rPr>
          <w:lang w:val="es-CL"/>
        </w:rPr>
        <w:t>α</w:t>
      </w:r>
      <w:r w:rsidRPr="00AC612B">
        <w:rPr>
          <w:lang w:val="en-US"/>
        </w:rPr>
        <w:t xml:space="preserve"> (p-eIF2</w:t>
      </w:r>
      <w:r w:rsidRPr="00AC612B">
        <w:rPr>
          <w:lang w:val="es-CL"/>
        </w:rPr>
        <w:t>α</w:t>
      </w:r>
      <w:r w:rsidRPr="00AC612B">
        <w:rPr>
          <w:lang w:val="en-US"/>
        </w:rPr>
        <w:t>/eIF2</w:t>
      </w:r>
      <w:r w:rsidRPr="00AC612B">
        <w:rPr>
          <w:lang w:val="es-CL"/>
        </w:rPr>
        <w:t>α</w:t>
      </w:r>
      <w:r w:rsidRPr="00AC612B">
        <w:rPr>
          <w:lang w:val="en-US"/>
        </w:rPr>
        <w:t>) in sciatic nerve lysates from WT and PKR-KO mice at 0, 3, 7, 14, and 21 days post-injury (DPI). Panel (A) shows the analysis of distal nerve segments, whereas panel (B) shows the analysis of the injury site. Data are presented as mean ± SEM (n = 5 mice per group). Each dot represents one animal. Statistical analysis was performed using a two-tailed Welch’s t-test: ns, non-significant; **p &lt; 0.01.</w:t>
      </w:r>
    </w:p>
    <w:p w14:paraId="75A8D2BF" w14:textId="77777777" w:rsidR="00AC612B" w:rsidRPr="00AC612B" w:rsidRDefault="00AC612B" w:rsidP="00AC612B">
      <w:pPr>
        <w:rPr>
          <w:lang w:val="en-US"/>
        </w:rPr>
      </w:pPr>
    </w:p>
    <w:p w14:paraId="68A9F02E" w14:textId="77777777" w:rsidR="00AC612B" w:rsidRPr="00AC612B" w:rsidRDefault="00AC612B" w:rsidP="00AC612B">
      <w:pPr>
        <w:rPr>
          <w:lang w:val="en-US"/>
        </w:rPr>
      </w:pPr>
    </w:p>
    <w:p w14:paraId="5A700C38" w14:textId="77777777" w:rsidR="00AC612B" w:rsidRPr="00AC612B" w:rsidRDefault="00AC612B" w:rsidP="00AC612B">
      <w:pPr>
        <w:rPr>
          <w:lang w:val="en-US"/>
        </w:rPr>
      </w:pPr>
    </w:p>
    <w:p w14:paraId="6392B521"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12B"/>
    <w:rsid w:val="00767E38"/>
    <w:rsid w:val="00866F7D"/>
    <w:rsid w:val="00AC612B"/>
    <w:rsid w:val="00E77CDB"/>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8F8EB"/>
  <w15:chartTrackingRefBased/>
  <w15:docId w15:val="{DEB5A446-ADD1-46AC-93B5-248A8CFF9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61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61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61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61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61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61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61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61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61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61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61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61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61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61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61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61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61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612B"/>
    <w:rPr>
      <w:rFonts w:eastAsiaTheme="majorEastAsia" w:cstheme="majorBidi"/>
      <w:color w:val="272727" w:themeColor="text1" w:themeTint="D8"/>
    </w:rPr>
  </w:style>
  <w:style w:type="paragraph" w:styleId="Title">
    <w:name w:val="Title"/>
    <w:basedOn w:val="Normal"/>
    <w:next w:val="Normal"/>
    <w:link w:val="TitleChar"/>
    <w:uiPriority w:val="10"/>
    <w:qFormat/>
    <w:rsid w:val="00AC61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61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61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61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612B"/>
    <w:pPr>
      <w:spacing w:before="160"/>
      <w:jc w:val="center"/>
    </w:pPr>
    <w:rPr>
      <w:i/>
      <w:iCs/>
      <w:color w:val="404040" w:themeColor="text1" w:themeTint="BF"/>
    </w:rPr>
  </w:style>
  <w:style w:type="character" w:customStyle="1" w:styleId="QuoteChar">
    <w:name w:val="Quote Char"/>
    <w:basedOn w:val="DefaultParagraphFont"/>
    <w:link w:val="Quote"/>
    <w:uiPriority w:val="29"/>
    <w:rsid w:val="00AC612B"/>
    <w:rPr>
      <w:i/>
      <w:iCs/>
      <w:color w:val="404040" w:themeColor="text1" w:themeTint="BF"/>
    </w:rPr>
  </w:style>
  <w:style w:type="paragraph" w:styleId="ListParagraph">
    <w:name w:val="List Paragraph"/>
    <w:basedOn w:val="Normal"/>
    <w:uiPriority w:val="34"/>
    <w:qFormat/>
    <w:rsid w:val="00AC612B"/>
    <w:pPr>
      <w:ind w:left="720"/>
      <w:contextualSpacing/>
    </w:pPr>
  </w:style>
  <w:style w:type="character" w:styleId="IntenseEmphasis">
    <w:name w:val="Intense Emphasis"/>
    <w:basedOn w:val="DefaultParagraphFont"/>
    <w:uiPriority w:val="21"/>
    <w:qFormat/>
    <w:rsid w:val="00AC612B"/>
    <w:rPr>
      <w:i/>
      <w:iCs/>
      <w:color w:val="0F4761" w:themeColor="accent1" w:themeShade="BF"/>
    </w:rPr>
  </w:style>
  <w:style w:type="paragraph" w:styleId="IntenseQuote">
    <w:name w:val="Intense Quote"/>
    <w:basedOn w:val="Normal"/>
    <w:next w:val="Normal"/>
    <w:link w:val="IntenseQuoteChar"/>
    <w:uiPriority w:val="30"/>
    <w:qFormat/>
    <w:rsid w:val="00AC61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612B"/>
    <w:rPr>
      <w:i/>
      <w:iCs/>
      <w:color w:val="0F4761" w:themeColor="accent1" w:themeShade="BF"/>
    </w:rPr>
  </w:style>
  <w:style w:type="character" w:styleId="IntenseReference">
    <w:name w:val="Intense Reference"/>
    <w:basedOn w:val="DefaultParagraphFont"/>
    <w:uiPriority w:val="32"/>
    <w:qFormat/>
    <w:rsid w:val="00AC612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853</Words>
  <Characters>4865</Characters>
  <Application>Microsoft Office Word</Application>
  <DocSecurity>0</DocSecurity>
  <Lines>40</Lines>
  <Paragraphs>11</Paragraphs>
  <ScaleCrop>false</ScaleCrop>
  <Company/>
  <LinksUpToDate>false</LinksUpToDate>
  <CharactersWithSpaces>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2026-04-01T15:54:00Z</dcterms:created>
  <dcterms:modified xsi:type="dcterms:W3CDTF">2026-04-01T15:54:00Z</dcterms:modified>
</cp:coreProperties>
</file>