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9DDD5" w14:textId="77777777" w:rsidR="003A6617" w:rsidRDefault="003A6617" w:rsidP="00EA1204">
      <w:pPr>
        <w:rPr>
          <w:rFonts w:ascii="Times New Roman" w:hAnsi="Times New Roman" w:cs="Times New Roman"/>
          <w:b/>
          <w:bCs/>
        </w:rPr>
      </w:pPr>
    </w:p>
    <w:p w14:paraId="34C710B8" w14:textId="41B6F86C" w:rsidR="004B287F" w:rsidRPr="004B287F" w:rsidRDefault="003A6617" w:rsidP="004B287F">
      <w:pPr>
        <w:jc w:val="both"/>
        <w:rPr>
          <w:rFonts w:ascii="Times New Roman" w:hAnsi="Times New Roman" w:cs="Times New Roman"/>
          <w:b/>
          <w:bCs/>
          <w:sz w:val="16"/>
          <w:szCs w:val="18"/>
        </w:rPr>
      </w:pPr>
      <w:r w:rsidRPr="003A6617">
        <w:rPr>
          <w:rFonts w:ascii="Times New Roman" w:hAnsi="Times New Roman" w:cs="Times New Roman" w:hint="eastAsia"/>
          <w:b/>
          <w:bCs/>
          <w:sz w:val="16"/>
          <w:szCs w:val="18"/>
        </w:rPr>
        <w:t xml:space="preserve">Table S1: </w:t>
      </w:r>
      <w:r w:rsidR="004D0DFD" w:rsidRPr="004D0DFD">
        <w:rPr>
          <w:rFonts w:ascii="Times New Roman" w:hAnsi="Times New Roman" w:cs="Times New Roman"/>
          <w:b/>
          <w:bCs/>
          <w:sz w:val="16"/>
          <w:szCs w:val="18"/>
        </w:rPr>
        <w:t>Association between standardized log-transformed total testosterone [</w:t>
      </w:r>
      <w:proofErr w:type="gramStart"/>
      <w:r w:rsidR="004D0DFD" w:rsidRPr="004D0DFD">
        <w:rPr>
          <w:rFonts w:ascii="Times New Roman" w:hAnsi="Times New Roman" w:cs="Times New Roman"/>
          <w:b/>
          <w:bCs/>
          <w:sz w:val="16"/>
          <w:szCs w:val="18"/>
        </w:rPr>
        <w:t>log(</w:t>
      </w:r>
      <w:proofErr w:type="gramEnd"/>
      <w:r w:rsidR="004D0DFD" w:rsidRPr="004D0DFD">
        <w:rPr>
          <w:rFonts w:ascii="Times New Roman" w:hAnsi="Times New Roman" w:cs="Times New Roman"/>
          <w:b/>
          <w:bCs/>
          <w:sz w:val="16"/>
          <w:szCs w:val="18"/>
        </w:rPr>
        <w:t>TT)] and coronary heart disease (CHD), stratified by sex and menopausal status</w:t>
      </w:r>
    </w:p>
    <w:tbl>
      <w:tblPr>
        <w:tblStyle w:val="af2"/>
        <w:tblW w:w="0" w:type="auto"/>
        <w:jc w:val="center"/>
        <w:tblLook w:val="04A0" w:firstRow="1" w:lastRow="0" w:firstColumn="1" w:lastColumn="0" w:noHBand="0" w:noVBand="1"/>
      </w:tblPr>
      <w:tblGrid>
        <w:gridCol w:w="914"/>
        <w:gridCol w:w="994"/>
        <w:gridCol w:w="1206"/>
        <w:gridCol w:w="926"/>
        <w:gridCol w:w="1200"/>
        <w:gridCol w:w="851"/>
        <w:gridCol w:w="1417"/>
        <w:gridCol w:w="788"/>
      </w:tblGrid>
      <w:tr w:rsidR="004B287F" w:rsidRPr="003A6617" w14:paraId="093B8AB7" w14:textId="77777777" w:rsidTr="00A37E0D">
        <w:trPr>
          <w:trHeight w:val="300"/>
          <w:jc w:val="center"/>
        </w:trPr>
        <w:tc>
          <w:tcPr>
            <w:tcW w:w="914" w:type="dxa"/>
            <w:noWrap/>
            <w:hideMark/>
          </w:tcPr>
          <w:p w14:paraId="112F2532" w14:textId="77777777" w:rsidR="004B287F" w:rsidRPr="003A6617" w:rsidRDefault="004B287F" w:rsidP="00A37E0D">
            <w:pPr>
              <w:rPr>
                <w:rFonts w:ascii="Times New Roman" w:hAnsi="Times New Roman" w:cs="Times New Roman"/>
                <w:b/>
                <w:bCs/>
                <w:sz w:val="10"/>
                <w:szCs w:val="11"/>
              </w:rPr>
            </w:pPr>
            <w:r w:rsidRPr="003A6617">
              <w:rPr>
                <w:rFonts w:ascii="Times New Roman" w:hAnsi="Times New Roman" w:cs="Times New Roman"/>
                <w:b/>
                <w:bCs/>
                <w:sz w:val="10"/>
                <w:szCs w:val="11"/>
              </w:rPr>
              <w:t>Group</w:t>
            </w:r>
          </w:p>
        </w:tc>
        <w:tc>
          <w:tcPr>
            <w:tcW w:w="994" w:type="dxa"/>
            <w:noWrap/>
            <w:hideMark/>
          </w:tcPr>
          <w:p w14:paraId="58B2B452" w14:textId="77777777" w:rsidR="004B287F" w:rsidRPr="003A6617" w:rsidRDefault="004B287F" w:rsidP="00A37E0D">
            <w:pPr>
              <w:rPr>
                <w:rFonts w:ascii="Times New Roman" w:hAnsi="Times New Roman" w:cs="Times New Roman"/>
                <w:b/>
                <w:bCs/>
                <w:sz w:val="10"/>
                <w:szCs w:val="11"/>
              </w:rPr>
            </w:pPr>
            <w:r w:rsidRPr="003A6617">
              <w:rPr>
                <w:rFonts w:ascii="Times New Roman" w:hAnsi="Times New Roman" w:cs="Times New Roman"/>
                <w:b/>
                <w:bCs/>
                <w:sz w:val="10"/>
                <w:szCs w:val="11"/>
              </w:rPr>
              <w:t>Exposure</w:t>
            </w:r>
          </w:p>
        </w:tc>
        <w:tc>
          <w:tcPr>
            <w:tcW w:w="1206" w:type="dxa"/>
            <w:noWrap/>
            <w:hideMark/>
          </w:tcPr>
          <w:p w14:paraId="5ABCA0BA" w14:textId="77777777" w:rsidR="004B287F" w:rsidRPr="003A6617" w:rsidRDefault="004B287F" w:rsidP="00A37E0D">
            <w:pPr>
              <w:rPr>
                <w:rFonts w:ascii="Times New Roman" w:hAnsi="Times New Roman" w:cs="Times New Roman"/>
                <w:b/>
                <w:bCs/>
                <w:sz w:val="10"/>
                <w:szCs w:val="11"/>
              </w:rPr>
            </w:pPr>
            <w:r w:rsidRPr="003A6617">
              <w:rPr>
                <w:rFonts w:ascii="Times New Roman" w:hAnsi="Times New Roman" w:cs="Times New Roman"/>
                <w:b/>
                <w:bCs/>
                <w:sz w:val="10"/>
                <w:szCs w:val="11"/>
              </w:rPr>
              <w:t>Model 1 OR (95% CI)</w:t>
            </w:r>
          </w:p>
        </w:tc>
        <w:tc>
          <w:tcPr>
            <w:tcW w:w="926" w:type="dxa"/>
            <w:noWrap/>
            <w:hideMark/>
          </w:tcPr>
          <w:p w14:paraId="116EF1D7" w14:textId="77777777" w:rsidR="004B287F" w:rsidRPr="003A6617" w:rsidRDefault="004B287F" w:rsidP="00A37E0D">
            <w:pPr>
              <w:rPr>
                <w:rFonts w:ascii="Times New Roman" w:hAnsi="Times New Roman" w:cs="Times New Roman"/>
                <w:b/>
                <w:bCs/>
                <w:sz w:val="10"/>
                <w:szCs w:val="11"/>
              </w:rPr>
            </w:pPr>
            <w:r w:rsidRPr="003A6617">
              <w:rPr>
                <w:rFonts w:ascii="Times New Roman" w:hAnsi="Times New Roman" w:cs="Times New Roman"/>
                <w:b/>
                <w:bCs/>
                <w:sz w:val="10"/>
                <w:szCs w:val="11"/>
              </w:rPr>
              <w:t>P value (M1)</w:t>
            </w:r>
          </w:p>
        </w:tc>
        <w:tc>
          <w:tcPr>
            <w:tcW w:w="1200" w:type="dxa"/>
            <w:noWrap/>
            <w:hideMark/>
          </w:tcPr>
          <w:p w14:paraId="684078A7" w14:textId="77777777" w:rsidR="004B287F" w:rsidRPr="003A6617" w:rsidRDefault="004B287F" w:rsidP="00A37E0D">
            <w:pPr>
              <w:rPr>
                <w:rFonts w:ascii="Times New Roman" w:hAnsi="Times New Roman" w:cs="Times New Roman"/>
                <w:b/>
                <w:bCs/>
                <w:sz w:val="10"/>
                <w:szCs w:val="11"/>
              </w:rPr>
            </w:pPr>
            <w:r w:rsidRPr="003A6617">
              <w:rPr>
                <w:rFonts w:ascii="Times New Roman" w:hAnsi="Times New Roman" w:cs="Times New Roman"/>
                <w:b/>
                <w:bCs/>
                <w:sz w:val="10"/>
                <w:szCs w:val="11"/>
              </w:rPr>
              <w:t>Model 2 OR (95% CI)</w:t>
            </w:r>
          </w:p>
        </w:tc>
        <w:tc>
          <w:tcPr>
            <w:tcW w:w="851" w:type="dxa"/>
            <w:noWrap/>
            <w:hideMark/>
          </w:tcPr>
          <w:p w14:paraId="0C619DAD" w14:textId="77777777" w:rsidR="004B287F" w:rsidRPr="003A6617" w:rsidRDefault="004B287F" w:rsidP="00A37E0D">
            <w:pPr>
              <w:rPr>
                <w:rFonts w:ascii="Times New Roman" w:hAnsi="Times New Roman" w:cs="Times New Roman"/>
                <w:b/>
                <w:bCs/>
                <w:sz w:val="10"/>
                <w:szCs w:val="11"/>
              </w:rPr>
            </w:pPr>
            <w:r w:rsidRPr="003A6617">
              <w:rPr>
                <w:rFonts w:ascii="Times New Roman" w:hAnsi="Times New Roman" w:cs="Times New Roman"/>
                <w:b/>
                <w:bCs/>
                <w:sz w:val="10"/>
                <w:szCs w:val="11"/>
              </w:rPr>
              <w:t>P value (M2)</w:t>
            </w:r>
          </w:p>
        </w:tc>
        <w:tc>
          <w:tcPr>
            <w:tcW w:w="1417" w:type="dxa"/>
            <w:noWrap/>
            <w:hideMark/>
          </w:tcPr>
          <w:p w14:paraId="17EAA4C1" w14:textId="77777777" w:rsidR="004B287F" w:rsidRPr="003A6617" w:rsidRDefault="004B287F" w:rsidP="00A37E0D">
            <w:pPr>
              <w:rPr>
                <w:rFonts w:ascii="Times New Roman" w:hAnsi="Times New Roman" w:cs="Times New Roman"/>
                <w:b/>
                <w:bCs/>
                <w:sz w:val="10"/>
                <w:szCs w:val="11"/>
              </w:rPr>
            </w:pPr>
            <w:r w:rsidRPr="003A6617">
              <w:rPr>
                <w:rFonts w:ascii="Times New Roman" w:hAnsi="Times New Roman" w:cs="Times New Roman"/>
                <w:b/>
                <w:bCs/>
                <w:sz w:val="10"/>
                <w:szCs w:val="11"/>
              </w:rPr>
              <w:t>Model 3 OR (95% CI)</w:t>
            </w:r>
          </w:p>
        </w:tc>
        <w:tc>
          <w:tcPr>
            <w:tcW w:w="788" w:type="dxa"/>
            <w:noWrap/>
            <w:hideMark/>
          </w:tcPr>
          <w:p w14:paraId="1FBF4EB7" w14:textId="77777777" w:rsidR="004B287F" w:rsidRPr="003A6617" w:rsidRDefault="004B287F" w:rsidP="00A37E0D">
            <w:pPr>
              <w:rPr>
                <w:rFonts w:ascii="Times New Roman" w:hAnsi="Times New Roman" w:cs="Times New Roman"/>
                <w:b/>
                <w:bCs/>
                <w:sz w:val="10"/>
                <w:szCs w:val="11"/>
              </w:rPr>
            </w:pPr>
            <w:r w:rsidRPr="003A6617">
              <w:rPr>
                <w:rFonts w:ascii="Times New Roman" w:hAnsi="Times New Roman" w:cs="Times New Roman"/>
                <w:b/>
                <w:bCs/>
                <w:sz w:val="10"/>
                <w:szCs w:val="11"/>
              </w:rPr>
              <w:t>P value (M3)</w:t>
            </w:r>
          </w:p>
        </w:tc>
      </w:tr>
      <w:tr w:rsidR="004B287F" w:rsidRPr="003A6617" w14:paraId="6497F532" w14:textId="77777777" w:rsidTr="00A37E0D">
        <w:trPr>
          <w:trHeight w:val="300"/>
          <w:jc w:val="center"/>
        </w:trPr>
        <w:tc>
          <w:tcPr>
            <w:tcW w:w="914" w:type="dxa"/>
            <w:noWrap/>
            <w:hideMark/>
          </w:tcPr>
          <w:p w14:paraId="4C4545DA" w14:textId="77777777" w:rsidR="004B287F" w:rsidRPr="003A6617" w:rsidRDefault="004B287F" w:rsidP="00A37E0D">
            <w:pPr>
              <w:rPr>
                <w:rFonts w:ascii="Times New Roman" w:hAnsi="Times New Roman" w:cs="Times New Roman"/>
                <w:b/>
                <w:bCs/>
                <w:sz w:val="10"/>
                <w:szCs w:val="11"/>
              </w:rPr>
            </w:pPr>
            <w:r w:rsidRPr="003A6617">
              <w:rPr>
                <w:rFonts w:ascii="Times New Roman" w:hAnsi="Times New Roman" w:cs="Times New Roman"/>
                <w:b/>
                <w:bCs/>
                <w:sz w:val="10"/>
                <w:szCs w:val="11"/>
              </w:rPr>
              <w:t>Men</w:t>
            </w:r>
          </w:p>
        </w:tc>
        <w:tc>
          <w:tcPr>
            <w:tcW w:w="994" w:type="dxa"/>
            <w:noWrap/>
            <w:hideMark/>
          </w:tcPr>
          <w:p w14:paraId="18959EF4" w14:textId="77777777" w:rsidR="004B287F" w:rsidRPr="003A6617" w:rsidRDefault="004B287F" w:rsidP="00A37E0D">
            <w:pPr>
              <w:rPr>
                <w:rFonts w:ascii="Times New Roman" w:hAnsi="Times New Roman" w:cs="Times New Roman"/>
                <w:sz w:val="10"/>
                <w:szCs w:val="11"/>
              </w:rPr>
            </w:pPr>
            <w:proofErr w:type="gramStart"/>
            <w:r w:rsidRPr="003A6617">
              <w:rPr>
                <w:rFonts w:ascii="Times New Roman" w:hAnsi="Times New Roman" w:cs="Times New Roman"/>
                <w:sz w:val="10"/>
                <w:szCs w:val="11"/>
              </w:rPr>
              <w:t>log(</w:t>
            </w:r>
            <w:proofErr w:type="gramEnd"/>
            <w:r w:rsidRPr="003A6617">
              <w:rPr>
                <w:rFonts w:ascii="Times New Roman" w:hAnsi="Times New Roman" w:cs="Times New Roman"/>
                <w:sz w:val="10"/>
                <w:szCs w:val="11"/>
              </w:rPr>
              <w:t>TT) per 1-SD</w:t>
            </w:r>
          </w:p>
        </w:tc>
        <w:tc>
          <w:tcPr>
            <w:tcW w:w="1206" w:type="dxa"/>
            <w:noWrap/>
            <w:hideMark/>
          </w:tcPr>
          <w:p w14:paraId="3EFFB98D" w14:textId="77777777" w:rsidR="004B287F" w:rsidRPr="003A6617" w:rsidRDefault="004B287F" w:rsidP="00A37E0D">
            <w:pPr>
              <w:rPr>
                <w:rFonts w:ascii="Times New Roman" w:hAnsi="Times New Roman" w:cs="Times New Roman"/>
                <w:sz w:val="10"/>
                <w:szCs w:val="11"/>
              </w:rPr>
            </w:pPr>
            <w:r w:rsidRPr="003A6617">
              <w:rPr>
                <w:rFonts w:ascii="Times New Roman" w:hAnsi="Times New Roman" w:cs="Times New Roman"/>
                <w:sz w:val="10"/>
                <w:szCs w:val="11"/>
              </w:rPr>
              <w:t>0.71 (0.63–0.80)</w:t>
            </w:r>
          </w:p>
        </w:tc>
        <w:tc>
          <w:tcPr>
            <w:tcW w:w="926" w:type="dxa"/>
            <w:noWrap/>
            <w:hideMark/>
          </w:tcPr>
          <w:p w14:paraId="737E37ED" w14:textId="77777777" w:rsidR="004B287F" w:rsidRPr="003A6617" w:rsidRDefault="004B287F" w:rsidP="00A37E0D">
            <w:pPr>
              <w:rPr>
                <w:rFonts w:ascii="Times New Roman" w:hAnsi="Times New Roman" w:cs="Times New Roman"/>
                <w:sz w:val="10"/>
                <w:szCs w:val="11"/>
              </w:rPr>
            </w:pPr>
            <w:r w:rsidRPr="003A6617">
              <w:rPr>
                <w:rFonts w:ascii="Times New Roman" w:hAnsi="Times New Roman" w:cs="Times New Roman"/>
                <w:sz w:val="10"/>
                <w:szCs w:val="11"/>
              </w:rPr>
              <w:t>&lt;0.001</w:t>
            </w:r>
          </w:p>
        </w:tc>
        <w:tc>
          <w:tcPr>
            <w:tcW w:w="1200" w:type="dxa"/>
            <w:noWrap/>
            <w:hideMark/>
          </w:tcPr>
          <w:p w14:paraId="4C3479E8" w14:textId="77777777" w:rsidR="004B287F" w:rsidRPr="003A6617" w:rsidRDefault="004B287F" w:rsidP="00A37E0D">
            <w:pPr>
              <w:rPr>
                <w:rFonts w:ascii="Times New Roman" w:hAnsi="Times New Roman" w:cs="Times New Roman"/>
                <w:sz w:val="10"/>
                <w:szCs w:val="11"/>
              </w:rPr>
            </w:pPr>
            <w:r w:rsidRPr="003A6617">
              <w:rPr>
                <w:rFonts w:ascii="Times New Roman" w:hAnsi="Times New Roman" w:cs="Times New Roman"/>
                <w:sz w:val="10"/>
                <w:szCs w:val="11"/>
              </w:rPr>
              <w:t>0.80 (0.71–0.92)</w:t>
            </w:r>
          </w:p>
        </w:tc>
        <w:tc>
          <w:tcPr>
            <w:tcW w:w="851" w:type="dxa"/>
            <w:noWrap/>
            <w:hideMark/>
          </w:tcPr>
          <w:p w14:paraId="14358809" w14:textId="77777777" w:rsidR="004B287F" w:rsidRPr="003A6617" w:rsidRDefault="004B287F" w:rsidP="00A37E0D">
            <w:pPr>
              <w:rPr>
                <w:rFonts w:ascii="Times New Roman" w:hAnsi="Times New Roman" w:cs="Times New Roman"/>
                <w:sz w:val="10"/>
                <w:szCs w:val="11"/>
              </w:rPr>
            </w:pPr>
            <w:r w:rsidRPr="003A6617">
              <w:rPr>
                <w:rFonts w:ascii="Times New Roman" w:hAnsi="Times New Roman" w:cs="Times New Roman"/>
                <w:sz w:val="10"/>
                <w:szCs w:val="11"/>
              </w:rPr>
              <w:t>0.001</w:t>
            </w:r>
          </w:p>
        </w:tc>
        <w:tc>
          <w:tcPr>
            <w:tcW w:w="1417" w:type="dxa"/>
            <w:noWrap/>
            <w:hideMark/>
          </w:tcPr>
          <w:p w14:paraId="64B07112" w14:textId="77777777" w:rsidR="004B287F" w:rsidRPr="003A6617" w:rsidRDefault="004B287F" w:rsidP="00A37E0D">
            <w:pPr>
              <w:rPr>
                <w:rFonts w:ascii="Times New Roman" w:hAnsi="Times New Roman" w:cs="Times New Roman"/>
                <w:sz w:val="10"/>
                <w:szCs w:val="11"/>
              </w:rPr>
            </w:pPr>
            <w:r w:rsidRPr="003A6617">
              <w:rPr>
                <w:rFonts w:ascii="Times New Roman" w:hAnsi="Times New Roman" w:cs="Times New Roman"/>
                <w:sz w:val="10"/>
                <w:szCs w:val="11"/>
              </w:rPr>
              <w:t>0.85 (0.75–0.97)</w:t>
            </w:r>
          </w:p>
        </w:tc>
        <w:tc>
          <w:tcPr>
            <w:tcW w:w="788" w:type="dxa"/>
            <w:noWrap/>
            <w:hideMark/>
          </w:tcPr>
          <w:p w14:paraId="5FEEBB65" w14:textId="77777777" w:rsidR="004B287F" w:rsidRPr="003A6617" w:rsidRDefault="004B287F" w:rsidP="00A37E0D">
            <w:pPr>
              <w:rPr>
                <w:rFonts w:ascii="Times New Roman" w:hAnsi="Times New Roman" w:cs="Times New Roman"/>
                <w:b/>
                <w:bCs/>
                <w:sz w:val="10"/>
                <w:szCs w:val="11"/>
              </w:rPr>
            </w:pPr>
            <w:r w:rsidRPr="003A6617">
              <w:rPr>
                <w:rFonts w:ascii="Times New Roman" w:hAnsi="Times New Roman" w:cs="Times New Roman"/>
                <w:b/>
                <w:bCs/>
                <w:sz w:val="10"/>
                <w:szCs w:val="11"/>
              </w:rPr>
              <w:t>0.017</w:t>
            </w:r>
          </w:p>
        </w:tc>
      </w:tr>
      <w:tr w:rsidR="004B287F" w:rsidRPr="003A6617" w14:paraId="67256250" w14:textId="77777777" w:rsidTr="00A37E0D">
        <w:trPr>
          <w:trHeight w:val="300"/>
          <w:jc w:val="center"/>
        </w:trPr>
        <w:tc>
          <w:tcPr>
            <w:tcW w:w="914" w:type="dxa"/>
            <w:noWrap/>
            <w:hideMark/>
          </w:tcPr>
          <w:p w14:paraId="34A66165" w14:textId="77777777" w:rsidR="004B287F" w:rsidRPr="003A6617" w:rsidRDefault="004B287F" w:rsidP="00A37E0D">
            <w:pPr>
              <w:rPr>
                <w:rFonts w:ascii="Times New Roman" w:hAnsi="Times New Roman" w:cs="Times New Roman"/>
                <w:b/>
                <w:bCs/>
                <w:sz w:val="10"/>
                <w:szCs w:val="11"/>
              </w:rPr>
            </w:pPr>
            <w:r w:rsidRPr="003A6617">
              <w:rPr>
                <w:rFonts w:ascii="Times New Roman" w:hAnsi="Times New Roman" w:cs="Times New Roman"/>
                <w:b/>
                <w:bCs/>
                <w:sz w:val="10"/>
                <w:szCs w:val="11"/>
              </w:rPr>
              <w:t>Women</w:t>
            </w:r>
          </w:p>
        </w:tc>
        <w:tc>
          <w:tcPr>
            <w:tcW w:w="994" w:type="dxa"/>
            <w:noWrap/>
            <w:hideMark/>
          </w:tcPr>
          <w:p w14:paraId="6DF33E8C" w14:textId="77777777" w:rsidR="004B287F" w:rsidRPr="003A6617" w:rsidRDefault="004B287F" w:rsidP="00A37E0D">
            <w:pPr>
              <w:rPr>
                <w:rFonts w:ascii="Times New Roman" w:hAnsi="Times New Roman" w:cs="Times New Roman"/>
                <w:sz w:val="10"/>
                <w:szCs w:val="11"/>
              </w:rPr>
            </w:pPr>
            <w:proofErr w:type="gramStart"/>
            <w:r w:rsidRPr="003A6617">
              <w:rPr>
                <w:rFonts w:ascii="Times New Roman" w:hAnsi="Times New Roman" w:cs="Times New Roman"/>
                <w:sz w:val="10"/>
                <w:szCs w:val="11"/>
              </w:rPr>
              <w:t>log(</w:t>
            </w:r>
            <w:proofErr w:type="gramEnd"/>
            <w:r w:rsidRPr="003A6617">
              <w:rPr>
                <w:rFonts w:ascii="Times New Roman" w:hAnsi="Times New Roman" w:cs="Times New Roman"/>
                <w:sz w:val="10"/>
                <w:szCs w:val="11"/>
              </w:rPr>
              <w:t>TT) per 1-SD</w:t>
            </w:r>
          </w:p>
        </w:tc>
        <w:tc>
          <w:tcPr>
            <w:tcW w:w="1206" w:type="dxa"/>
            <w:noWrap/>
            <w:hideMark/>
          </w:tcPr>
          <w:p w14:paraId="27B37F6A" w14:textId="77777777" w:rsidR="004B287F" w:rsidRPr="003A6617" w:rsidRDefault="004B287F" w:rsidP="00A37E0D">
            <w:pPr>
              <w:rPr>
                <w:rFonts w:ascii="Times New Roman" w:hAnsi="Times New Roman" w:cs="Times New Roman"/>
                <w:sz w:val="10"/>
                <w:szCs w:val="11"/>
              </w:rPr>
            </w:pPr>
            <w:r w:rsidRPr="003A6617">
              <w:rPr>
                <w:rFonts w:ascii="Times New Roman" w:hAnsi="Times New Roman" w:cs="Times New Roman"/>
                <w:sz w:val="10"/>
                <w:szCs w:val="11"/>
              </w:rPr>
              <w:t>0.76 (0.66–0.89)</w:t>
            </w:r>
          </w:p>
        </w:tc>
        <w:tc>
          <w:tcPr>
            <w:tcW w:w="926" w:type="dxa"/>
            <w:noWrap/>
            <w:hideMark/>
          </w:tcPr>
          <w:p w14:paraId="2C2BD768" w14:textId="77777777" w:rsidR="004B287F" w:rsidRPr="003A6617" w:rsidRDefault="004B287F" w:rsidP="00A37E0D">
            <w:pPr>
              <w:rPr>
                <w:rFonts w:ascii="Times New Roman" w:hAnsi="Times New Roman" w:cs="Times New Roman"/>
                <w:sz w:val="10"/>
                <w:szCs w:val="11"/>
              </w:rPr>
            </w:pPr>
            <w:r w:rsidRPr="003A6617">
              <w:rPr>
                <w:rFonts w:ascii="Times New Roman" w:hAnsi="Times New Roman" w:cs="Times New Roman"/>
                <w:sz w:val="10"/>
                <w:szCs w:val="11"/>
              </w:rPr>
              <w:t>&lt;0.001</w:t>
            </w:r>
          </w:p>
        </w:tc>
        <w:tc>
          <w:tcPr>
            <w:tcW w:w="1200" w:type="dxa"/>
            <w:noWrap/>
            <w:hideMark/>
          </w:tcPr>
          <w:p w14:paraId="28F378B7" w14:textId="77777777" w:rsidR="004B287F" w:rsidRPr="003A6617" w:rsidRDefault="004B287F" w:rsidP="00A37E0D">
            <w:pPr>
              <w:rPr>
                <w:rFonts w:ascii="Times New Roman" w:hAnsi="Times New Roman" w:cs="Times New Roman"/>
                <w:sz w:val="10"/>
                <w:szCs w:val="11"/>
              </w:rPr>
            </w:pPr>
            <w:r w:rsidRPr="003A6617">
              <w:rPr>
                <w:rFonts w:ascii="Times New Roman" w:hAnsi="Times New Roman" w:cs="Times New Roman"/>
                <w:sz w:val="10"/>
                <w:szCs w:val="11"/>
              </w:rPr>
              <w:t>0.88 (0.77–1.01)</w:t>
            </w:r>
          </w:p>
        </w:tc>
        <w:tc>
          <w:tcPr>
            <w:tcW w:w="851" w:type="dxa"/>
            <w:noWrap/>
            <w:hideMark/>
          </w:tcPr>
          <w:p w14:paraId="1F6AC658" w14:textId="77777777" w:rsidR="004B287F" w:rsidRPr="003A6617" w:rsidRDefault="004B287F" w:rsidP="00A37E0D">
            <w:pPr>
              <w:rPr>
                <w:rFonts w:ascii="Times New Roman" w:hAnsi="Times New Roman" w:cs="Times New Roman"/>
                <w:sz w:val="10"/>
                <w:szCs w:val="11"/>
              </w:rPr>
            </w:pPr>
            <w:r w:rsidRPr="003A6617">
              <w:rPr>
                <w:rFonts w:ascii="Times New Roman" w:hAnsi="Times New Roman" w:cs="Times New Roman"/>
                <w:sz w:val="10"/>
                <w:szCs w:val="11"/>
              </w:rPr>
              <w:t>0.064</w:t>
            </w:r>
          </w:p>
        </w:tc>
        <w:tc>
          <w:tcPr>
            <w:tcW w:w="1417" w:type="dxa"/>
            <w:noWrap/>
            <w:hideMark/>
          </w:tcPr>
          <w:p w14:paraId="5E47EAD8" w14:textId="77777777" w:rsidR="004B287F" w:rsidRPr="003A6617" w:rsidRDefault="004B287F" w:rsidP="00A37E0D">
            <w:pPr>
              <w:rPr>
                <w:rFonts w:ascii="Times New Roman" w:hAnsi="Times New Roman" w:cs="Times New Roman"/>
                <w:sz w:val="10"/>
                <w:szCs w:val="11"/>
              </w:rPr>
            </w:pPr>
            <w:r w:rsidRPr="003A6617">
              <w:rPr>
                <w:rFonts w:ascii="Times New Roman" w:hAnsi="Times New Roman" w:cs="Times New Roman"/>
                <w:sz w:val="10"/>
                <w:szCs w:val="11"/>
              </w:rPr>
              <w:t>0.92 (0.80–1.06)</w:t>
            </w:r>
          </w:p>
        </w:tc>
        <w:tc>
          <w:tcPr>
            <w:tcW w:w="788" w:type="dxa"/>
            <w:noWrap/>
            <w:hideMark/>
          </w:tcPr>
          <w:p w14:paraId="08094840" w14:textId="77777777" w:rsidR="004B287F" w:rsidRPr="003A6617" w:rsidRDefault="004B287F" w:rsidP="00A37E0D">
            <w:pPr>
              <w:rPr>
                <w:rFonts w:ascii="Times New Roman" w:hAnsi="Times New Roman" w:cs="Times New Roman"/>
                <w:sz w:val="10"/>
                <w:szCs w:val="11"/>
              </w:rPr>
            </w:pPr>
            <w:r w:rsidRPr="003A6617">
              <w:rPr>
                <w:rFonts w:ascii="Times New Roman" w:hAnsi="Times New Roman" w:cs="Times New Roman"/>
                <w:sz w:val="10"/>
                <w:szCs w:val="11"/>
              </w:rPr>
              <w:t>0.226</w:t>
            </w:r>
          </w:p>
        </w:tc>
      </w:tr>
      <w:tr w:rsidR="004B287F" w:rsidRPr="003A6617" w14:paraId="7DFBDD61" w14:textId="77777777" w:rsidTr="00A37E0D">
        <w:trPr>
          <w:trHeight w:val="300"/>
          <w:jc w:val="center"/>
        </w:trPr>
        <w:tc>
          <w:tcPr>
            <w:tcW w:w="914" w:type="dxa"/>
            <w:noWrap/>
            <w:hideMark/>
          </w:tcPr>
          <w:p w14:paraId="20399791" w14:textId="77777777" w:rsidR="004B287F" w:rsidRPr="003A6617" w:rsidRDefault="004B287F" w:rsidP="00A37E0D">
            <w:pPr>
              <w:rPr>
                <w:rFonts w:ascii="Times New Roman" w:hAnsi="Times New Roman" w:cs="Times New Roman"/>
                <w:b/>
                <w:bCs/>
                <w:sz w:val="10"/>
                <w:szCs w:val="11"/>
              </w:rPr>
            </w:pPr>
            <w:proofErr w:type="spellStart"/>
            <w:r w:rsidRPr="003A6617">
              <w:rPr>
                <w:rFonts w:ascii="Times New Roman" w:hAnsi="Times New Roman" w:cs="Times New Roman"/>
                <w:b/>
                <w:bCs/>
                <w:sz w:val="10"/>
                <w:szCs w:val="11"/>
              </w:rPr>
              <w:t>Premenopause</w:t>
            </w:r>
            <w:proofErr w:type="spellEnd"/>
          </w:p>
        </w:tc>
        <w:tc>
          <w:tcPr>
            <w:tcW w:w="994" w:type="dxa"/>
            <w:noWrap/>
            <w:hideMark/>
          </w:tcPr>
          <w:p w14:paraId="5C785CDB" w14:textId="77777777" w:rsidR="004B287F" w:rsidRPr="003A6617" w:rsidRDefault="004B287F" w:rsidP="00A37E0D">
            <w:pPr>
              <w:rPr>
                <w:rFonts w:ascii="Times New Roman" w:hAnsi="Times New Roman" w:cs="Times New Roman"/>
                <w:sz w:val="10"/>
                <w:szCs w:val="11"/>
              </w:rPr>
            </w:pPr>
            <w:proofErr w:type="gramStart"/>
            <w:r w:rsidRPr="003A6617">
              <w:rPr>
                <w:rFonts w:ascii="Times New Roman" w:hAnsi="Times New Roman" w:cs="Times New Roman"/>
                <w:sz w:val="10"/>
                <w:szCs w:val="11"/>
              </w:rPr>
              <w:t>log(</w:t>
            </w:r>
            <w:proofErr w:type="gramEnd"/>
            <w:r w:rsidRPr="003A6617">
              <w:rPr>
                <w:rFonts w:ascii="Times New Roman" w:hAnsi="Times New Roman" w:cs="Times New Roman"/>
                <w:sz w:val="10"/>
                <w:szCs w:val="11"/>
              </w:rPr>
              <w:t>TT) per 1-SD</w:t>
            </w:r>
          </w:p>
        </w:tc>
        <w:tc>
          <w:tcPr>
            <w:tcW w:w="1206" w:type="dxa"/>
            <w:noWrap/>
            <w:hideMark/>
          </w:tcPr>
          <w:p w14:paraId="108F2CD5" w14:textId="77777777" w:rsidR="004B287F" w:rsidRPr="003A6617" w:rsidRDefault="004B287F" w:rsidP="00A37E0D">
            <w:pPr>
              <w:rPr>
                <w:rFonts w:ascii="Times New Roman" w:hAnsi="Times New Roman" w:cs="Times New Roman"/>
                <w:sz w:val="10"/>
                <w:szCs w:val="11"/>
              </w:rPr>
            </w:pPr>
            <w:r w:rsidRPr="003A6617">
              <w:rPr>
                <w:rFonts w:ascii="Times New Roman" w:hAnsi="Times New Roman" w:cs="Times New Roman"/>
                <w:sz w:val="10"/>
                <w:szCs w:val="11"/>
              </w:rPr>
              <w:t>0.78 (0.56–1.07)</w:t>
            </w:r>
          </w:p>
        </w:tc>
        <w:tc>
          <w:tcPr>
            <w:tcW w:w="926" w:type="dxa"/>
            <w:noWrap/>
            <w:hideMark/>
          </w:tcPr>
          <w:p w14:paraId="5FB790BD" w14:textId="77777777" w:rsidR="004B287F" w:rsidRPr="003A6617" w:rsidRDefault="004B287F" w:rsidP="00A37E0D">
            <w:pPr>
              <w:rPr>
                <w:rFonts w:ascii="Times New Roman" w:hAnsi="Times New Roman" w:cs="Times New Roman"/>
                <w:sz w:val="10"/>
                <w:szCs w:val="11"/>
              </w:rPr>
            </w:pPr>
            <w:r w:rsidRPr="003A6617">
              <w:rPr>
                <w:rFonts w:ascii="Times New Roman" w:hAnsi="Times New Roman" w:cs="Times New Roman"/>
                <w:sz w:val="10"/>
                <w:szCs w:val="11"/>
              </w:rPr>
              <w:t>0.123</w:t>
            </w:r>
          </w:p>
        </w:tc>
        <w:tc>
          <w:tcPr>
            <w:tcW w:w="1200" w:type="dxa"/>
            <w:noWrap/>
            <w:hideMark/>
          </w:tcPr>
          <w:p w14:paraId="203886B1" w14:textId="77777777" w:rsidR="004B287F" w:rsidRPr="003A6617" w:rsidRDefault="004B287F" w:rsidP="00A37E0D">
            <w:pPr>
              <w:rPr>
                <w:rFonts w:ascii="Times New Roman" w:hAnsi="Times New Roman" w:cs="Times New Roman"/>
                <w:sz w:val="10"/>
                <w:szCs w:val="11"/>
              </w:rPr>
            </w:pPr>
            <w:r w:rsidRPr="003A6617">
              <w:rPr>
                <w:rFonts w:ascii="Times New Roman" w:hAnsi="Times New Roman" w:cs="Times New Roman"/>
                <w:sz w:val="10"/>
                <w:szCs w:val="11"/>
              </w:rPr>
              <w:t>0.84 (0.60–1.19)</w:t>
            </w:r>
          </w:p>
        </w:tc>
        <w:tc>
          <w:tcPr>
            <w:tcW w:w="851" w:type="dxa"/>
            <w:noWrap/>
            <w:hideMark/>
          </w:tcPr>
          <w:p w14:paraId="3393FA96" w14:textId="77777777" w:rsidR="004B287F" w:rsidRPr="003A6617" w:rsidRDefault="004B287F" w:rsidP="00A37E0D">
            <w:pPr>
              <w:rPr>
                <w:rFonts w:ascii="Times New Roman" w:hAnsi="Times New Roman" w:cs="Times New Roman"/>
                <w:sz w:val="10"/>
                <w:szCs w:val="11"/>
              </w:rPr>
            </w:pPr>
            <w:r w:rsidRPr="003A6617">
              <w:rPr>
                <w:rFonts w:ascii="Times New Roman" w:hAnsi="Times New Roman" w:cs="Times New Roman"/>
                <w:sz w:val="10"/>
                <w:szCs w:val="11"/>
              </w:rPr>
              <w:t>0.332</w:t>
            </w:r>
          </w:p>
        </w:tc>
        <w:tc>
          <w:tcPr>
            <w:tcW w:w="1417" w:type="dxa"/>
            <w:noWrap/>
            <w:hideMark/>
          </w:tcPr>
          <w:p w14:paraId="4F010E81" w14:textId="77777777" w:rsidR="004B287F" w:rsidRPr="003A6617" w:rsidRDefault="004B287F" w:rsidP="00A37E0D">
            <w:pPr>
              <w:rPr>
                <w:rFonts w:ascii="Times New Roman" w:hAnsi="Times New Roman" w:cs="Times New Roman"/>
                <w:sz w:val="10"/>
                <w:szCs w:val="11"/>
              </w:rPr>
            </w:pPr>
            <w:r w:rsidRPr="003A6617">
              <w:rPr>
                <w:rFonts w:ascii="Times New Roman" w:hAnsi="Times New Roman" w:cs="Times New Roman"/>
                <w:sz w:val="10"/>
                <w:szCs w:val="11"/>
              </w:rPr>
              <w:t>0.87 (0.60–1.27)</w:t>
            </w:r>
          </w:p>
        </w:tc>
        <w:tc>
          <w:tcPr>
            <w:tcW w:w="788" w:type="dxa"/>
            <w:noWrap/>
            <w:hideMark/>
          </w:tcPr>
          <w:p w14:paraId="769645AC" w14:textId="77777777" w:rsidR="004B287F" w:rsidRPr="003A6617" w:rsidRDefault="004B287F" w:rsidP="00A37E0D">
            <w:pPr>
              <w:rPr>
                <w:rFonts w:ascii="Times New Roman" w:hAnsi="Times New Roman" w:cs="Times New Roman"/>
                <w:sz w:val="10"/>
                <w:szCs w:val="11"/>
              </w:rPr>
            </w:pPr>
            <w:r w:rsidRPr="003A6617">
              <w:rPr>
                <w:rFonts w:ascii="Times New Roman" w:hAnsi="Times New Roman" w:cs="Times New Roman"/>
                <w:sz w:val="10"/>
                <w:szCs w:val="11"/>
              </w:rPr>
              <w:t>0.479</w:t>
            </w:r>
          </w:p>
        </w:tc>
      </w:tr>
      <w:tr w:rsidR="004B287F" w:rsidRPr="003A6617" w14:paraId="020543D7" w14:textId="77777777" w:rsidTr="00A37E0D">
        <w:trPr>
          <w:trHeight w:val="300"/>
          <w:jc w:val="center"/>
        </w:trPr>
        <w:tc>
          <w:tcPr>
            <w:tcW w:w="914" w:type="dxa"/>
            <w:noWrap/>
            <w:hideMark/>
          </w:tcPr>
          <w:p w14:paraId="4268C2DB" w14:textId="77777777" w:rsidR="004B287F" w:rsidRPr="003A6617" w:rsidRDefault="004B287F" w:rsidP="00A37E0D">
            <w:pPr>
              <w:rPr>
                <w:rFonts w:ascii="Times New Roman" w:hAnsi="Times New Roman" w:cs="Times New Roman"/>
                <w:b/>
                <w:bCs/>
                <w:sz w:val="10"/>
                <w:szCs w:val="11"/>
              </w:rPr>
            </w:pPr>
            <w:proofErr w:type="spellStart"/>
            <w:r w:rsidRPr="003A6617">
              <w:rPr>
                <w:rFonts w:ascii="Times New Roman" w:hAnsi="Times New Roman" w:cs="Times New Roman"/>
                <w:b/>
                <w:bCs/>
                <w:sz w:val="10"/>
                <w:szCs w:val="11"/>
              </w:rPr>
              <w:t>Postmenopause</w:t>
            </w:r>
            <w:proofErr w:type="spellEnd"/>
          </w:p>
        </w:tc>
        <w:tc>
          <w:tcPr>
            <w:tcW w:w="994" w:type="dxa"/>
            <w:noWrap/>
            <w:hideMark/>
          </w:tcPr>
          <w:p w14:paraId="480825B2" w14:textId="77777777" w:rsidR="004B287F" w:rsidRPr="003A6617" w:rsidRDefault="004B287F" w:rsidP="00A37E0D">
            <w:pPr>
              <w:rPr>
                <w:rFonts w:ascii="Times New Roman" w:hAnsi="Times New Roman" w:cs="Times New Roman"/>
                <w:sz w:val="10"/>
                <w:szCs w:val="11"/>
              </w:rPr>
            </w:pPr>
            <w:proofErr w:type="gramStart"/>
            <w:r w:rsidRPr="003A6617">
              <w:rPr>
                <w:rFonts w:ascii="Times New Roman" w:hAnsi="Times New Roman" w:cs="Times New Roman"/>
                <w:sz w:val="10"/>
                <w:szCs w:val="11"/>
              </w:rPr>
              <w:t>log(</w:t>
            </w:r>
            <w:proofErr w:type="gramEnd"/>
            <w:r w:rsidRPr="003A6617">
              <w:rPr>
                <w:rFonts w:ascii="Times New Roman" w:hAnsi="Times New Roman" w:cs="Times New Roman"/>
                <w:sz w:val="10"/>
                <w:szCs w:val="11"/>
              </w:rPr>
              <w:t>TT) per 1-SD</w:t>
            </w:r>
          </w:p>
        </w:tc>
        <w:tc>
          <w:tcPr>
            <w:tcW w:w="1206" w:type="dxa"/>
            <w:noWrap/>
            <w:hideMark/>
          </w:tcPr>
          <w:p w14:paraId="7B9B0B35" w14:textId="77777777" w:rsidR="004B287F" w:rsidRPr="003A6617" w:rsidRDefault="004B287F" w:rsidP="00A37E0D">
            <w:pPr>
              <w:rPr>
                <w:rFonts w:ascii="Times New Roman" w:hAnsi="Times New Roman" w:cs="Times New Roman"/>
                <w:sz w:val="10"/>
                <w:szCs w:val="11"/>
              </w:rPr>
            </w:pPr>
            <w:r w:rsidRPr="003A6617">
              <w:rPr>
                <w:rFonts w:ascii="Times New Roman" w:hAnsi="Times New Roman" w:cs="Times New Roman"/>
                <w:sz w:val="10"/>
                <w:szCs w:val="11"/>
              </w:rPr>
              <w:t>0.87 (0.73–1.04)</w:t>
            </w:r>
          </w:p>
        </w:tc>
        <w:tc>
          <w:tcPr>
            <w:tcW w:w="926" w:type="dxa"/>
            <w:noWrap/>
            <w:hideMark/>
          </w:tcPr>
          <w:p w14:paraId="0609DF87" w14:textId="77777777" w:rsidR="004B287F" w:rsidRPr="003A6617" w:rsidRDefault="004B287F" w:rsidP="00A37E0D">
            <w:pPr>
              <w:rPr>
                <w:rFonts w:ascii="Times New Roman" w:hAnsi="Times New Roman" w:cs="Times New Roman"/>
                <w:sz w:val="10"/>
                <w:szCs w:val="11"/>
              </w:rPr>
            </w:pPr>
            <w:r w:rsidRPr="003A6617">
              <w:rPr>
                <w:rFonts w:ascii="Times New Roman" w:hAnsi="Times New Roman" w:cs="Times New Roman"/>
                <w:sz w:val="10"/>
                <w:szCs w:val="11"/>
              </w:rPr>
              <w:t>0.123</w:t>
            </w:r>
          </w:p>
        </w:tc>
        <w:tc>
          <w:tcPr>
            <w:tcW w:w="1200" w:type="dxa"/>
            <w:noWrap/>
            <w:hideMark/>
          </w:tcPr>
          <w:p w14:paraId="43D0E77A" w14:textId="77777777" w:rsidR="004B287F" w:rsidRPr="003A6617" w:rsidRDefault="004B287F" w:rsidP="00A37E0D">
            <w:pPr>
              <w:rPr>
                <w:rFonts w:ascii="Times New Roman" w:hAnsi="Times New Roman" w:cs="Times New Roman"/>
                <w:sz w:val="10"/>
                <w:szCs w:val="11"/>
              </w:rPr>
            </w:pPr>
            <w:r w:rsidRPr="003A6617">
              <w:rPr>
                <w:rFonts w:ascii="Times New Roman" w:hAnsi="Times New Roman" w:cs="Times New Roman"/>
                <w:sz w:val="10"/>
                <w:szCs w:val="11"/>
              </w:rPr>
              <w:t>0.88 (0.75–1.03)</w:t>
            </w:r>
          </w:p>
        </w:tc>
        <w:tc>
          <w:tcPr>
            <w:tcW w:w="851" w:type="dxa"/>
            <w:noWrap/>
            <w:hideMark/>
          </w:tcPr>
          <w:p w14:paraId="404D1E51" w14:textId="77777777" w:rsidR="004B287F" w:rsidRPr="003A6617" w:rsidRDefault="004B287F" w:rsidP="00A37E0D">
            <w:pPr>
              <w:rPr>
                <w:rFonts w:ascii="Times New Roman" w:hAnsi="Times New Roman" w:cs="Times New Roman"/>
                <w:sz w:val="10"/>
                <w:szCs w:val="11"/>
              </w:rPr>
            </w:pPr>
            <w:r w:rsidRPr="003A6617">
              <w:rPr>
                <w:rFonts w:ascii="Times New Roman" w:hAnsi="Times New Roman" w:cs="Times New Roman"/>
                <w:sz w:val="10"/>
                <w:szCs w:val="11"/>
              </w:rPr>
              <w:t>0.122</w:t>
            </w:r>
          </w:p>
        </w:tc>
        <w:tc>
          <w:tcPr>
            <w:tcW w:w="1417" w:type="dxa"/>
            <w:noWrap/>
            <w:hideMark/>
          </w:tcPr>
          <w:p w14:paraId="6990F1F3" w14:textId="77777777" w:rsidR="004B287F" w:rsidRPr="003A6617" w:rsidRDefault="004B287F" w:rsidP="00A37E0D">
            <w:pPr>
              <w:rPr>
                <w:rFonts w:ascii="Times New Roman" w:hAnsi="Times New Roman" w:cs="Times New Roman"/>
                <w:sz w:val="10"/>
                <w:szCs w:val="11"/>
              </w:rPr>
            </w:pPr>
            <w:r w:rsidRPr="003A6617">
              <w:rPr>
                <w:rFonts w:ascii="Times New Roman" w:hAnsi="Times New Roman" w:cs="Times New Roman"/>
                <w:sz w:val="10"/>
                <w:szCs w:val="11"/>
              </w:rPr>
              <w:t>0.92 (0.78–1.08)</w:t>
            </w:r>
          </w:p>
        </w:tc>
        <w:tc>
          <w:tcPr>
            <w:tcW w:w="788" w:type="dxa"/>
            <w:noWrap/>
            <w:hideMark/>
          </w:tcPr>
          <w:p w14:paraId="789EE006" w14:textId="77777777" w:rsidR="004B287F" w:rsidRPr="003A6617" w:rsidRDefault="004B287F" w:rsidP="00A37E0D">
            <w:pPr>
              <w:rPr>
                <w:rFonts w:ascii="Times New Roman" w:hAnsi="Times New Roman" w:cs="Times New Roman"/>
                <w:sz w:val="10"/>
                <w:szCs w:val="11"/>
              </w:rPr>
            </w:pPr>
            <w:r w:rsidRPr="003A6617">
              <w:rPr>
                <w:rFonts w:ascii="Times New Roman" w:hAnsi="Times New Roman" w:cs="Times New Roman"/>
                <w:sz w:val="10"/>
                <w:szCs w:val="11"/>
              </w:rPr>
              <w:t>0.288</w:t>
            </w:r>
          </w:p>
        </w:tc>
      </w:tr>
    </w:tbl>
    <w:p w14:paraId="0ECF56EE" w14:textId="2C36D14A" w:rsidR="004D0DFD" w:rsidRPr="004D0DFD" w:rsidRDefault="004D0DFD" w:rsidP="004D0DFD">
      <w:pPr>
        <w:spacing w:after="0" w:line="240" w:lineRule="auto"/>
        <w:rPr>
          <w:rFonts w:ascii="Times New Roman" w:hAnsi="Times New Roman" w:cs="Times New Roman"/>
          <w:sz w:val="10"/>
          <w:szCs w:val="10"/>
        </w:rPr>
      </w:pPr>
      <w:r w:rsidRPr="004D0DFD">
        <w:rPr>
          <w:rFonts w:ascii="Times New Roman" w:hAnsi="Times New Roman" w:cs="Times New Roman"/>
          <w:sz w:val="10"/>
          <w:szCs w:val="10"/>
        </w:rPr>
        <w:t>Odds ratios (ORs) and 95% confidence intervals (CIs) were estimated using survey-weighted logistic regression models with multiple imputation. Log</w:t>
      </w:r>
      <w:r>
        <w:rPr>
          <w:rFonts w:ascii="Times New Roman" w:hAnsi="Times New Roman" w:cs="Times New Roman" w:hint="eastAsia"/>
          <w:sz w:val="10"/>
          <w:szCs w:val="10"/>
        </w:rPr>
        <w:t xml:space="preserve"> </w:t>
      </w:r>
      <w:r w:rsidRPr="004D0DFD">
        <w:rPr>
          <w:rFonts w:ascii="Times New Roman" w:hAnsi="Times New Roman" w:cs="Times New Roman"/>
          <w:sz w:val="10"/>
          <w:szCs w:val="10"/>
        </w:rPr>
        <w:t>(TT) was standardized, and ORs are reported per 1-standard deviation (SD) increase.</w:t>
      </w:r>
    </w:p>
    <w:p w14:paraId="1BE95560" w14:textId="617D1672" w:rsidR="004D0DFD" w:rsidRDefault="004D0DFD" w:rsidP="004D0DFD">
      <w:pPr>
        <w:spacing w:after="0" w:line="240" w:lineRule="auto"/>
        <w:rPr>
          <w:rFonts w:ascii="Times New Roman" w:hAnsi="Times New Roman" w:cs="Times New Roman" w:hint="eastAsia"/>
          <w:sz w:val="10"/>
          <w:szCs w:val="10"/>
        </w:rPr>
      </w:pPr>
      <w:r w:rsidRPr="004D0DFD">
        <w:rPr>
          <w:rFonts w:ascii="Times New Roman" w:hAnsi="Times New Roman" w:cs="Times New Roman"/>
          <w:sz w:val="10"/>
          <w:szCs w:val="10"/>
        </w:rPr>
        <w:t>Model 1 was adjusted for age</w:t>
      </w:r>
      <w:r>
        <w:rPr>
          <w:rFonts w:ascii="Times New Roman" w:hAnsi="Times New Roman" w:cs="Times New Roman" w:hint="eastAsia"/>
          <w:sz w:val="10"/>
          <w:szCs w:val="10"/>
        </w:rPr>
        <w:t>.</w:t>
      </w:r>
    </w:p>
    <w:p w14:paraId="6CF8694C" w14:textId="35DBDD2A" w:rsidR="004D0DFD" w:rsidRDefault="004D0DFD" w:rsidP="004D0DFD">
      <w:pPr>
        <w:spacing w:after="0" w:line="240" w:lineRule="auto"/>
        <w:rPr>
          <w:rFonts w:ascii="Times New Roman" w:hAnsi="Times New Roman" w:cs="Times New Roman" w:hint="eastAsia"/>
          <w:sz w:val="10"/>
          <w:szCs w:val="10"/>
        </w:rPr>
      </w:pPr>
      <w:proofErr w:type="gramStart"/>
      <w:r w:rsidRPr="004D0DFD">
        <w:rPr>
          <w:rFonts w:ascii="Times New Roman" w:hAnsi="Times New Roman" w:cs="Times New Roman"/>
          <w:sz w:val="10"/>
          <w:szCs w:val="10"/>
        </w:rPr>
        <w:t>.Model</w:t>
      </w:r>
      <w:proofErr w:type="gramEnd"/>
      <w:r w:rsidRPr="004D0DFD">
        <w:rPr>
          <w:rFonts w:ascii="Times New Roman" w:hAnsi="Times New Roman" w:cs="Times New Roman"/>
          <w:sz w:val="10"/>
          <w:szCs w:val="10"/>
        </w:rPr>
        <w:t xml:space="preserve"> 2 was additionally adjusted for race/ethnicity, education level, marital status, poverty–income ratio (PIR), smoking status, and alcohol consumption</w:t>
      </w:r>
      <w:r>
        <w:rPr>
          <w:rFonts w:ascii="Times New Roman" w:hAnsi="Times New Roman" w:cs="Times New Roman" w:hint="eastAsia"/>
          <w:sz w:val="10"/>
          <w:szCs w:val="10"/>
        </w:rPr>
        <w:t>.</w:t>
      </w:r>
    </w:p>
    <w:p w14:paraId="4346A407" w14:textId="5AB85742" w:rsidR="004D0DFD" w:rsidRPr="004D0DFD" w:rsidRDefault="004D0DFD" w:rsidP="004D0DFD">
      <w:pPr>
        <w:spacing w:after="0" w:line="240" w:lineRule="auto"/>
        <w:rPr>
          <w:rFonts w:ascii="Times New Roman" w:hAnsi="Times New Roman" w:cs="Times New Roman"/>
          <w:sz w:val="10"/>
          <w:szCs w:val="10"/>
        </w:rPr>
      </w:pPr>
      <w:r w:rsidRPr="004D0DFD">
        <w:rPr>
          <w:rFonts w:ascii="Times New Roman" w:hAnsi="Times New Roman" w:cs="Times New Roman"/>
          <w:sz w:val="10"/>
          <w:szCs w:val="10"/>
        </w:rPr>
        <w:t>Model 3 was further adjusted for diabetes, hypertension, and hyperlipidemia.</w:t>
      </w:r>
    </w:p>
    <w:p w14:paraId="080F89E5" w14:textId="77777777" w:rsidR="004D0DFD" w:rsidRPr="004D0DFD" w:rsidRDefault="004D0DFD" w:rsidP="004D0DFD">
      <w:pPr>
        <w:spacing w:after="0" w:line="240" w:lineRule="auto"/>
        <w:rPr>
          <w:rFonts w:ascii="Times New Roman" w:hAnsi="Times New Roman" w:cs="Times New Roman"/>
          <w:sz w:val="10"/>
          <w:szCs w:val="10"/>
        </w:rPr>
      </w:pPr>
      <w:r w:rsidRPr="004D0DFD">
        <w:rPr>
          <w:rFonts w:ascii="Times New Roman" w:hAnsi="Times New Roman" w:cs="Times New Roman"/>
          <w:sz w:val="10"/>
          <w:szCs w:val="10"/>
        </w:rPr>
        <w:t>All analyses accounted for the complex NHANES sampling design, including sample weights, strata, and primary sampling units. Estimates were pooled using Rubin’s rules. All P values are two-sided.</w:t>
      </w:r>
    </w:p>
    <w:p w14:paraId="5A79B194" w14:textId="77777777" w:rsidR="004B287F" w:rsidRPr="004D0DFD" w:rsidRDefault="004B287F" w:rsidP="00EA1204">
      <w:pPr>
        <w:rPr>
          <w:rFonts w:ascii="Times New Roman" w:hAnsi="Times New Roman" w:cs="Times New Roman"/>
          <w:b/>
          <w:bCs/>
          <w:sz w:val="16"/>
          <w:szCs w:val="16"/>
        </w:rPr>
      </w:pPr>
    </w:p>
    <w:p w14:paraId="6CE0504B" w14:textId="3A0F704B" w:rsidR="001E1B84" w:rsidRDefault="003A6617" w:rsidP="00EA1204">
      <w:pPr>
        <w:rPr>
          <w:rFonts w:ascii="Times New Roman" w:hAnsi="Times New Roman" w:cs="Times New Roman"/>
          <w:b/>
          <w:bCs/>
          <w:sz w:val="16"/>
          <w:szCs w:val="16"/>
        </w:rPr>
      </w:pPr>
      <w:r w:rsidRPr="003A6617">
        <w:rPr>
          <w:rFonts w:ascii="Times New Roman" w:hAnsi="Times New Roman" w:cs="Times New Roman" w:hint="eastAsia"/>
          <w:b/>
          <w:bCs/>
          <w:sz w:val="16"/>
          <w:szCs w:val="16"/>
        </w:rPr>
        <w:t>Table S2:</w:t>
      </w:r>
      <w:r>
        <w:rPr>
          <w:rFonts w:ascii="Times New Roman" w:hAnsi="Times New Roman" w:cs="Times New Roman" w:hint="eastAsia"/>
          <w:b/>
          <w:bCs/>
          <w:sz w:val="16"/>
          <w:szCs w:val="16"/>
        </w:rPr>
        <w:t xml:space="preserve"> </w:t>
      </w:r>
      <w:r w:rsidR="004D0DFD" w:rsidRPr="004D0DFD">
        <w:rPr>
          <w:rFonts w:ascii="Times New Roman" w:hAnsi="Times New Roman" w:cs="Times New Roman"/>
          <w:b/>
          <w:bCs/>
          <w:sz w:val="16"/>
          <w:szCs w:val="16"/>
        </w:rPr>
        <w:t>Joint association of standardized log-transformed total testosterone [</w:t>
      </w:r>
      <w:proofErr w:type="gramStart"/>
      <w:r w:rsidR="004D0DFD" w:rsidRPr="004D0DFD">
        <w:rPr>
          <w:rFonts w:ascii="Times New Roman" w:hAnsi="Times New Roman" w:cs="Times New Roman"/>
          <w:b/>
          <w:bCs/>
          <w:sz w:val="16"/>
          <w:szCs w:val="16"/>
        </w:rPr>
        <w:t>log(</w:t>
      </w:r>
      <w:proofErr w:type="gramEnd"/>
      <w:r w:rsidR="004D0DFD" w:rsidRPr="004D0DFD">
        <w:rPr>
          <w:rFonts w:ascii="Times New Roman" w:hAnsi="Times New Roman" w:cs="Times New Roman"/>
          <w:b/>
          <w:bCs/>
          <w:sz w:val="16"/>
          <w:szCs w:val="16"/>
        </w:rPr>
        <w:t>TT)] and testosterone-to-estradiol ratio [</w:t>
      </w:r>
      <w:proofErr w:type="gramStart"/>
      <w:r w:rsidR="004D0DFD" w:rsidRPr="004D0DFD">
        <w:rPr>
          <w:rFonts w:ascii="Times New Roman" w:hAnsi="Times New Roman" w:cs="Times New Roman"/>
          <w:b/>
          <w:bCs/>
          <w:sz w:val="16"/>
          <w:szCs w:val="16"/>
        </w:rPr>
        <w:t>log(</w:t>
      </w:r>
      <w:proofErr w:type="gramEnd"/>
      <w:r w:rsidR="004D0DFD" w:rsidRPr="004D0DFD">
        <w:rPr>
          <w:rFonts w:ascii="Times New Roman" w:hAnsi="Times New Roman" w:cs="Times New Roman"/>
          <w:b/>
          <w:bCs/>
          <w:sz w:val="16"/>
          <w:szCs w:val="16"/>
        </w:rPr>
        <w:t>TT/E2)] with coronary heart disease (CHD) in men</w:t>
      </w:r>
    </w:p>
    <w:p w14:paraId="2C4F8EB6" w14:textId="77777777" w:rsidR="00FF557D" w:rsidRPr="00FF557D" w:rsidRDefault="00FF557D" w:rsidP="00FF557D">
      <w:pPr>
        <w:jc w:val="both"/>
        <w:rPr>
          <w:rFonts w:ascii="Times New Roman" w:hAnsi="Times New Roman" w:cs="Times New Roman"/>
          <w:sz w:val="16"/>
          <w:szCs w:val="16"/>
        </w:rPr>
      </w:pPr>
      <w:r w:rsidRPr="00FF557D">
        <w:rPr>
          <w:rFonts w:ascii="Times New Roman" w:hAnsi="Times New Roman" w:cs="Times New Roman"/>
          <w:sz w:val="16"/>
          <w:szCs w:val="16"/>
        </w:rPr>
        <w:t>Survey-weighted logistic regression models accounting for the complex NHANES sampling design were fitted within each imputed dataset. The fully adjusted joint model simultaneously included standardized log (TT) and standardized log (TT/E2), along with age, race/ethnicity, education level, marital status, poverty–income ratio category, alcohol consumption, smoking status, diabetes, hypertension, and hyperlipidemia. Coronary heart disease was modeled as a binary outcome using a quasibinomial link function. Sampling weights, strata, and primary sampling units were incorporated using the survey design framework.</w:t>
      </w:r>
    </w:p>
    <w:p w14:paraId="1669325F" w14:textId="0322B79C" w:rsidR="00FF557D" w:rsidRPr="00FF557D" w:rsidRDefault="00FF557D" w:rsidP="00FF557D">
      <w:pPr>
        <w:jc w:val="both"/>
        <w:rPr>
          <w:rFonts w:ascii="Times New Roman" w:hAnsi="Times New Roman" w:cs="Times New Roman"/>
          <w:sz w:val="16"/>
          <w:szCs w:val="16"/>
        </w:rPr>
      </w:pPr>
      <w:r w:rsidRPr="00FF557D">
        <w:rPr>
          <w:rFonts w:ascii="Times New Roman" w:hAnsi="Times New Roman" w:cs="Times New Roman"/>
          <w:sz w:val="16"/>
          <w:szCs w:val="16"/>
        </w:rPr>
        <w:t>Estimates from each imputed dataset were combined using Rubin’s rules to obtain pooled regression coefficients, standard errors, odds ratios (ORs), and 95% confidence intervals (CIs). This joint modeling strategy allowed direct comparison of the independent contributions of testosterone and hormonal balance while accounting for their intrinsic correlation. The results were interpreted to determine whether either exposure provided incremental predictive value for CHD risk beyond the other in men.</w:t>
      </w:r>
    </w:p>
    <w:tbl>
      <w:tblPr>
        <w:tblStyle w:val="af2"/>
        <w:tblW w:w="0" w:type="auto"/>
        <w:tblLook w:val="04A0" w:firstRow="1" w:lastRow="0" w:firstColumn="1" w:lastColumn="0" w:noHBand="0" w:noVBand="1"/>
      </w:tblPr>
      <w:tblGrid>
        <w:gridCol w:w="1696"/>
        <w:gridCol w:w="1418"/>
        <w:gridCol w:w="1134"/>
        <w:gridCol w:w="1417"/>
        <w:gridCol w:w="993"/>
      </w:tblGrid>
      <w:tr w:rsidR="00075E3E" w:rsidRPr="00075E3E" w14:paraId="1703EA9B" w14:textId="77777777" w:rsidTr="003A6617">
        <w:trPr>
          <w:trHeight w:val="300"/>
        </w:trPr>
        <w:tc>
          <w:tcPr>
            <w:tcW w:w="1696" w:type="dxa"/>
            <w:noWrap/>
            <w:hideMark/>
          </w:tcPr>
          <w:p w14:paraId="222F4821" w14:textId="77777777" w:rsidR="00075E3E" w:rsidRPr="003A6617" w:rsidRDefault="00075E3E" w:rsidP="00075E3E">
            <w:pPr>
              <w:rPr>
                <w:rFonts w:ascii="Times New Roman" w:hAnsi="Times New Roman" w:cs="Times New Roman"/>
                <w:sz w:val="10"/>
                <w:szCs w:val="10"/>
              </w:rPr>
            </w:pPr>
            <w:r w:rsidRPr="003A6617">
              <w:rPr>
                <w:rFonts w:ascii="Times New Roman" w:hAnsi="Times New Roman" w:cs="Times New Roman"/>
                <w:sz w:val="10"/>
                <w:szCs w:val="10"/>
              </w:rPr>
              <w:t>Exposure</w:t>
            </w:r>
          </w:p>
        </w:tc>
        <w:tc>
          <w:tcPr>
            <w:tcW w:w="1418" w:type="dxa"/>
            <w:noWrap/>
            <w:hideMark/>
          </w:tcPr>
          <w:p w14:paraId="0AEEDD0D" w14:textId="77777777" w:rsidR="00075E3E" w:rsidRPr="003A6617" w:rsidRDefault="00075E3E">
            <w:pPr>
              <w:rPr>
                <w:rFonts w:ascii="Times New Roman" w:hAnsi="Times New Roman" w:cs="Times New Roman"/>
                <w:sz w:val="10"/>
                <w:szCs w:val="10"/>
              </w:rPr>
            </w:pPr>
            <w:r w:rsidRPr="003A6617">
              <w:rPr>
                <w:rFonts w:ascii="Times New Roman" w:hAnsi="Times New Roman" w:cs="Times New Roman"/>
                <w:sz w:val="10"/>
                <w:szCs w:val="10"/>
              </w:rPr>
              <w:t>OR</w:t>
            </w:r>
          </w:p>
        </w:tc>
        <w:tc>
          <w:tcPr>
            <w:tcW w:w="1134" w:type="dxa"/>
            <w:noWrap/>
            <w:hideMark/>
          </w:tcPr>
          <w:p w14:paraId="08A30502" w14:textId="77777777" w:rsidR="00075E3E" w:rsidRPr="003A6617" w:rsidRDefault="00075E3E">
            <w:pPr>
              <w:rPr>
                <w:rFonts w:ascii="Times New Roman" w:hAnsi="Times New Roman" w:cs="Times New Roman"/>
                <w:sz w:val="10"/>
                <w:szCs w:val="10"/>
              </w:rPr>
            </w:pPr>
            <w:proofErr w:type="spellStart"/>
            <w:r w:rsidRPr="003A6617">
              <w:rPr>
                <w:rFonts w:ascii="Times New Roman" w:hAnsi="Times New Roman" w:cs="Times New Roman"/>
                <w:sz w:val="10"/>
                <w:szCs w:val="10"/>
              </w:rPr>
              <w:t>OR_low</w:t>
            </w:r>
            <w:proofErr w:type="spellEnd"/>
          </w:p>
        </w:tc>
        <w:tc>
          <w:tcPr>
            <w:tcW w:w="1417" w:type="dxa"/>
            <w:noWrap/>
            <w:hideMark/>
          </w:tcPr>
          <w:p w14:paraId="7103C390" w14:textId="77777777" w:rsidR="00075E3E" w:rsidRPr="003A6617" w:rsidRDefault="00075E3E">
            <w:pPr>
              <w:rPr>
                <w:rFonts w:ascii="Times New Roman" w:hAnsi="Times New Roman" w:cs="Times New Roman"/>
                <w:sz w:val="10"/>
                <w:szCs w:val="10"/>
              </w:rPr>
            </w:pPr>
            <w:proofErr w:type="spellStart"/>
            <w:r w:rsidRPr="003A6617">
              <w:rPr>
                <w:rFonts w:ascii="Times New Roman" w:hAnsi="Times New Roman" w:cs="Times New Roman"/>
                <w:sz w:val="10"/>
                <w:szCs w:val="10"/>
              </w:rPr>
              <w:t>OR_high</w:t>
            </w:r>
            <w:proofErr w:type="spellEnd"/>
          </w:p>
        </w:tc>
        <w:tc>
          <w:tcPr>
            <w:tcW w:w="993" w:type="dxa"/>
            <w:noWrap/>
            <w:hideMark/>
          </w:tcPr>
          <w:p w14:paraId="3872611A" w14:textId="77777777" w:rsidR="00075E3E" w:rsidRPr="003A6617" w:rsidRDefault="00075E3E">
            <w:pPr>
              <w:rPr>
                <w:rFonts w:ascii="Times New Roman" w:hAnsi="Times New Roman" w:cs="Times New Roman"/>
                <w:sz w:val="10"/>
                <w:szCs w:val="10"/>
              </w:rPr>
            </w:pPr>
            <w:proofErr w:type="spellStart"/>
            <w:r w:rsidRPr="003A6617">
              <w:rPr>
                <w:rFonts w:ascii="Times New Roman" w:hAnsi="Times New Roman" w:cs="Times New Roman"/>
                <w:sz w:val="10"/>
                <w:szCs w:val="10"/>
              </w:rPr>
              <w:t>p_value</w:t>
            </w:r>
            <w:proofErr w:type="spellEnd"/>
          </w:p>
        </w:tc>
      </w:tr>
      <w:tr w:rsidR="00075E3E" w:rsidRPr="00075E3E" w14:paraId="6EFDD712" w14:textId="77777777" w:rsidTr="003A6617">
        <w:trPr>
          <w:trHeight w:val="300"/>
        </w:trPr>
        <w:tc>
          <w:tcPr>
            <w:tcW w:w="1696" w:type="dxa"/>
            <w:noWrap/>
            <w:hideMark/>
          </w:tcPr>
          <w:p w14:paraId="0C4BECB7" w14:textId="77777777" w:rsidR="00075E3E" w:rsidRPr="003A6617" w:rsidRDefault="00075E3E">
            <w:pPr>
              <w:rPr>
                <w:rFonts w:ascii="Times New Roman" w:hAnsi="Times New Roman" w:cs="Times New Roman"/>
                <w:sz w:val="10"/>
                <w:szCs w:val="10"/>
              </w:rPr>
            </w:pPr>
            <w:proofErr w:type="gramStart"/>
            <w:r w:rsidRPr="003A6617">
              <w:rPr>
                <w:rFonts w:ascii="Times New Roman" w:hAnsi="Times New Roman" w:cs="Times New Roman"/>
                <w:sz w:val="10"/>
                <w:szCs w:val="10"/>
              </w:rPr>
              <w:t>log(</w:t>
            </w:r>
            <w:proofErr w:type="gramEnd"/>
            <w:r w:rsidRPr="003A6617">
              <w:rPr>
                <w:rFonts w:ascii="Times New Roman" w:hAnsi="Times New Roman" w:cs="Times New Roman"/>
                <w:sz w:val="10"/>
                <w:szCs w:val="10"/>
              </w:rPr>
              <w:t>TT) per 1-SD</w:t>
            </w:r>
          </w:p>
        </w:tc>
        <w:tc>
          <w:tcPr>
            <w:tcW w:w="1418" w:type="dxa"/>
            <w:noWrap/>
            <w:hideMark/>
          </w:tcPr>
          <w:p w14:paraId="57C4E8FE" w14:textId="77777777" w:rsidR="00075E3E" w:rsidRPr="003A6617" w:rsidRDefault="00075E3E" w:rsidP="00075E3E">
            <w:pPr>
              <w:rPr>
                <w:rFonts w:ascii="Times New Roman" w:hAnsi="Times New Roman" w:cs="Times New Roman"/>
                <w:sz w:val="10"/>
                <w:szCs w:val="10"/>
              </w:rPr>
            </w:pPr>
            <w:r w:rsidRPr="003A6617">
              <w:rPr>
                <w:rFonts w:ascii="Times New Roman" w:hAnsi="Times New Roman" w:cs="Times New Roman"/>
                <w:sz w:val="10"/>
                <w:szCs w:val="10"/>
              </w:rPr>
              <w:t>0.929792495</w:t>
            </w:r>
          </w:p>
        </w:tc>
        <w:tc>
          <w:tcPr>
            <w:tcW w:w="1134" w:type="dxa"/>
            <w:noWrap/>
            <w:hideMark/>
          </w:tcPr>
          <w:p w14:paraId="382B412D" w14:textId="77777777" w:rsidR="00075E3E" w:rsidRPr="003A6617" w:rsidRDefault="00075E3E" w:rsidP="00075E3E">
            <w:pPr>
              <w:rPr>
                <w:rFonts w:ascii="Times New Roman" w:hAnsi="Times New Roman" w:cs="Times New Roman"/>
                <w:sz w:val="10"/>
                <w:szCs w:val="10"/>
              </w:rPr>
            </w:pPr>
            <w:r w:rsidRPr="003A6617">
              <w:rPr>
                <w:rFonts w:ascii="Times New Roman" w:hAnsi="Times New Roman" w:cs="Times New Roman"/>
                <w:sz w:val="10"/>
                <w:szCs w:val="10"/>
              </w:rPr>
              <w:t>0.760388208</w:t>
            </w:r>
          </w:p>
        </w:tc>
        <w:tc>
          <w:tcPr>
            <w:tcW w:w="1417" w:type="dxa"/>
            <w:noWrap/>
            <w:hideMark/>
          </w:tcPr>
          <w:p w14:paraId="6E701A36" w14:textId="77777777" w:rsidR="00075E3E" w:rsidRPr="003A6617" w:rsidRDefault="00075E3E" w:rsidP="00075E3E">
            <w:pPr>
              <w:rPr>
                <w:rFonts w:ascii="Times New Roman" w:hAnsi="Times New Roman" w:cs="Times New Roman"/>
                <w:sz w:val="10"/>
                <w:szCs w:val="10"/>
              </w:rPr>
            </w:pPr>
            <w:r w:rsidRPr="003A6617">
              <w:rPr>
                <w:rFonts w:ascii="Times New Roman" w:hAnsi="Times New Roman" w:cs="Times New Roman"/>
                <w:sz w:val="10"/>
                <w:szCs w:val="10"/>
              </w:rPr>
              <w:t>1.136937783</w:t>
            </w:r>
          </w:p>
        </w:tc>
        <w:tc>
          <w:tcPr>
            <w:tcW w:w="993" w:type="dxa"/>
            <w:noWrap/>
            <w:hideMark/>
          </w:tcPr>
          <w:p w14:paraId="5DAA72AA" w14:textId="77777777" w:rsidR="00075E3E" w:rsidRPr="003A6617" w:rsidRDefault="00075E3E" w:rsidP="00075E3E">
            <w:pPr>
              <w:rPr>
                <w:rFonts w:ascii="Times New Roman" w:hAnsi="Times New Roman" w:cs="Times New Roman"/>
                <w:sz w:val="10"/>
                <w:szCs w:val="10"/>
              </w:rPr>
            </w:pPr>
            <w:r w:rsidRPr="003A6617">
              <w:rPr>
                <w:rFonts w:ascii="Times New Roman" w:hAnsi="Times New Roman" w:cs="Times New Roman"/>
                <w:sz w:val="10"/>
                <w:szCs w:val="10"/>
              </w:rPr>
              <w:t>0.47809895</w:t>
            </w:r>
          </w:p>
        </w:tc>
      </w:tr>
      <w:tr w:rsidR="00075E3E" w:rsidRPr="00075E3E" w14:paraId="1DF4BF71" w14:textId="77777777" w:rsidTr="003A6617">
        <w:trPr>
          <w:trHeight w:val="300"/>
        </w:trPr>
        <w:tc>
          <w:tcPr>
            <w:tcW w:w="1696" w:type="dxa"/>
            <w:noWrap/>
            <w:hideMark/>
          </w:tcPr>
          <w:p w14:paraId="1B30BC49" w14:textId="34AF7ABA" w:rsidR="00075E3E" w:rsidRPr="003A6617" w:rsidRDefault="00075E3E">
            <w:pPr>
              <w:rPr>
                <w:rFonts w:ascii="Times New Roman" w:hAnsi="Times New Roman" w:cs="Times New Roman"/>
                <w:sz w:val="10"/>
                <w:szCs w:val="10"/>
              </w:rPr>
            </w:pPr>
            <w:r w:rsidRPr="003A6617">
              <w:rPr>
                <w:rFonts w:ascii="Times New Roman" w:hAnsi="Times New Roman" w:cs="Times New Roman"/>
                <w:sz w:val="10"/>
                <w:szCs w:val="10"/>
              </w:rPr>
              <w:t>log</w:t>
            </w:r>
            <w:r w:rsidRPr="003A6617">
              <w:rPr>
                <w:rFonts w:ascii="Times New Roman" w:hAnsi="Times New Roman" w:cs="Times New Roman" w:hint="eastAsia"/>
                <w:sz w:val="10"/>
                <w:szCs w:val="10"/>
              </w:rPr>
              <w:t xml:space="preserve"> </w:t>
            </w:r>
            <w:r w:rsidRPr="003A6617">
              <w:rPr>
                <w:rFonts w:ascii="Times New Roman" w:hAnsi="Times New Roman" w:cs="Times New Roman"/>
                <w:sz w:val="10"/>
                <w:szCs w:val="10"/>
              </w:rPr>
              <w:t>(TT/E2) per 1-SD</w:t>
            </w:r>
          </w:p>
        </w:tc>
        <w:tc>
          <w:tcPr>
            <w:tcW w:w="1418" w:type="dxa"/>
            <w:noWrap/>
            <w:hideMark/>
          </w:tcPr>
          <w:p w14:paraId="37B401FB" w14:textId="77777777" w:rsidR="00075E3E" w:rsidRPr="003A6617" w:rsidRDefault="00075E3E" w:rsidP="00075E3E">
            <w:pPr>
              <w:rPr>
                <w:rFonts w:ascii="Times New Roman" w:hAnsi="Times New Roman" w:cs="Times New Roman"/>
                <w:sz w:val="10"/>
                <w:szCs w:val="10"/>
              </w:rPr>
            </w:pPr>
            <w:r w:rsidRPr="003A6617">
              <w:rPr>
                <w:rFonts w:ascii="Times New Roman" w:hAnsi="Times New Roman" w:cs="Times New Roman"/>
                <w:sz w:val="10"/>
                <w:szCs w:val="10"/>
              </w:rPr>
              <w:t>0.857094161</w:t>
            </w:r>
          </w:p>
        </w:tc>
        <w:tc>
          <w:tcPr>
            <w:tcW w:w="1134" w:type="dxa"/>
            <w:noWrap/>
            <w:hideMark/>
          </w:tcPr>
          <w:p w14:paraId="0FBCBC46" w14:textId="77777777" w:rsidR="00075E3E" w:rsidRPr="003A6617" w:rsidRDefault="00075E3E" w:rsidP="00075E3E">
            <w:pPr>
              <w:rPr>
                <w:rFonts w:ascii="Times New Roman" w:hAnsi="Times New Roman" w:cs="Times New Roman"/>
                <w:sz w:val="10"/>
                <w:szCs w:val="10"/>
              </w:rPr>
            </w:pPr>
            <w:r w:rsidRPr="003A6617">
              <w:rPr>
                <w:rFonts w:ascii="Times New Roman" w:hAnsi="Times New Roman" w:cs="Times New Roman"/>
                <w:sz w:val="10"/>
                <w:szCs w:val="10"/>
              </w:rPr>
              <w:t>0.68611477</w:t>
            </w:r>
          </w:p>
        </w:tc>
        <w:tc>
          <w:tcPr>
            <w:tcW w:w="1417" w:type="dxa"/>
            <w:noWrap/>
            <w:hideMark/>
          </w:tcPr>
          <w:p w14:paraId="568F84D9" w14:textId="77777777" w:rsidR="00075E3E" w:rsidRPr="003A6617" w:rsidRDefault="00075E3E" w:rsidP="00075E3E">
            <w:pPr>
              <w:rPr>
                <w:rFonts w:ascii="Times New Roman" w:hAnsi="Times New Roman" w:cs="Times New Roman"/>
                <w:sz w:val="10"/>
                <w:szCs w:val="10"/>
              </w:rPr>
            </w:pPr>
            <w:r w:rsidRPr="003A6617">
              <w:rPr>
                <w:rFonts w:ascii="Times New Roman" w:hAnsi="Times New Roman" w:cs="Times New Roman"/>
                <w:sz w:val="10"/>
                <w:szCs w:val="10"/>
              </w:rPr>
              <w:t>1.070681514</w:t>
            </w:r>
          </w:p>
        </w:tc>
        <w:tc>
          <w:tcPr>
            <w:tcW w:w="993" w:type="dxa"/>
            <w:noWrap/>
            <w:hideMark/>
          </w:tcPr>
          <w:p w14:paraId="5AE8543E" w14:textId="77777777" w:rsidR="00075E3E" w:rsidRPr="003A6617" w:rsidRDefault="00075E3E" w:rsidP="00075E3E">
            <w:pPr>
              <w:rPr>
                <w:rFonts w:ascii="Times New Roman" w:hAnsi="Times New Roman" w:cs="Times New Roman"/>
                <w:sz w:val="10"/>
                <w:szCs w:val="10"/>
              </w:rPr>
            </w:pPr>
            <w:r w:rsidRPr="003A6617">
              <w:rPr>
                <w:rFonts w:ascii="Times New Roman" w:hAnsi="Times New Roman" w:cs="Times New Roman"/>
                <w:sz w:val="10"/>
                <w:szCs w:val="10"/>
              </w:rPr>
              <w:t>0.17433852</w:t>
            </w:r>
          </w:p>
        </w:tc>
      </w:tr>
    </w:tbl>
    <w:p w14:paraId="153FE360" w14:textId="77777777" w:rsidR="004D0DFD" w:rsidRPr="004D0DFD" w:rsidRDefault="004D0DFD" w:rsidP="004D0DFD">
      <w:pPr>
        <w:spacing w:after="0" w:line="240" w:lineRule="auto"/>
        <w:jc w:val="both"/>
        <w:rPr>
          <w:rFonts w:ascii="Times New Roman" w:hAnsi="Times New Roman" w:cs="Times New Roman"/>
          <w:sz w:val="10"/>
          <w:szCs w:val="10"/>
        </w:rPr>
      </w:pPr>
      <w:r w:rsidRPr="004D0DFD">
        <w:rPr>
          <w:rFonts w:ascii="Times New Roman" w:hAnsi="Times New Roman" w:cs="Times New Roman"/>
          <w:sz w:val="10"/>
          <w:szCs w:val="10"/>
        </w:rPr>
        <w:t xml:space="preserve">Survey-weighted logistic regression models with multiple imputation were used to estimate odds ratios (ORs) and 95% confidence intervals (CIs). Both </w:t>
      </w:r>
      <w:proofErr w:type="gramStart"/>
      <w:r w:rsidRPr="004D0DFD">
        <w:rPr>
          <w:rFonts w:ascii="Times New Roman" w:hAnsi="Times New Roman" w:cs="Times New Roman"/>
          <w:sz w:val="10"/>
          <w:szCs w:val="10"/>
        </w:rPr>
        <w:t>log(</w:t>
      </w:r>
      <w:proofErr w:type="gramEnd"/>
      <w:r w:rsidRPr="004D0DFD">
        <w:rPr>
          <w:rFonts w:ascii="Times New Roman" w:hAnsi="Times New Roman" w:cs="Times New Roman"/>
          <w:sz w:val="10"/>
          <w:szCs w:val="10"/>
        </w:rPr>
        <w:t xml:space="preserve">TT) and </w:t>
      </w:r>
      <w:proofErr w:type="gramStart"/>
      <w:r w:rsidRPr="004D0DFD">
        <w:rPr>
          <w:rFonts w:ascii="Times New Roman" w:hAnsi="Times New Roman" w:cs="Times New Roman"/>
          <w:sz w:val="10"/>
          <w:szCs w:val="10"/>
        </w:rPr>
        <w:t>log(</w:t>
      </w:r>
      <w:proofErr w:type="gramEnd"/>
      <w:r w:rsidRPr="004D0DFD">
        <w:rPr>
          <w:rFonts w:ascii="Times New Roman" w:hAnsi="Times New Roman" w:cs="Times New Roman"/>
          <w:sz w:val="10"/>
          <w:szCs w:val="10"/>
        </w:rPr>
        <w:t>TT/E2) were standardized and simultaneously included in the fully adjusted model.</w:t>
      </w:r>
    </w:p>
    <w:p w14:paraId="4F028B7A" w14:textId="77777777" w:rsidR="004D0DFD" w:rsidRPr="004D0DFD" w:rsidRDefault="004D0DFD" w:rsidP="004D0DFD">
      <w:pPr>
        <w:spacing w:after="0" w:line="240" w:lineRule="auto"/>
        <w:jc w:val="both"/>
        <w:rPr>
          <w:rFonts w:ascii="Times New Roman" w:hAnsi="Times New Roman" w:cs="Times New Roman"/>
          <w:sz w:val="10"/>
          <w:szCs w:val="10"/>
        </w:rPr>
      </w:pPr>
      <w:r w:rsidRPr="004D0DFD">
        <w:rPr>
          <w:rFonts w:ascii="Times New Roman" w:hAnsi="Times New Roman" w:cs="Times New Roman"/>
          <w:sz w:val="10"/>
          <w:szCs w:val="10"/>
        </w:rPr>
        <w:t>Models were adjusted for age, race/ethnicity, education level, marital status, poverty–income ratio (PIR), smoking status, alcohol consumption, diabetes, hypertension, and hyperlipidemia.</w:t>
      </w:r>
    </w:p>
    <w:p w14:paraId="2FADAA9A" w14:textId="77777777" w:rsidR="004D0DFD" w:rsidRPr="004D0DFD" w:rsidRDefault="004D0DFD" w:rsidP="004D0DFD">
      <w:pPr>
        <w:spacing w:after="0" w:line="240" w:lineRule="auto"/>
        <w:jc w:val="both"/>
        <w:rPr>
          <w:rFonts w:ascii="Times New Roman" w:hAnsi="Times New Roman" w:cs="Times New Roman"/>
          <w:sz w:val="10"/>
          <w:szCs w:val="10"/>
        </w:rPr>
      </w:pPr>
      <w:r w:rsidRPr="004D0DFD">
        <w:rPr>
          <w:rFonts w:ascii="Times New Roman" w:hAnsi="Times New Roman" w:cs="Times New Roman"/>
          <w:sz w:val="10"/>
          <w:szCs w:val="10"/>
        </w:rPr>
        <w:t>All analyses accounted for the complex NHANES sampling design. Estimates were pooled using Rubin’s rules. ORs are presented per 1-SD increase. All P values are two-sided.</w:t>
      </w:r>
    </w:p>
    <w:p w14:paraId="1D00AEA0" w14:textId="77777777" w:rsidR="00A37E0D" w:rsidRPr="004D0DFD" w:rsidRDefault="00A37E0D" w:rsidP="004B287F">
      <w:pPr>
        <w:jc w:val="both"/>
        <w:rPr>
          <w:rFonts w:ascii="Times New Roman" w:hAnsi="Times New Roman" w:cs="Times New Roman"/>
          <w:b/>
          <w:bCs/>
          <w:sz w:val="16"/>
          <w:szCs w:val="16"/>
        </w:rPr>
      </w:pPr>
    </w:p>
    <w:p w14:paraId="6192BBD8" w14:textId="3AC67B6B" w:rsidR="004B287F" w:rsidRPr="004B287F" w:rsidRDefault="004B287F" w:rsidP="004B287F">
      <w:pPr>
        <w:jc w:val="both"/>
        <w:rPr>
          <w:rFonts w:ascii="Times New Roman" w:hAnsi="Times New Roman" w:cs="Times New Roman"/>
          <w:b/>
          <w:bCs/>
          <w:sz w:val="16"/>
          <w:szCs w:val="16"/>
        </w:rPr>
      </w:pPr>
      <w:r w:rsidRPr="004B287F">
        <w:rPr>
          <w:rFonts w:ascii="Times New Roman" w:hAnsi="Times New Roman" w:cs="Times New Roman" w:hint="eastAsia"/>
          <w:b/>
          <w:bCs/>
          <w:sz w:val="16"/>
          <w:szCs w:val="16"/>
        </w:rPr>
        <w:t xml:space="preserve">Table S3: </w:t>
      </w:r>
      <w:r w:rsidR="004D0DFD" w:rsidRPr="004D0DFD">
        <w:rPr>
          <w:rFonts w:ascii="Times New Roman" w:hAnsi="Times New Roman" w:cs="Times New Roman"/>
          <w:b/>
          <w:bCs/>
          <w:sz w:val="16"/>
          <w:szCs w:val="16"/>
        </w:rPr>
        <w:t>Association between standardized log-transformed estradiol [log(E2)] and coronary heart disease (CHD), stratified by sex and menopausal status</w:t>
      </w:r>
    </w:p>
    <w:tbl>
      <w:tblPr>
        <w:tblStyle w:val="af2"/>
        <w:tblW w:w="0" w:type="auto"/>
        <w:jc w:val="center"/>
        <w:tblLook w:val="04A0" w:firstRow="1" w:lastRow="0" w:firstColumn="1" w:lastColumn="0" w:noHBand="0" w:noVBand="1"/>
      </w:tblPr>
      <w:tblGrid>
        <w:gridCol w:w="995"/>
        <w:gridCol w:w="996"/>
        <w:gridCol w:w="1314"/>
        <w:gridCol w:w="829"/>
        <w:gridCol w:w="1248"/>
        <w:gridCol w:w="850"/>
        <w:gridCol w:w="1235"/>
        <w:gridCol w:w="829"/>
      </w:tblGrid>
      <w:tr w:rsidR="004B287F" w:rsidRPr="004B287F" w14:paraId="3963AF08" w14:textId="77777777" w:rsidTr="00A37E0D">
        <w:trPr>
          <w:trHeight w:val="300"/>
          <w:jc w:val="center"/>
        </w:trPr>
        <w:tc>
          <w:tcPr>
            <w:tcW w:w="995" w:type="dxa"/>
            <w:noWrap/>
            <w:hideMark/>
          </w:tcPr>
          <w:p w14:paraId="439239D2" w14:textId="77777777" w:rsidR="004B287F" w:rsidRPr="004B287F" w:rsidRDefault="004B287F" w:rsidP="004B287F">
            <w:pPr>
              <w:rPr>
                <w:rFonts w:ascii="Times New Roman" w:hAnsi="Times New Roman" w:cs="Times New Roman"/>
                <w:b/>
                <w:bCs/>
                <w:sz w:val="10"/>
                <w:szCs w:val="10"/>
              </w:rPr>
            </w:pPr>
            <w:r w:rsidRPr="004B287F">
              <w:rPr>
                <w:rFonts w:ascii="Times New Roman" w:hAnsi="Times New Roman" w:cs="Times New Roman"/>
                <w:b/>
                <w:bCs/>
                <w:sz w:val="10"/>
                <w:szCs w:val="10"/>
              </w:rPr>
              <w:t>Group</w:t>
            </w:r>
          </w:p>
        </w:tc>
        <w:tc>
          <w:tcPr>
            <w:tcW w:w="996" w:type="dxa"/>
            <w:noWrap/>
            <w:hideMark/>
          </w:tcPr>
          <w:p w14:paraId="5BC0F991" w14:textId="77777777" w:rsidR="004B287F" w:rsidRPr="004B287F" w:rsidRDefault="004B287F">
            <w:pPr>
              <w:rPr>
                <w:rFonts w:ascii="Times New Roman" w:hAnsi="Times New Roman" w:cs="Times New Roman"/>
                <w:b/>
                <w:bCs/>
                <w:sz w:val="10"/>
                <w:szCs w:val="10"/>
              </w:rPr>
            </w:pPr>
            <w:r w:rsidRPr="004B287F">
              <w:rPr>
                <w:rFonts w:ascii="Times New Roman" w:hAnsi="Times New Roman" w:cs="Times New Roman"/>
                <w:b/>
                <w:bCs/>
                <w:sz w:val="10"/>
                <w:szCs w:val="10"/>
              </w:rPr>
              <w:t>Exposure</w:t>
            </w:r>
          </w:p>
        </w:tc>
        <w:tc>
          <w:tcPr>
            <w:tcW w:w="1314" w:type="dxa"/>
            <w:noWrap/>
            <w:hideMark/>
          </w:tcPr>
          <w:p w14:paraId="15330612" w14:textId="77777777" w:rsidR="004B287F" w:rsidRPr="004B287F" w:rsidRDefault="004B287F">
            <w:pPr>
              <w:rPr>
                <w:rFonts w:ascii="Times New Roman" w:hAnsi="Times New Roman" w:cs="Times New Roman"/>
                <w:b/>
                <w:bCs/>
                <w:sz w:val="10"/>
                <w:szCs w:val="10"/>
              </w:rPr>
            </w:pPr>
            <w:r w:rsidRPr="004B287F">
              <w:rPr>
                <w:rFonts w:ascii="Times New Roman" w:hAnsi="Times New Roman" w:cs="Times New Roman"/>
                <w:b/>
                <w:bCs/>
                <w:sz w:val="10"/>
                <w:szCs w:val="10"/>
              </w:rPr>
              <w:t>Model 1 OR (95% CI)</w:t>
            </w:r>
          </w:p>
        </w:tc>
        <w:tc>
          <w:tcPr>
            <w:tcW w:w="829" w:type="dxa"/>
            <w:noWrap/>
            <w:hideMark/>
          </w:tcPr>
          <w:p w14:paraId="617CA492" w14:textId="77777777" w:rsidR="004B287F" w:rsidRPr="004B287F" w:rsidRDefault="004B287F">
            <w:pPr>
              <w:rPr>
                <w:rFonts w:ascii="Times New Roman" w:hAnsi="Times New Roman" w:cs="Times New Roman"/>
                <w:b/>
                <w:bCs/>
                <w:sz w:val="10"/>
                <w:szCs w:val="10"/>
              </w:rPr>
            </w:pPr>
            <w:r w:rsidRPr="004B287F">
              <w:rPr>
                <w:rFonts w:ascii="Times New Roman" w:hAnsi="Times New Roman" w:cs="Times New Roman"/>
                <w:b/>
                <w:bCs/>
                <w:sz w:val="10"/>
                <w:szCs w:val="10"/>
              </w:rPr>
              <w:t>P value (M1)</w:t>
            </w:r>
          </w:p>
        </w:tc>
        <w:tc>
          <w:tcPr>
            <w:tcW w:w="1248" w:type="dxa"/>
            <w:noWrap/>
            <w:hideMark/>
          </w:tcPr>
          <w:p w14:paraId="05C2728C" w14:textId="77777777" w:rsidR="004B287F" w:rsidRPr="004B287F" w:rsidRDefault="004B287F">
            <w:pPr>
              <w:rPr>
                <w:rFonts w:ascii="Times New Roman" w:hAnsi="Times New Roman" w:cs="Times New Roman"/>
                <w:b/>
                <w:bCs/>
                <w:sz w:val="10"/>
                <w:szCs w:val="10"/>
              </w:rPr>
            </w:pPr>
            <w:r w:rsidRPr="004B287F">
              <w:rPr>
                <w:rFonts w:ascii="Times New Roman" w:hAnsi="Times New Roman" w:cs="Times New Roman"/>
                <w:b/>
                <w:bCs/>
                <w:sz w:val="10"/>
                <w:szCs w:val="10"/>
              </w:rPr>
              <w:t>Model 2 OR (95% CI)</w:t>
            </w:r>
          </w:p>
        </w:tc>
        <w:tc>
          <w:tcPr>
            <w:tcW w:w="850" w:type="dxa"/>
            <w:noWrap/>
            <w:hideMark/>
          </w:tcPr>
          <w:p w14:paraId="0FB121DB" w14:textId="77777777" w:rsidR="004B287F" w:rsidRPr="004B287F" w:rsidRDefault="004B287F">
            <w:pPr>
              <w:rPr>
                <w:rFonts w:ascii="Times New Roman" w:hAnsi="Times New Roman" w:cs="Times New Roman"/>
                <w:b/>
                <w:bCs/>
                <w:sz w:val="10"/>
                <w:szCs w:val="10"/>
              </w:rPr>
            </w:pPr>
            <w:r w:rsidRPr="004B287F">
              <w:rPr>
                <w:rFonts w:ascii="Times New Roman" w:hAnsi="Times New Roman" w:cs="Times New Roman"/>
                <w:b/>
                <w:bCs/>
                <w:sz w:val="10"/>
                <w:szCs w:val="10"/>
              </w:rPr>
              <w:t>P value (M2)</w:t>
            </w:r>
          </w:p>
        </w:tc>
        <w:tc>
          <w:tcPr>
            <w:tcW w:w="1235" w:type="dxa"/>
            <w:noWrap/>
            <w:hideMark/>
          </w:tcPr>
          <w:p w14:paraId="196C7C7E" w14:textId="77777777" w:rsidR="004B287F" w:rsidRPr="004B287F" w:rsidRDefault="004B287F">
            <w:pPr>
              <w:rPr>
                <w:rFonts w:ascii="Times New Roman" w:hAnsi="Times New Roman" w:cs="Times New Roman"/>
                <w:b/>
                <w:bCs/>
                <w:sz w:val="10"/>
                <w:szCs w:val="10"/>
              </w:rPr>
            </w:pPr>
            <w:r w:rsidRPr="004B287F">
              <w:rPr>
                <w:rFonts w:ascii="Times New Roman" w:hAnsi="Times New Roman" w:cs="Times New Roman"/>
                <w:b/>
                <w:bCs/>
                <w:sz w:val="10"/>
                <w:szCs w:val="10"/>
              </w:rPr>
              <w:t>Model 3 OR (95% CI)</w:t>
            </w:r>
          </w:p>
        </w:tc>
        <w:tc>
          <w:tcPr>
            <w:tcW w:w="829" w:type="dxa"/>
            <w:noWrap/>
            <w:hideMark/>
          </w:tcPr>
          <w:p w14:paraId="71F0AE82" w14:textId="77777777" w:rsidR="004B287F" w:rsidRPr="004B287F" w:rsidRDefault="004B287F">
            <w:pPr>
              <w:rPr>
                <w:rFonts w:ascii="Times New Roman" w:hAnsi="Times New Roman" w:cs="Times New Roman"/>
                <w:b/>
                <w:bCs/>
                <w:sz w:val="10"/>
                <w:szCs w:val="10"/>
              </w:rPr>
            </w:pPr>
            <w:r w:rsidRPr="004B287F">
              <w:rPr>
                <w:rFonts w:ascii="Times New Roman" w:hAnsi="Times New Roman" w:cs="Times New Roman"/>
                <w:b/>
                <w:bCs/>
                <w:sz w:val="10"/>
                <w:szCs w:val="10"/>
              </w:rPr>
              <w:t>P value (M3)</w:t>
            </w:r>
          </w:p>
        </w:tc>
      </w:tr>
      <w:tr w:rsidR="004B287F" w:rsidRPr="004B287F" w14:paraId="358F052E" w14:textId="77777777" w:rsidTr="00A37E0D">
        <w:trPr>
          <w:trHeight w:val="300"/>
          <w:jc w:val="center"/>
        </w:trPr>
        <w:tc>
          <w:tcPr>
            <w:tcW w:w="995" w:type="dxa"/>
            <w:noWrap/>
            <w:hideMark/>
          </w:tcPr>
          <w:p w14:paraId="403E9ED9" w14:textId="77777777" w:rsidR="004B287F" w:rsidRPr="004B287F" w:rsidRDefault="004B287F">
            <w:pPr>
              <w:rPr>
                <w:rFonts w:ascii="Times New Roman" w:hAnsi="Times New Roman" w:cs="Times New Roman"/>
                <w:b/>
                <w:bCs/>
                <w:sz w:val="10"/>
                <w:szCs w:val="10"/>
              </w:rPr>
            </w:pPr>
            <w:r w:rsidRPr="004B287F">
              <w:rPr>
                <w:rFonts w:ascii="Times New Roman" w:hAnsi="Times New Roman" w:cs="Times New Roman"/>
                <w:b/>
                <w:bCs/>
                <w:sz w:val="10"/>
                <w:szCs w:val="10"/>
              </w:rPr>
              <w:lastRenderedPageBreak/>
              <w:t>Men</w:t>
            </w:r>
          </w:p>
        </w:tc>
        <w:tc>
          <w:tcPr>
            <w:tcW w:w="996" w:type="dxa"/>
            <w:noWrap/>
            <w:hideMark/>
          </w:tcPr>
          <w:p w14:paraId="3D60B59C"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log(E2) per 1-SD</w:t>
            </w:r>
          </w:p>
        </w:tc>
        <w:tc>
          <w:tcPr>
            <w:tcW w:w="1314" w:type="dxa"/>
            <w:noWrap/>
            <w:hideMark/>
          </w:tcPr>
          <w:p w14:paraId="42240627"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0.89 (0.73–1.09)</w:t>
            </w:r>
          </w:p>
        </w:tc>
        <w:tc>
          <w:tcPr>
            <w:tcW w:w="829" w:type="dxa"/>
            <w:noWrap/>
            <w:hideMark/>
          </w:tcPr>
          <w:p w14:paraId="7B0CCFE5"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0.254</w:t>
            </w:r>
          </w:p>
        </w:tc>
        <w:tc>
          <w:tcPr>
            <w:tcW w:w="1248" w:type="dxa"/>
            <w:noWrap/>
            <w:hideMark/>
          </w:tcPr>
          <w:p w14:paraId="35907A34"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0.98 (0.82–1.17)</w:t>
            </w:r>
          </w:p>
        </w:tc>
        <w:tc>
          <w:tcPr>
            <w:tcW w:w="850" w:type="dxa"/>
            <w:noWrap/>
            <w:hideMark/>
          </w:tcPr>
          <w:p w14:paraId="02ACFA08"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0.832</w:t>
            </w:r>
          </w:p>
        </w:tc>
        <w:tc>
          <w:tcPr>
            <w:tcW w:w="1235" w:type="dxa"/>
            <w:noWrap/>
            <w:hideMark/>
          </w:tcPr>
          <w:p w14:paraId="4100AFEA"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0.97 (0.81–1.16)</w:t>
            </w:r>
          </w:p>
        </w:tc>
        <w:tc>
          <w:tcPr>
            <w:tcW w:w="829" w:type="dxa"/>
            <w:noWrap/>
            <w:hideMark/>
          </w:tcPr>
          <w:p w14:paraId="526987E4"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0.756</w:t>
            </w:r>
          </w:p>
        </w:tc>
      </w:tr>
      <w:tr w:rsidR="004B287F" w:rsidRPr="004B287F" w14:paraId="17F21A82" w14:textId="77777777" w:rsidTr="00A37E0D">
        <w:trPr>
          <w:trHeight w:val="300"/>
          <w:jc w:val="center"/>
        </w:trPr>
        <w:tc>
          <w:tcPr>
            <w:tcW w:w="995" w:type="dxa"/>
            <w:noWrap/>
            <w:hideMark/>
          </w:tcPr>
          <w:p w14:paraId="4AC676E6" w14:textId="77777777" w:rsidR="004B287F" w:rsidRPr="004B287F" w:rsidRDefault="004B287F">
            <w:pPr>
              <w:rPr>
                <w:rFonts w:ascii="Times New Roman" w:hAnsi="Times New Roman" w:cs="Times New Roman"/>
                <w:b/>
                <w:bCs/>
                <w:sz w:val="10"/>
                <w:szCs w:val="10"/>
              </w:rPr>
            </w:pPr>
            <w:r w:rsidRPr="004B287F">
              <w:rPr>
                <w:rFonts w:ascii="Times New Roman" w:hAnsi="Times New Roman" w:cs="Times New Roman"/>
                <w:b/>
                <w:bCs/>
                <w:sz w:val="10"/>
                <w:szCs w:val="10"/>
              </w:rPr>
              <w:t>Women</w:t>
            </w:r>
          </w:p>
        </w:tc>
        <w:tc>
          <w:tcPr>
            <w:tcW w:w="996" w:type="dxa"/>
            <w:noWrap/>
            <w:hideMark/>
          </w:tcPr>
          <w:p w14:paraId="3ACC3071"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log(E2) per 1-SD</w:t>
            </w:r>
          </w:p>
        </w:tc>
        <w:tc>
          <w:tcPr>
            <w:tcW w:w="1314" w:type="dxa"/>
            <w:noWrap/>
            <w:hideMark/>
          </w:tcPr>
          <w:p w14:paraId="466B458D"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0.51 (0.44–0.58)</w:t>
            </w:r>
          </w:p>
        </w:tc>
        <w:tc>
          <w:tcPr>
            <w:tcW w:w="829" w:type="dxa"/>
            <w:noWrap/>
            <w:hideMark/>
          </w:tcPr>
          <w:p w14:paraId="1C581EA5"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&lt;0.001</w:t>
            </w:r>
          </w:p>
        </w:tc>
        <w:tc>
          <w:tcPr>
            <w:tcW w:w="1248" w:type="dxa"/>
            <w:noWrap/>
            <w:hideMark/>
          </w:tcPr>
          <w:p w14:paraId="7B9C7369"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0.84 (0.70–1.01)</w:t>
            </w:r>
          </w:p>
        </w:tc>
        <w:tc>
          <w:tcPr>
            <w:tcW w:w="850" w:type="dxa"/>
            <w:noWrap/>
            <w:hideMark/>
          </w:tcPr>
          <w:p w14:paraId="3C046A52"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0.057</w:t>
            </w:r>
          </w:p>
        </w:tc>
        <w:tc>
          <w:tcPr>
            <w:tcW w:w="1235" w:type="dxa"/>
            <w:noWrap/>
            <w:hideMark/>
          </w:tcPr>
          <w:p w14:paraId="106FAA47"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0.85 (0.71–1.02)</w:t>
            </w:r>
          </w:p>
        </w:tc>
        <w:tc>
          <w:tcPr>
            <w:tcW w:w="829" w:type="dxa"/>
            <w:noWrap/>
            <w:hideMark/>
          </w:tcPr>
          <w:p w14:paraId="26E41B25"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0.076</w:t>
            </w:r>
          </w:p>
        </w:tc>
      </w:tr>
      <w:tr w:rsidR="004B287F" w:rsidRPr="004B287F" w14:paraId="6A73220D" w14:textId="77777777" w:rsidTr="00A37E0D">
        <w:trPr>
          <w:trHeight w:val="300"/>
          <w:jc w:val="center"/>
        </w:trPr>
        <w:tc>
          <w:tcPr>
            <w:tcW w:w="995" w:type="dxa"/>
            <w:noWrap/>
            <w:hideMark/>
          </w:tcPr>
          <w:p w14:paraId="3DEFAC51" w14:textId="77777777" w:rsidR="004B287F" w:rsidRPr="004B287F" w:rsidRDefault="004B287F">
            <w:pPr>
              <w:rPr>
                <w:rFonts w:ascii="Times New Roman" w:hAnsi="Times New Roman" w:cs="Times New Roman"/>
                <w:b/>
                <w:bCs/>
                <w:sz w:val="10"/>
                <w:szCs w:val="10"/>
              </w:rPr>
            </w:pPr>
            <w:proofErr w:type="spellStart"/>
            <w:r w:rsidRPr="004B287F">
              <w:rPr>
                <w:rFonts w:ascii="Times New Roman" w:hAnsi="Times New Roman" w:cs="Times New Roman"/>
                <w:b/>
                <w:bCs/>
                <w:sz w:val="10"/>
                <w:szCs w:val="10"/>
              </w:rPr>
              <w:t>Premenopause</w:t>
            </w:r>
            <w:proofErr w:type="spellEnd"/>
          </w:p>
        </w:tc>
        <w:tc>
          <w:tcPr>
            <w:tcW w:w="996" w:type="dxa"/>
            <w:noWrap/>
            <w:hideMark/>
          </w:tcPr>
          <w:p w14:paraId="2EB27705"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log(E2) per 1-SD</w:t>
            </w:r>
          </w:p>
        </w:tc>
        <w:tc>
          <w:tcPr>
            <w:tcW w:w="1314" w:type="dxa"/>
            <w:noWrap/>
            <w:hideMark/>
          </w:tcPr>
          <w:p w14:paraId="0F8CBB42"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1.07 (0.82–1.40)</w:t>
            </w:r>
          </w:p>
        </w:tc>
        <w:tc>
          <w:tcPr>
            <w:tcW w:w="829" w:type="dxa"/>
            <w:noWrap/>
            <w:hideMark/>
          </w:tcPr>
          <w:p w14:paraId="24F88E8C"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0.628</w:t>
            </w:r>
          </w:p>
        </w:tc>
        <w:tc>
          <w:tcPr>
            <w:tcW w:w="1248" w:type="dxa"/>
            <w:noWrap/>
            <w:hideMark/>
          </w:tcPr>
          <w:p w14:paraId="6E8153D8"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1.19 (0.92–1.53)</w:t>
            </w:r>
          </w:p>
        </w:tc>
        <w:tc>
          <w:tcPr>
            <w:tcW w:w="850" w:type="dxa"/>
            <w:noWrap/>
            <w:hideMark/>
          </w:tcPr>
          <w:p w14:paraId="727A6E24"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0.189</w:t>
            </w:r>
          </w:p>
        </w:tc>
        <w:tc>
          <w:tcPr>
            <w:tcW w:w="1235" w:type="dxa"/>
            <w:noWrap/>
            <w:hideMark/>
          </w:tcPr>
          <w:p w14:paraId="5DE051D7"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1.26 (0.98–1.62)</w:t>
            </w:r>
          </w:p>
        </w:tc>
        <w:tc>
          <w:tcPr>
            <w:tcW w:w="829" w:type="dxa"/>
            <w:noWrap/>
            <w:hideMark/>
          </w:tcPr>
          <w:p w14:paraId="01B07B34"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0.077</w:t>
            </w:r>
          </w:p>
        </w:tc>
      </w:tr>
      <w:tr w:rsidR="004B287F" w:rsidRPr="004B287F" w14:paraId="3E4558F1" w14:textId="77777777" w:rsidTr="00A37E0D">
        <w:trPr>
          <w:trHeight w:val="300"/>
          <w:jc w:val="center"/>
        </w:trPr>
        <w:tc>
          <w:tcPr>
            <w:tcW w:w="995" w:type="dxa"/>
            <w:noWrap/>
            <w:hideMark/>
          </w:tcPr>
          <w:p w14:paraId="5DEE3459" w14:textId="77777777" w:rsidR="004B287F" w:rsidRPr="004B287F" w:rsidRDefault="004B287F">
            <w:pPr>
              <w:rPr>
                <w:rFonts w:ascii="Times New Roman" w:hAnsi="Times New Roman" w:cs="Times New Roman"/>
                <w:b/>
                <w:bCs/>
                <w:sz w:val="10"/>
                <w:szCs w:val="10"/>
              </w:rPr>
            </w:pPr>
            <w:proofErr w:type="spellStart"/>
            <w:r w:rsidRPr="004B287F">
              <w:rPr>
                <w:rFonts w:ascii="Times New Roman" w:hAnsi="Times New Roman" w:cs="Times New Roman"/>
                <w:b/>
                <w:bCs/>
                <w:sz w:val="10"/>
                <w:szCs w:val="10"/>
              </w:rPr>
              <w:t>Postmenopause</w:t>
            </w:r>
            <w:proofErr w:type="spellEnd"/>
          </w:p>
        </w:tc>
        <w:tc>
          <w:tcPr>
            <w:tcW w:w="996" w:type="dxa"/>
            <w:noWrap/>
            <w:hideMark/>
          </w:tcPr>
          <w:p w14:paraId="165B3332"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log(E2) per 1-SD</w:t>
            </w:r>
          </w:p>
        </w:tc>
        <w:tc>
          <w:tcPr>
            <w:tcW w:w="1314" w:type="dxa"/>
            <w:noWrap/>
            <w:hideMark/>
          </w:tcPr>
          <w:p w14:paraId="43C7B81E"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0.70 (0.61–0.82)</w:t>
            </w:r>
          </w:p>
        </w:tc>
        <w:tc>
          <w:tcPr>
            <w:tcW w:w="829" w:type="dxa"/>
            <w:noWrap/>
            <w:hideMark/>
          </w:tcPr>
          <w:p w14:paraId="5FEF1E27"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&lt;0.001</w:t>
            </w:r>
          </w:p>
        </w:tc>
        <w:tc>
          <w:tcPr>
            <w:tcW w:w="1248" w:type="dxa"/>
            <w:noWrap/>
            <w:hideMark/>
          </w:tcPr>
          <w:p w14:paraId="7364B467"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0.85 (0.72–1.01)</w:t>
            </w:r>
          </w:p>
        </w:tc>
        <w:tc>
          <w:tcPr>
            <w:tcW w:w="850" w:type="dxa"/>
            <w:noWrap/>
            <w:hideMark/>
          </w:tcPr>
          <w:p w14:paraId="7969C561"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0.072</w:t>
            </w:r>
          </w:p>
        </w:tc>
        <w:tc>
          <w:tcPr>
            <w:tcW w:w="1235" w:type="dxa"/>
            <w:noWrap/>
            <w:hideMark/>
          </w:tcPr>
          <w:p w14:paraId="69C62514" w14:textId="77777777" w:rsidR="004B287F" w:rsidRPr="004B287F" w:rsidRDefault="004B287F">
            <w:pPr>
              <w:rPr>
                <w:rFonts w:ascii="Times New Roman" w:hAnsi="Times New Roman" w:cs="Times New Roman"/>
                <w:sz w:val="10"/>
                <w:szCs w:val="10"/>
              </w:rPr>
            </w:pPr>
            <w:r w:rsidRPr="004B287F">
              <w:rPr>
                <w:rFonts w:ascii="Times New Roman" w:hAnsi="Times New Roman" w:cs="Times New Roman"/>
                <w:sz w:val="10"/>
                <w:szCs w:val="10"/>
              </w:rPr>
              <w:t>0.83 (0.70–0.99)</w:t>
            </w:r>
          </w:p>
        </w:tc>
        <w:tc>
          <w:tcPr>
            <w:tcW w:w="829" w:type="dxa"/>
            <w:noWrap/>
            <w:hideMark/>
          </w:tcPr>
          <w:p w14:paraId="7189606E" w14:textId="77777777" w:rsidR="004B287F" w:rsidRPr="004B287F" w:rsidRDefault="004B287F">
            <w:pPr>
              <w:rPr>
                <w:rFonts w:ascii="Times New Roman" w:hAnsi="Times New Roman" w:cs="Times New Roman"/>
                <w:b/>
                <w:bCs/>
                <w:sz w:val="10"/>
                <w:szCs w:val="10"/>
              </w:rPr>
            </w:pPr>
            <w:r w:rsidRPr="004B287F">
              <w:rPr>
                <w:rFonts w:ascii="Times New Roman" w:hAnsi="Times New Roman" w:cs="Times New Roman"/>
                <w:b/>
                <w:bCs/>
                <w:sz w:val="10"/>
                <w:szCs w:val="10"/>
              </w:rPr>
              <w:t>0.040</w:t>
            </w:r>
          </w:p>
        </w:tc>
      </w:tr>
    </w:tbl>
    <w:p w14:paraId="5E022176" w14:textId="77777777" w:rsidR="004D0DFD" w:rsidRPr="004D0DFD" w:rsidRDefault="004D0DFD" w:rsidP="004D0DFD">
      <w:pPr>
        <w:spacing w:after="0" w:line="240" w:lineRule="auto"/>
        <w:rPr>
          <w:rFonts w:ascii="Times New Roman" w:hAnsi="Times New Roman" w:cs="Times New Roman"/>
          <w:sz w:val="10"/>
          <w:szCs w:val="10"/>
        </w:rPr>
      </w:pPr>
      <w:r w:rsidRPr="004D0DFD">
        <w:rPr>
          <w:rFonts w:ascii="Times New Roman" w:hAnsi="Times New Roman" w:cs="Times New Roman"/>
          <w:sz w:val="10"/>
          <w:szCs w:val="10"/>
        </w:rPr>
        <w:t>Odds ratios (ORs) and 95% confidence intervals (CIs) were estimated using survey-weighted logistic regression models with multiple imputation. Log(E2) was standardized, and ORs are reported per 1-standard deviation (SD) increase.</w:t>
      </w:r>
    </w:p>
    <w:p w14:paraId="739AF7F4" w14:textId="77777777" w:rsidR="004D0DFD" w:rsidRDefault="004D0DFD" w:rsidP="004D0DFD">
      <w:pPr>
        <w:spacing w:after="0" w:line="240" w:lineRule="auto"/>
        <w:rPr>
          <w:rFonts w:ascii="Times New Roman" w:hAnsi="Times New Roman" w:cs="Times New Roman"/>
          <w:sz w:val="10"/>
          <w:szCs w:val="10"/>
        </w:rPr>
      </w:pPr>
      <w:r w:rsidRPr="004D0DFD">
        <w:rPr>
          <w:rFonts w:ascii="Times New Roman" w:hAnsi="Times New Roman" w:cs="Times New Roman"/>
          <w:sz w:val="10"/>
          <w:szCs w:val="10"/>
        </w:rPr>
        <w:t>Model 1 was adjusted for age.</w:t>
      </w:r>
    </w:p>
    <w:p w14:paraId="4F725EB7" w14:textId="77777777" w:rsidR="004D0DFD" w:rsidRDefault="004D0DFD" w:rsidP="004D0DFD">
      <w:pPr>
        <w:spacing w:after="0" w:line="240" w:lineRule="auto"/>
        <w:rPr>
          <w:rFonts w:ascii="Times New Roman" w:hAnsi="Times New Roman" w:cs="Times New Roman"/>
          <w:sz w:val="10"/>
          <w:szCs w:val="10"/>
        </w:rPr>
      </w:pPr>
      <w:r w:rsidRPr="004D0DFD">
        <w:rPr>
          <w:rFonts w:ascii="Times New Roman" w:hAnsi="Times New Roman" w:cs="Times New Roman"/>
          <w:sz w:val="10"/>
          <w:szCs w:val="10"/>
        </w:rPr>
        <w:t>Model 2 was additionally adjusted for race/ethnicity, education level, marital status, poverty–income ratio (PIR), smoking status, and alcohol consumption.</w:t>
      </w:r>
    </w:p>
    <w:p w14:paraId="12CA8F60" w14:textId="4DDA6C1C" w:rsidR="004D0DFD" w:rsidRPr="004D0DFD" w:rsidRDefault="004D0DFD" w:rsidP="004D0DFD">
      <w:pPr>
        <w:spacing w:after="0" w:line="240" w:lineRule="auto"/>
        <w:rPr>
          <w:rFonts w:ascii="Times New Roman" w:hAnsi="Times New Roman" w:cs="Times New Roman"/>
          <w:sz w:val="10"/>
          <w:szCs w:val="10"/>
        </w:rPr>
      </w:pPr>
      <w:r w:rsidRPr="004D0DFD">
        <w:rPr>
          <w:rFonts w:ascii="Times New Roman" w:hAnsi="Times New Roman" w:cs="Times New Roman"/>
          <w:sz w:val="10"/>
          <w:szCs w:val="10"/>
        </w:rPr>
        <w:t>Model 3 was further adjusted for diabetes, hypertension, and hyperlipidemia.</w:t>
      </w:r>
    </w:p>
    <w:p w14:paraId="7FEB11BD" w14:textId="77777777" w:rsidR="004D0DFD" w:rsidRPr="004D0DFD" w:rsidRDefault="004D0DFD" w:rsidP="004D0DFD">
      <w:pPr>
        <w:spacing w:afterLines="300" w:after="936" w:line="240" w:lineRule="auto"/>
        <w:rPr>
          <w:rFonts w:ascii="Times New Roman" w:hAnsi="Times New Roman" w:cs="Times New Roman"/>
          <w:sz w:val="10"/>
          <w:szCs w:val="10"/>
        </w:rPr>
      </w:pPr>
      <w:r w:rsidRPr="004D0DFD">
        <w:rPr>
          <w:rFonts w:ascii="Times New Roman" w:hAnsi="Times New Roman" w:cs="Times New Roman"/>
          <w:sz w:val="10"/>
          <w:szCs w:val="10"/>
        </w:rPr>
        <w:t>All analyses accounted for the complex NHANES sampling design. Estimates were pooled using Rubin’s rules. All P values are two-sided.</w:t>
      </w:r>
    </w:p>
    <w:p w14:paraId="1E7ED82B" w14:textId="0EDF4ECC" w:rsidR="00A37E0D" w:rsidRDefault="000D2834" w:rsidP="000D2834">
      <w:pPr>
        <w:jc w:val="center"/>
        <w:rPr>
          <w:rFonts w:ascii="Times New Roman" w:hAnsi="Times New Roman" w:cs="Times New Roman"/>
        </w:rPr>
      </w:pPr>
      <w:r>
        <w:rPr>
          <w:rFonts w:ascii="Times New Roman" w:hAnsi="Times New Roman" w:cs="Times New Roman" w:hint="eastAsia"/>
          <w:noProof/>
        </w:rPr>
        <w:drawing>
          <wp:inline distT="0" distB="0" distL="0" distR="0" wp14:anchorId="27DE9CF0" wp14:editId="1E16DEDC">
            <wp:extent cx="4161737" cy="2330297"/>
            <wp:effectExtent l="0" t="0" r="0" b="0"/>
            <wp:docPr id="5764601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460102" name="图片 576460102"/>
                    <pic:cNvPicPr/>
                  </pic:nvPicPr>
                  <pic:blipFill rotWithShape="1">
                    <a:blip r:embed="rId6" cstate="print">
                      <a:extLst>
                        <a:ext uri="{28A0092B-C50C-407E-A947-70E740481C1C}">
                          <a14:useLocalDpi xmlns:a14="http://schemas.microsoft.com/office/drawing/2010/main" val="0"/>
                        </a:ext>
                      </a:extLst>
                    </a:blip>
                    <a:srcRect t="10406"/>
                    <a:stretch>
                      <a:fillRect/>
                    </a:stretch>
                  </pic:blipFill>
                  <pic:spPr bwMode="auto">
                    <a:xfrm>
                      <a:off x="0" y="0"/>
                      <a:ext cx="4161737" cy="2330297"/>
                    </a:xfrm>
                    <a:prstGeom prst="rect">
                      <a:avLst/>
                    </a:prstGeom>
                    <a:ln>
                      <a:noFill/>
                    </a:ln>
                    <a:extLst>
                      <a:ext uri="{53640926-AAD7-44D8-BBD7-CCE9431645EC}">
                        <a14:shadowObscured xmlns:a14="http://schemas.microsoft.com/office/drawing/2010/main"/>
                      </a:ext>
                    </a:extLst>
                  </pic:spPr>
                </pic:pic>
              </a:graphicData>
            </a:graphic>
          </wp:inline>
        </w:drawing>
      </w:r>
    </w:p>
    <w:p w14:paraId="4BEAFF5D" w14:textId="2FAE4861" w:rsidR="000D2834" w:rsidRDefault="000D2834" w:rsidP="000D2834">
      <w:pPr>
        <w:jc w:val="center"/>
        <w:rPr>
          <w:rFonts w:ascii="Times New Roman" w:hAnsi="Times New Roman" w:cs="Times New Roman"/>
          <w:b/>
          <w:bCs/>
          <w:sz w:val="16"/>
          <w:szCs w:val="16"/>
        </w:rPr>
      </w:pPr>
      <w:r w:rsidRPr="000D2834">
        <w:rPr>
          <w:rFonts w:ascii="Times New Roman" w:hAnsi="Times New Roman" w:cs="Times New Roman" w:hint="eastAsia"/>
          <w:b/>
          <w:bCs/>
          <w:sz w:val="16"/>
          <w:szCs w:val="16"/>
        </w:rPr>
        <w:t xml:space="preserve">Fig S1: </w:t>
      </w:r>
      <w:r w:rsidRPr="000D2834">
        <w:rPr>
          <w:rFonts w:ascii="Times New Roman" w:hAnsi="Times New Roman" w:cs="Times New Roman"/>
          <w:b/>
          <w:bCs/>
          <w:sz w:val="16"/>
          <w:szCs w:val="16"/>
        </w:rPr>
        <w:t>Restricted Cubic Spline Analysis of log(</w:t>
      </w:r>
      <w:r w:rsidRPr="000D2834">
        <w:rPr>
          <w:rFonts w:ascii="Times New Roman" w:hAnsi="Times New Roman" w:cs="Times New Roman" w:hint="eastAsia"/>
          <w:b/>
          <w:bCs/>
          <w:sz w:val="16"/>
          <w:szCs w:val="16"/>
        </w:rPr>
        <w:t>E2</w:t>
      </w:r>
      <w:r w:rsidRPr="000D2834">
        <w:rPr>
          <w:rFonts w:ascii="Times New Roman" w:hAnsi="Times New Roman" w:cs="Times New Roman"/>
          <w:b/>
          <w:bCs/>
          <w:sz w:val="16"/>
          <w:szCs w:val="16"/>
        </w:rPr>
        <w:t xml:space="preserve">) and </w:t>
      </w:r>
      <w:r>
        <w:rPr>
          <w:rFonts w:ascii="Times New Roman" w:hAnsi="Times New Roman" w:cs="Times New Roman" w:hint="eastAsia"/>
          <w:b/>
          <w:bCs/>
          <w:sz w:val="16"/>
          <w:szCs w:val="16"/>
        </w:rPr>
        <w:t>CHD</w:t>
      </w:r>
      <w:r w:rsidRPr="000D2834">
        <w:rPr>
          <w:rFonts w:ascii="Times New Roman" w:hAnsi="Times New Roman" w:cs="Times New Roman"/>
          <w:b/>
          <w:bCs/>
          <w:sz w:val="16"/>
          <w:szCs w:val="16"/>
        </w:rPr>
        <w:t xml:space="preserve"> in Postmenopausal Women</w:t>
      </w:r>
    </w:p>
    <w:p w14:paraId="480FD00A" w14:textId="525CD3D6" w:rsidR="00146EDE" w:rsidRPr="009634D7" w:rsidRDefault="00146EDE" w:rsidP="009634D7">
      <w:pPr>
        <w:spacing w:line="240" w:lineRule="auto"/>
        <w:jc w:val="both"/>
        <w:rPr>
          <w:rFonts w:ascii="Times New Roman" w:hAnsi="Times New Roman" w:cs="Times New Roman"/>
          <w:sz w:val="13"/>
          <w:szCs w:val="13"/>
        </w:rPr>
      </w:pPr>
      <w:r w:rsidRPr="009634D7">
        <w:rPr>
          <w:rFonts w:ascii="Times New Roman" w:hAnsi="Times New Roman" w:cs="Times New Roman"/>
          <w:sz w:val="13"/>
          <w:szCs w:val="13"/>
        </w:rPr>
        <w:t>Survey-weighted restricted cubic spline depicting the association between log-transformed estradiol (log[E2]) and the odds of coronary heart disease (CHD) among postmenopausal women. The solid line represents the adjusted odds ratio, and the shaded area indicates the 95% confidence interval. The reference value was set at log(E2) = 1.85. P for overall association = 0.002; P for nonlinearity = 0.114.</w:t>
      </w:r>
    </w:p>
    <w:p w14:paraId="3AEF1FA4" w14:textId="77777777" w:rsidR="00146EDE" w:rsidRDefault="00146EDE" w:rsidP="00146EDE">
      <w:pPr>
        <w:jc w:val="both"/>
        <w:rPr>
          <w:rFonts w:ascii="Times New Roman" w:hAnsi="Times New Roman" w:cs="Times New Roman"/>
          <w:sz w:val="16"/>
          <w:szCs w:val="16"/>
        </w:rPr>
      </w:pPr>
    </w:p>
    <w:p w14:paraId="2840049F" w14:textId="29135A18" w:rsidR="00146EDE" w:rsidRPr="00141480" w:rsidRDefault="00141480" w:rsidP="00146EDE">
      <w:pPr>
        <w:jc w:val="both"/>
        <w:rPr>
          <w:rFonts w:ascii="Times New Roman" w:hAnsi="Times New Roman" w:cs="Times New Roman"/>
          <w:b/>
          <w:bCs/>
          <w:sz w:val="16"/>
          <w:szCs w:val="16"/>
        </w:rPr>
      </w:pPr>
      <w:r w:rsidRPr="00141480">
        <w:rPr>
          <w:rFonts w:ascii="Times New Roman" w:hAnsi="Times New Roman" w:cs="Times New Roman"/>
          <w:b/>
          <w:bCs/>
          <w:sz w:val="16"/>
          <w:szCs w:val="16"/>
        </w:rPr>
        <w:t>Table S</w:t>
      </w:r>
      <w:r>
        <w:rPr>
          <w:rFonts w:ascii="Times New Roman" w:hAnsi="Times New Roman" w:cs="Times New Roman" w:hint="eastAsia"/>
          <w:b/>
          <w:bCs/>
          <w:sz w:val="16"/>
          <w:szCs w:val="16"/>
        </w:rPr>
        <w:t>4</w:t>
      </w:r>
      <w:r w:rsidRPr="00141480">
        <w:rPr>
          <w:rFonts w:ascii="Times New Roman" w:hAnsi="Times New Roman" w:cs="Times New Roman"/>
          <w:b/>
          <w:bCs/>
          <w:sz w:val="16"/>
          <w:szCs w:val="16"/>
        </w:rPr>
        <w:t>:</w:t>
      </w:r>
      <w:r w:rsidRPr="00141480">
        <w:rPr>
          <w:rFonts w:ascii="Times New Roman" w:hAnsi="Times New Roman" w:cs="Times New Roman" w:hint="eastAsia"/>
          <w:b/>
          <w:bCs/>
          <w:sz w:val="16"/>
          <w:szCs w:val="16"/>
        </w:rPr>
        <w:t xml:space="preserve"> </w:t>
      </w:r>
      <w:r w:rsidR="004D0DFD" w:rsidRPr="004D0DFD">
        <w:rPr>
          <w:rFonts w:ascii="Times New Roman" w:hAnsi="Times New Roman" w:cs="Times New Roman"/>
          <w:b/>
          <w:bCs/>
          <w:sz w:val="16"/>
          <w:szCs w:val="16"/>
        </w:rPr>
        <w:t>Survey-weighted mediation analysis of the association between log-transformed testosterone-to-estradiol ratio [</w:t>
      </w:r>
      <w:proofErr w:type="gramStart"/>
      <w:r w:rsidR="004D0DFD" w:rsidRPr="004D0DFD">
        <w:rPr>
          <w:rFonts w:ascii="Times New Roman" w:hAnsi="Times New Roman" w:cs="Times New Roman"/>
          <w:b/>
          <w:bCs/>
          <w:sz w:val="16"/>
          <w:szCs w:val="16"/>
        </w:rPr>
        <w:t>log(</w:t>
      </w:r>
      <w:proofErr w:type="gramEnd"/>
      <w:r w:rsidR="004D0DFD" w:rsidRPr="004D0DFD">
        <w:rPr>
          <w:rFonts w:ascii="Times New Roman" w:hAnsi="Times New Roman" w:cs="Times New Roman"/>
          <w:b/>
          <w:bCs/>
          <w:sz w:val="16"/>
          <w:szCs w:val="16"/>
        </w:rPr>
        <w:t>TT/E2)] and coronary heart disease (CHD) with weight-adjusted waist index (WWI) as a mediator among premenopausal women</w:t>
      </w:r>
    </w:p>
    <w:tbl>
      <w:tblPr>
        <w:tblStyle w:val="af2"/>
        <w:tblW w:w="0" w:type="auto"/>
        <w:tblLook w:val="04A0" w:firstRow="1" w:lastRow="0" w:firstColumn="1" w:lastColumn="0" w:noHBand="0" w:noVBand="1"/>
      </w:tblPr>
      <w:tblGrid>
        <w:gridCol w:w="1854"/>
        <w:gridCol w:w="1007"/>
        <w:gridCol w:w="1006"/>
        <w:gridCol w:w="1006"/>
        <w:gridCol w:w="1006"/>
        <w:gridCol w:w="1006"/>
        <w:gridCol w:w="1190"/>
      </w:tblGrid>
      <w:tr w:rsidR="00141480" w:rsidRPr="00141480" w14:paraId="7D63BEDD" w14:textId="77777777" w:rsidTr="00141480">
        <w:trPr>
          <w:trHeight w:val="285"/>
        </w:trPr>
        <w:tc>
          <w:tcPr>
            <w:tcW w:w="1854" w:type="dxa"/>
            <w:noWrap/>
            <w:hideMark/>
          </w:tcPr>
          <w:p w14:paraId="59E61490" w14:textId="77777777" w:rsidR="00141480" w:rsidRPr="00141480" w:rsidRDefault="00141480" w:rsidP="00141480">
            <w:pPr>
              <w:jc w:val="both"/>
              <w:rPr>
                <w:rFonts w:ascii="Times New Roman" w:hAnsi="Times New Roman" w:cs="Times New Roman"/>
                <w:b/>
                <w:bCs/>
                <w:sz w:val="16"/>
                <w:szCs w:val="16"/>
              </w:rPr>
            </w:pPr>
            <w:r w:rsidRPr="00141480">
              <w:rPr>
                <w:rFonts w:ascii="Times New Roman" w:hAnsi="Times New Roman" w:cs="Times New Roman" w:hint="eastAsia"/>
                <w:b/>
                <w:bCs/>
                <w:sz w:val="16"/>
                <w:szCs w:val="16"/>
              </w:rPr>
              <w:t>effect</w:t>
            </w:r>
          </w:p>
        </w:tc>
        <w:tc>
          <w:tcPr>
            <w:tcW w:w="1007" w:type="dxa"/>
            <w:noWrap/>
            <w:hideMark/>
          </w:tcPr>
          <w:p w14:paraId="6AAFD165" w14:textId="77777777" w:rsidR="00141480" w:rsidRPr="00141480" w:rsidRDefault="00141480" w:rsidP="00141480">
            <w:pPr>
              <w:jc w:val="both"/>
              <w:rPr>
                <w:rFonts w:ascii="Times New Roman" w:hAnsi="Times New Roman" w:cs="Times New Roman"/>
                <w:b/>
                <w:bCs/>
                <w:sz w:val="16"/>
                <w:szCs w:val="16"/>
              </w:rPr>
            </w:pPr>
            <w:r w:rsidRPr="00141480">
              <w:rPr>
                <w:rFonts w:ascii="Times New Roman" w:hAnsi="Times New Roman" w:cs="Times New Roman" w:hint="eastAsia"/>
                <w:b/>
                <w:bCs/>
                <w:sz w:val="16"/>
                <w:szCs w:val="16"/>
              </w:rPr>
              <w:t>estimate</w:t>
            </w:r>
          </w:p>
        </w:tc>
        <w:tc>
          <w:tcPr>
            <w:tcW w:w="1006" w:type="dxa"/>
            <w:noWrap/>
            <w:hideMark/>
          </w:tcPr>
          <w:p w14:paraId="7600FDE8" w14:textId="77777777" w:rsidR="00141480" w:rsidRPr="00141480" w:rsidRDefault="00141480" w:rsidP="00141480">
            <w:pPr>
              <w:jc w:val="both"/>
              <w:rPr>
                <w:rFonts w:ascii="Times New Roman" w:hAnsi="Times New Roman" w:cs="Times New Roman"/>
                <w:b/>
                <w:bCs/>
                <w:sz w:val="16"/>
                <w:szCs w:val="16"/>
              </w:rPr>
            </w:pPr>
            <w:r w:rsidRPr="00141480">
              <w:rPr>
                <w:rFonts w:ascii="Times New Roman" w:hAnsi="Times New Roman" w:cs="Times New Roman" w:hint="eastAsia"/>
                <w:b/>
                <w:bCs/>
                <w:sz w:val="16"/>
                <w:szCs w:val="16"/>
              </w:rPr>
              <w:t>se</w:t>
            </w:r>
          </w:p>
        </w:tc>
        <w:tc>
          <w:tcPr>
            <w:tcW w:w="1006" w:type="dxa"/>
            <w:noWrap/>
            <w:hideMark/>
          </w:tcPr>
          <w:p w14:paraId="1F19B4E7" w14:textId="77777777" w:rsidR="00141480" w:rsidRPr="00141480" w:rsidRDefault="00141480" w:rsidP="00141480">
            <w:pPr>
              <w:jc w:val="both"/>
              <w:rPr>
                <w:rFonts w:ascii="Times New Roman" w:hAnsi="Times New Roman" w:cs="Times New Roman"/>
                <w:b/>
                <w:bCs/>
                <w:sz w:val="16"/>
                <w:szCs w:val="16"/>
              </w:rPr>
            </w:pPr>
            <w:proofErr w:type="spellStart"/>
            <w:r w:rsidRPr="00141480">
              <w:rPr>
                <w:rFonts w:ascii="Times New Roman" w:hAnsi="Times New Roman" w:cs="Times New Roman" w:hint="eastAsia"/>
                <w:b/>
                <w:bCs/>
                <w:sz w:val="16"/>
                <w:szCs w:val="16"/>
              </w:rPr>
              <w:t>CI_low</w:t>
            </w:r>
            <w:proofErr w:type="spellEnd"/>
          </w:p>
        </w:tc>
        <w:tc>
          <w:tcPr>
            <w:tcW w:w="1006" w:type="dxa"/>
            <w:noWrap/>
            <w:hideMark/>
          </w:tcPr>
          <w:p w14:paraId="383DD311" w14:textId="77777777" w:rsidR="00141480" w:rsidRPr="00141480" w:rsidRDefault="00141480" w:rsidP="00141480">
            <w:pPr>
              <w:jc w:val="both"/>
              <w:rPr>
                <w:rFonts w:ascii="Times New Roman" w:hAnsi="Times New Roman" w:cs="Times New Roman"/>
                <w:b/>
                <w:bCs/>
                <w:sz w:val="16"/>
                <w:szCs w:val="16"/>
              </w:rPr>
            </w:pPr>
            <w:proofErr w:type="spellStart"/>
            <w:r w:rsidRPr="00141480">
              <w:rPr>
                <w:rFonts w:ascii="Times New Roman" w:hAnsi="Times New Roman" w:cs="Times New Roman" w:hint="eastAsia"/>
                <w:b/>
                <w:bCs/>
                <w:sz w:val="16"/>
                <w:szCs w:val="16"/>
              </w:rPr>
              <w:t>CI_high</w:t>
            </w:r>
            <w:proofErr w:type="spellEnd"/>
          </w:p>
        </w:tc>
        <w:tc>
          <w:tcPr>
            <w:tcW w:w="1006" w:type="dxa"/>
            <w:noWrap/>
            <w:hideMark/>
          </w:tcPr>
          <w:p w14:paraId="36D70227" w14:textId="77777777" w:rsidR="00141480" w:rsidRPr="00141480" w:rsidRDefault="00141480" w:rsidP="00141480">
            <w:pPr>
              <w:jc w:val="both"/>
              <w:rPr>
                <w:rFonts w:ascii="Times New Roman" w:hAnsi="Times New Roman" w:cs="Times New Roman"/>
                <w:b/>
                <w:bCs/>
                <w:sz w:val="16"/>
                <w:szCs w:val="16"/>
              </w:rPr>
            </w:pPr>
            <w:proofErr w:type="spellStart"/>
            <w:r w:rsidRPr="00141480">
              <w:rPr>
                <w:rFonts w:ascii="Times New Roman" w:hAnsi="Times New Roman" w:cs="Times New Roman" w:hint="eastAsia"/>
                <w:b/>
                <w:bCs/>
                <w:sz w:val="16"/>
                <w:szCs w:val="16"/>
              </w:rPr>
              <w:t>p_value</w:t>
            </w:r>
            <w:proofErr w:type="spellEnd"/>
          </w:p>
        </w:tc>
        <w:tc>
          <w:tcPr>
            <w:tcW w:w="1190" w:type="dxa"/>
            <w:noWrap/>
            <w:hideMark/>
          </w:tcPr>
          <w:p w14:paraId="717A56E0" w14:textId="77777777" w:rsidR="00141480" w:rsidRPr="00141480" w:rsidRDefault="00141480" w:rsidP="00141480">
            <w:pPr>
              <w:jc w:val="both"/>
              <w:rPr>
                <w:rFonts w:ascii="Times New Roman" w:hAnsi="Times New Roman" w:cs="Times New Roman"/>
                <w:b/>
                <w:bCs/>
                <w:sz w:val="16"/>
                <w:szCs w:val="16"/>
              </w:rPr>
            </w:pPr>
            <w:proofErr w:type="spellStart"/>
            <w:r w:rsidRPr="00141480">
              <w:rPr>
                <w:rFonts w:ascii="Times New Roman" w:hAnsi="Times New Roman" w:cs="Times New Roman" w:hint="eastAsia"/>
                <w:b/>
                <w:bCs/>
                <w:sz w:val="16"/>
                <w:szCs w:val="16"/>
              </w:rPr>
              <w:t>p_formatted</w:t>
            </w:r>
            <w:proofErr w:type="spellEnd"/>
          </w:p>
        </w:tc>
      </w:tr>
      <w:tr w:rsidR="00141480" w:rsidRPr="00141480" w14:paraId="16D710F2" w14:textId="77777777" w:rsidTr="00141480">
        <w:trPr>
          <w:trHeight w:val="285"/>
        </w:trPr>
        <w:tc>
          <w:tcPr>
            <w:tcW w:w="1854" w:type="dxa"/>
            <w:noWrap/>
            <w:hideMark/>
          </w:tcPr>
          <w:p w14:paraId="769E2F46" w14:textId="77777777" w:rsidR="00141480" w:rsidRPr="00141480" w:rsidRDefault="00141480" w:rsidP="00141480">
            <w:pPr>
              <w:jc w:val="both"/>
              <w:rPr>
                <w:rFonts w:ascii="Times New Roman" w:hAnsi="Times New Roman" w:cs="Times New Roman"/>
                <w:b/>
                <w:bCs/>
                <w:sz w:val="16"/>
                <w:szCs w:val="16"/>
              </w:rPr>
            </w:pPr>
            <w:r w:rsidRPr="00141480">
              <w:rPr>
                <w:rFonts w:ascii="Times New Roman" w:hAnsi="Times New Roman" w:cs="Times New Roman" w:hint="eastAsia"/>
                <w:b/>
                <w:bCs/>
                <w:sz w:val="16"/>
                <w:szCs w:val="16"/>
              </w:rPr>
              <w:t>ACME (indirect)</w:t>
            </w:r>
          </w:p>
        </w:tc>
        <w:tc>
          <w:tcPr>
            <w:tcW w:w="1007" w:type="dxa"/>
            <w:noWrap/>
            <w:hideMark/>
          </w:tcPr>
          <w:p w14:paraId="2D888E89"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0.000427</w:t>
            </w:r>
          </w:p>
        </w:tc>
        <w:tc>
          <w:tcPr>
            <w:tcW w:w="1006" w:type="dxa"/>
            <w:noWrap/>
            <w:hideMark/>
          </w:tcPr>
          <w:p w14:paraId="6AD0EC38"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0.007045</w:t>
            </w:r>
          </w:p>
        </w:tc>
        <w:tc>
          <w:tcPr>
            <w:tcW w:w="1006" w:type="dxa"/>
            <w:noWrap/>
            <w:hideMark/>
          </w:tcPr>
          <w:p w14:paraId="6C030100"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-0.01421</w:t>
            </w:r>
          </w:p>
        </w:tc>
        <w:tc>
          <w:tcPr>
            <w:tcW w:w="1006" w:type="dxa"/>
            <w:noWrap/>
            <w:hideMark/>
          </w:tcPr>
          <w:p w14:paraId="4A4A4321"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0.015938</w:t>
            </w:r>
          </w:p>
        </w:tc>
        <w:tc>
          <w:tcPr>
            <w:tcW w:w="1006" w:type="dxa"/>
            <w:noWrap/>
            <w:hideMark/>
          </w:tcPr>
          <w:p w14:paraId="1DFE12A5"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0.951688</w:t>
            </w:r>
          </w:p>
        </w:tc>
        <w:tc>
          <w:tcPr>
            <w:tcW w:w="1190" w:type="dxa"/>
            <w:noWrap/>
            <w:hideMark/>
          </w:tcPr>
          <w:p w14:paraId="371E0C9F"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0.952</w:t>
            </w:r>
          </w:p>
        </w:tc>
      </w:tr>
      <w:tr w:rsidR="00141480" w:rsidRPr="00141480" w14:paraId="0B7BB69E" w14:textId="77777777" w:rsidTr="00141480">
        <w:trPr>
          <w:trHeight w:val="285"/>
        </w:trPr>
        <w:tc>
          <w:tcPr>
            <w:tcW w:w="1854" w:type="dxa"/>
            <w:noWrap/>
            <w:hideMark/>
          </w:tcPr>
          <w:p w14:paraId="53B1DDF1" w14:textId="77777777" w:rsidR="00141480" w:rsidRPr="00141480" w:rsidRDefault="00141480" w:rsidP="00141480">
            <w:pPr>
              <w:jc w:val="both"/>
              <w:rPr>
                <w:rFonts w:ascii="Times New Roman" w:hAnsi="Times New Roman" w:cs="Times New Roman"/>
                <w:b/>
                <w:bCs/>
                <w:sz w:val="16"/>
                <w:szCs w:val="16"/>
              </w:rPr>
            </w:pPr>
            <w:r w:rsidRPr="00141480">
              <w:rPr>
                <w:rFonts w:ascii="Times New Roman" w:hAnsi="Times New Roman" w:cs="Times New Roman" w:hint="eastAsia"/>
                <w:b/>
                <w:bCs/>
                <w:sz w:val="16"/>
                <w:szCs w:val="16"/>
              </w:rPr>
              <w:t>ADE (direct)</w:t>
            </w:r>
          </w:p>
        </w:tc>
        <w:tc>
          <w:tcPr>
            <w:tcW w:w="1007" w:type="dxa"/>
            <w:noWrap/>
            <w:hideMark/>
          </w:tcPr>
          <w:p w14:paraId="699C5212"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-0.2725</w:t>
            </w:r>
          </w:p>
        </w:tc>
        <w:tc>
          <w:tcPr>
            <w:tcW w:w="1006" w:type="dxa"/>
            <w:noWrap/>
            <w:hideMark/>
          </w:tcPr>
          <w:p w14:paraId="2D056F7B"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0.114076</w:t>
            </w:r>
          </w:p>
        </w:tc>
        <w:tc>
          <w:tcPr>
            <w:tcW w:w="1006" w:type="dxa"/>
            <w:noWrap/>
            <w:hideMark/>
          </w:tcPr>
          <w:p w14:paraId="44928D96"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-0.49918</w:t>
            </w:r>
          </w:p>
        </w:tc>
        <w:tc>
          <w:tcPr>
            <w:tcW w:w="1006" w:type="dxa"/>
            <w:noWrap/>
            <w:hideMark/>
          </w:tcPr>
          <w:p w14:paraId="454E8D68"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-0.05601</w:t>
            </w:r>
          </w:p>
        </w:tc>
        <w:tc>
          <w:tcPr>
            <w:tcW w:w="1006" w:type="dxa"/>
            <w:noWrap/>
            <w:hideMark/>
          </w:tcPr>
          <w:p w14:paraId="7193A76B"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0.016904</w:t>
            </w:r>
          </w:p>
        </w:tc>
        <w:tc>
          <w:tcPr>
            <w:tcW w:w="1190" w:type="dxa"/>
            <w:noWrap/>
            <w:hideMark/>
          </w:tcPr>
          <w:p w14:paraId="488AAF81"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0.017</w:t>
            </w:r>
          </w:p>
        </w:tc>
      </w:tr>
      <w:tr w:rsidR="00141480" w:rsidRPr="00141480" w14:paraId="1F632BFB" w14:textId="77777777" w:rsidTr="00141480">
        <w:trPr>
          <w:trHeight w:val="285"/>
        </w:trPr>
        <w:tc>
          <w:tcPr>
            <w:tcW w:w="1854" w:type="dxa"/>
            <w:noWrap/>
            <w:hideMark/>
          </w:tcPr>
          <w:p w14:paraId="24197B34" w14:textId="77777777" w:rsidR="00141480" w:rsidRPr="00141480" w:rsidRDefault="00141480" w:rsidP="00141480">
            <w:pPr>
              <w:jc w:val="both"/>
              <w:rPr>
                <w:rFonts w:ascii="Times New Roman" w:hAnsi="Times New Roman" w:cs="Times New Roman"/>
                <w:b/>
                <w:bCs/>
                <w:sz w:val="16"/>
                <w:szCs w:val="16"/>
              </w:rPr>
            </w:pPr>
            <w:r w:rsidRPr="00141480">
              <w:rPr>
                <w:rFonts w:ascii="Times New Roman" w:hAnsi="Times New Roman" w:cs="Times New Roman" w:hint="eastAsia"/>
                <w:b/>
                <w:bCs/>
                <w:sz w:val="16"/>
                <w:szCs w:val="16"/>
              </w:rPr>
              <w:t>Total effect</w:t>
            </w:r>
          </w:p>
        </w:tc>
        <w:tc>
          <w:tcPr>
            <w:tcW w:w="1007" w:type="dxa"/>
            <w:noWrap/>
            <w:hideMark/>
          </w:tcPr>
          <w:p w14:paraId="00984F63"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-0.27056</w:t>
            </w:r>
          </w:p>
        </w:tc>
        <w:tc>
          <w:tcPr>
            <w:tcW w:w="1006" w:type="dxa"/>
            <w:noWrap/>
            <w:hideMark/>
          </w:tcPr>
          <w:p w14:paraId="6E2A461B"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0.116658</w:t>
            </w:r>
          </w:p>
        </w:tc>
        <w:tc>
          <w:tcPr>
            <w:tcW w:w="1006" w:type="dxa"/>
            <w:noWrap/>
            <w:hideMark/>
          </w:tcPr>
          <w:p w14:paraId="66D05C0A"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-0.5012</w:t>
            </w:r>
          </w:p>
        </w:tc>
        <w:tc>
          <w:tcPr>
            <w:tcW w:w="1006" w:type="dxa"/>
            <w:noWrap/>
            <w:hideMark/>
          </w:tcPr>
          <w:p w14:paraId="6267D61B"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-0.04288</w:t>
            </w:r>
          </w:p>
        </w:tc>
        <w:tc>
          <w:tcPr>
            <w:tcW w:w="1006" w:type="dxa"/>
            <w:noWrap/>
            <w:hideMark/>
          </w:tcPr>
          <w:p w14:paraId="448DA7EB"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0.020382</w:t>
            </w:r>
          </w:p>
        </w:tc>
        <w:tc>
          <w:tcPr>
            <w:tcW w:w="1190" w:type="dxa"/>
            <w:noWrap/>
            <w:hideMark/>
          </w:tcPr>
          <w:p w14:paraId="096FC19C"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0.02</w:t>
            </w:r>
          </w:p>
        </w:tc>
      </w:tr>
      <w:tr w:rsidR="00141480" w:rsidRPr="00141480" w14:paraId="7C10CD58" w14:textId="77777777" w:rsidTr="00141480">
        <w:trPr>
          <w:trHeight w:val="285"/>
        </w:trPr>
        <w:tc>
          <w:tcPr>
            <w:tcW w:w="1854" w:type="dxa"/>
            <w:noWrap/>
            <w:hideMark/>
          </w:tcPr>
          <w:p w14:paraId="3A9AF967" w14:textId="77777777" w:rsidR="00141480" w:rsidRPr="00141480" w:rsidRDefault="00141480" w:rsidP="00141480">
            <w:pPr>
              <w:jc w:val="both"/>
              <w:rPr>
                <w:rFonts w:ascii="Times New Roman" w:hAnsi="Times New Roman" w:cs="Times New Roman"/>
                <w:b/>
                <w:bCs/>
                <w:sz w:val="16"/>
                <w:szCs w:val="16"/>
              </w:rPr>
            </w:pPr>
            <w:r w:rsidRPr="00141480">
              <w:rPr>
                <w:rFonts w:ascii="Times New Roman" w:hAnsi="Times New Roman" w:cs="Times New Roman" w:hint="eastAsia"/>
                <w:b/>
                <w:bCs/>
                <w:sz w:val="16"/>
                <w:szCs w:val="16"/>
              </w:rPr>
              <w:t>Proportion mediated</w:t>
            </w:r>
          </w:p>
        </w:tc>
        <w:tc>
          <w:tcPr>
            <w:tcW w:w="1007" w:type="dxa"/>
            <w:noWrap/>
            <w:hideMark/>
          </w:tcPr>
          <w:p w14:paraId="665EA741"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0.010808</w:t>
            </w:r>
          </w:p>
        </w:tc>
        <w:tc>
          <w:tcPr>
            <w:tcW w:w="1006" w:type="dxa"/>
            <w:noWrap/>
            <w:hideMark/>
          </w:tcPr>
          <w:p w14:paraId="5843435A"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1.032331</w:t>
            </w:r>
          </w:p>
        </w:tc>
        <w:tc>
          <w:tcPr>
            <w:tcW w:w="1006" w:type="dxa"/>
            <w:noWrap/>
            <w:hideMark/>
          </w:tcPr>
          <w:p w14:paraId="277BAC43"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-0.08608</w:t>
            </w:r>
          </w:p>
        </w:tc>
        <w:tc>
          <w:tcPr>
            <w:tcW w:w="1006" w:type="dxa"/>
            <w:noWrap/>
            <w:hideMark/>
          </w:tcPr>
          <w:p w14:paraId="4E8C54A4"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0.073202</w:t>
            </w:r>
          </w:p>
        </w:tc>
        <w:tc>
          <w:tcPr>
            <w:tcW w:w="1006" w:type="dxa"/>
            <w:noWrap/>
            <w:hideMark/>
          </w:tcPr>
          <w:p w14:paraId="7897EA4C"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0.991647</w:t>
            </w:r>
          </w:p>
        </w:tc>
        <w:tc>
          <w:tcPr>
            <w:tcW w:w="1190" w:type="dxa"/>
            <w:noWrap/>
            <w:hideMark/>
          </w:tcPr>
          <w:p w14:paraId="770453D3" w14:textId="77777777" w:rsidR="00141480" w:rsidRPr="00141480" w:rsidRDefault="00141480" w:rsidP="00141480">
            <w:pPr>
              <w:jc w:val="both"/>
              <w:rPr>
                <w:rFonts w:ascii="Times New Roman" w:hAnsi="Times New Roman" w:cs="Times New Roman"/>
                <w:sz w:val="16"/>
                <w:szCs w:val="16"/>
              </w:rPr>
            </w:pPr>
            <w:r w:rsidRPr="00141480">
              <w:rPr>
                <w:rFonts w:ascii="Times New Roman" w:hAnsi="Times New Roman" w:cs="Times New Roman" w:hint="eastAsia"/>
                <w:sz w:val="16"/>
                <w:szCs w:val="16"/>
              </w:rPr>
              <w:t>0.992</w:t>
            </w:r>
          </w:p>
        </w:tc>
      </w:tr>
    </w:tbl>
    <w:p w14:paraId="6A0F4C84" w14:textId="77777777" w:rsidR="00741652" w:rsidRPr="00741652" w:rsidRDefault="00741652" w:rsidP="00741652">
      <w:pPr>
        <w:spacing w:after="0" w:line="240" w:lineRule="auto"/>
        <w:jc w:val="both"/>
        <w:rPr>
          <w:rFonts w:ascii="Times New Roman" w:hAnsi="Times New Roman" w:cs="Times New Roman"/>
          <w:sz w:val="13"/>
          <w:szCs w:val="13"/>
        </w:rPr>
      </w:pPr>
      <w:r w:rsidRPr="00741652">
        <w:rPr>
          <w:rFonts w:ascii="Times New Roman" w:hAnsi="Times New Roman" w:cs="Times New Roman"/>
          <w:sz w:val="13"/>
          <w:szCs w:val="13"/>
        </w:rPr>
        <w:t xml:space="preserve">Mediation analysis was conducted within a survey-weighted multiple imputation framework. Exposure: </w:t>
      </w:r>
      <w:proofErr w:type="gramStart"/>
      <w:r w:rsidRPr="00741652">
        <w:rPr>
          <w:rFonts w:ascii="Times New Roman" w:hAnsi="Times New Roman" w:cs="Times New Roman"/>
          <w:sz w:val="13"/>
          <w:szCs w:val="13"/>
        </w:rPr>
        <w:t>log(</w:t>
      </w:r>
      <w:proofErr w:type="gramEnd"/>
      <w:r w:rsidRPr="00741652">
        <w:rPr>
          <w:rFonts w:ascii="Times New Roman" w:hAnsi="Times New Roman" w:cs="Times New Roman"/>
          <w:sz w:val="13"/>
          <w:szCs w:val="13"/>
        </w:rPr>
        <w:t>TT/E2); mediator: weight-adjusted waist index (WWI); outcome: coronary heart disease (CHD).</w:t>
      </w:r>
    </w:p>
    <w:p w14:paraId="67F757CA" w14:textId="77777777" w:rsidR="00741652" w:rsidRPr="00741652" w:rsidRDefault="00741652" w:rsidP="00741652">
      <w:pPr>
        <w:spacing w:after="0" w:line="240" w:lineRule="auto"/>
        <w:jc w:val="both"/>
        <w:rPr>
          <w:rFonts w:ascii="Times New Roman" w:hAnsi="Times New Roman" w:cs="Times New Roman"/>
          <w:sz w:val="13"/>
          <w:szCs w:val="13"/>
        </w:rPr>
      </w:pPr>
      <w:r w:rsidRPr="00741652">
        <w:rPr>
          <w:rFonts w:ascii="Times New Roman" w:hAnsi="Times New Roman" w:cs="Times New Roman"/>
          <w:sz w:val="13"/>
          <w:szCs w:val="13"/>
        </w:rPr>
        <w:t xml:space="preserve">ACME represents the average causal mediation effect (indirect effect), ADE represents the average direct effect, and total effect is the sum of ACME and ADE. </w:t>
      </w:r>
      <w:r w:rsidRPr="00741652">
        <w:rPr>
          <w:rFonts w:ascii="Times New Roman" w:hAnsi="Times New Roman" w:cs="Times New Roman"/>
          <w:sz w:val="13"/>
          <w:szCs w:val="13"/>
        </w:rPr>
        <w:lastRenderedPageBreak/>
        <w:t>The proportion mediated was calculated as ACME divided by the total effect.</w:t>
      </w:r>
    </w:p>
    <w:p w14:paraId="16EFD98B" w14:textId="77777777" w:rsidR="00741652" w:rsidRPr="00741652" w:rsidRDefault="00741652" w:rsidP="00741652">
      <w:pPr>
        <w:spacing w:after="0" w:line="240" w:lineRule="auto"/>
        <w:jc w:val="both"/>
        <w:rPr>
          <w:rFonts w:ascii="Times New Roman" w:hAnsi="Times New Roman" w:cs="Times New Roman"/>
          <w:sz w:val="13"/>
          <w:szCs w:val="13"/>
        </w:rPr>
      </w:pPr>
      <w:r w:rsidRPr="00741652">
        <w:rPr>
          <w:rFonts w:ascii="Times New Roman" w:hAnsi="Times New Roman" w:cs="Times New Roman"/>
          <w:sz w:val="13"/>
          <w:szCs w:val="13"/>
        </w:rPr>
        <w:t>Models were adjusted for age, race/ethnicity, education level, marital status, poverty–income ratio (PIR), smoking status, alcohol consumption, diabetes, hypertension, and hyperlipidemia.</w:t>
      </w:r>
    </w:p>
    <w:p w14:paraId="0A797853" w14:textId="77777777" w:rsidR="00741652" w:rsidRPr="00741652" w:rsidRDefault="00741652" w:rsidP="00741652">
      <w:pPr>
        <w:spacing w:after="0" w:line="240" w:lineRule="auto"/>
        <w:jc w:val="both"/>
        <w:rPr>
          <w:rFonts w:ascii="Times New Roman" w:hAnsi="Times New Roman" w:cs="Times New Roman"/>
          <w:sz w:val="13"/>
          <w:szCs w:val="13"/>
        </w:rPr>
      </w:pPr>
      <w:r w:rsidRPr="00741652">
        <w:rPr>
          <w:rFonts w:ascii="Times New Roman" w:hAnsi="Times New Roman" w:cs="Times New Roman"/>
          <w:sz w:val="13"/>
          <w:szCs w:val="13"/>
        </w:rPr>
        <w:t>Estimates were pooled using Rubin’s rules. Confidence intervals were obtained using simulation-based methods. All P values are two-sided.</w:t>
      </w:r>
    </w:p>
    <w:p w14:paraId="42226534" w14:textId="1B939C18" w:rsidR="00146EDE" w:rsidRPr="00141480" w:rsidRDefault="00146EDE" w:rsidP="00146EDE">
      <w:pPr>
        <w:jc w:val="both"/>
        <w:rPr>
          <w:rFonts w:ascii="Times New Roman" w:hAnsi="Times New Roman" w:cs="Times New Roman"/>
          <w:sz w:val="13"/>
          <w:szCs w:val="13"/>
        </w:rPr>
      </w:pPr>
    </w:p>
    <w:p w14:paraId="63FCEE72" w14:textId="77777777" w:rsidR="00146EDE" w:rsidRDefault="00146EDE" w:rsidP="00146EDE">
      <w:pPr>
        <w:jc w:val="both"/>
        <w:rPr>
          <w:rFonts w:ascii="Times New Roman" w:hAnsi="Times New Roman" w:cs="Times New Roman"/>
          <w:sz w:val="16"/>
          <w:szCs w:val="16"/>
        </w:rPr>
      </w:pPr>
    </w:p>
    <w:p w14:paraId="74BF48D4" w14:textId="75C857C0" w:rsidR="00141480" w:rsidRPr="00141480" w:rsidRDefault="00146EDE" w:rsidP="00141480">
      <w:pPr>
        <w:jc w:val="both"/>
        <w:rPr>
          <w:rFonts w:ascii="Times New Roman" w:hAnsi="Times New Roman" w:cs="Times New Roman"/>
          <w:b/>
          <w:bCs/>
          <w:sz w:val="16"/>
          <w:szCs w:val="16"/>
        </w:rPr>
      </w:pPr>
      <w:r w:rsidRPr="00146EDE">
        <w:rPr>
          <w:rFonts w:ascii="Times New Roman" w:hAnsi="Times New Roman" w:cs="Times New Roman"/>
          <w:b/>
          <w:bCs/>
          <w:sz w:val="16"/>
          <w:szCs w:val="16"/>
        </w:rPr>
        <w:t>Table S</w:t>
      </w:r>
      <w:r>
        <w:rPr>
          <w:rFonts w:ascii="Times New Roman" w:hAnsi="Times New Roman" w:cs="Times New Roman" w:hint="eastAsia"/>
          <w:b/>
          <w:bCs/>
          <w:sz w:val="16"/>
          <w:szCs w:val="16"/>
        </w:rPr>
        <w:t>5</w:t>
      </w:r>
      <w:r w:rsidRPr="00146EDE">
        <w:rPr>
          <w:rFonts w:ascii="Times New Roman" w:hAnsi="Times New Roman" w:cs="Times New Roman"/>
          <w:b/>
          <w:bCs/>
          <w:sz w:val="16"/>
          <w:szCs w:val="16"/>
        </w:rPr>
        <w:t xml:space="preserve">: </w:t>
      </w:r>
      <w:r w:rsidR="00741652" w:rsidRPr="00741652">
        <w:rPr>
          <w:rFonts w:ascii="Times New Roman" w:hAnsi="Times New Roman" w:cs="Times New Roman"/>
          <w:b/>
          <w:bCs/>
          <w:sz w:val="16"/>
          <w:szCs w:val="16"/>
        </w:rPr>
        <w:t>Survey-weighted mediation analysis of the association between log-transformed estradiol [log(E2)] and coronary heart disease (CHD) with weight-adjusted waist index (WWI) as a mediator among postmenopausal women</w:t>
      </w:r>
    </w:p>
    <w:tbl>
      <w:tblPr>
        <w:tblStyle w:val="af2"/>
        <w:tblW w:w="0" w:type="auto"/>
        <w:tblLook w:val="04A0" w:firstRow="1" w:lastRow="0" w:firstColumn="1" w:lastColumn="0" w:noHBand="0" w:noVBand="1"/>
      </w:tblPr>
      <w:tblGrid>
        <w:gridCol w:w="1972"/>
        <w:gridCol w:w="1583"/>
        <w:gridCol w:w="1152"/>
        <w:gridCol w:w="836"/>
        <w:gridCol w:w="836"/>
        <w:gridCol w:w="836"/>
        <w:gridCol w:w="1081"/>
      </w:tblGrid>
      <w:tr w:rsidR="00146EDE" w:rsidRPr="00146EDE" w14:paraId="405873A7" w14:textId="77777777" w:rsidTr="00141480">
        <w:trPr>
          <w:trHeight w:val="285"/>
        </w:trPr>
        <w:tc>
          <w:tcPr>
            <w:tcW w:w="1972" w:type="dxa"/>
            <w:noWrap/>
            <w:hideMark/>
          </w:tcPr>
          <w:p w14:paraId="11F04A24" w14:textId="77777777" w:rsidR="00146EDE" w:rsidRPr="00146EDE" w:rsidRDefault="00146EDE" w:rsidP="00146EDE">
            <w:pPr>
              <w:jc w:val="both"/>
              <w:rPr>
                <w:rFonts w:ascii="Times New Roman" w:hAnsi="Times New Roman" w:cs="Times New Roman"/>
                <w:b/>
                <w:bCs/>
                <w:sz w:val="16"/>
                <w:szCs w:val="16"/>
              </w:rPr>
            </w:pPr>
            <w:r w:rsidRPr="00146EDE">
              <w:rPr>
                <w:rFonts w:ascii="Times New Roman" w:hAnsi="Times New Roman" w:cs="Times New Roman" w:hint="eastAsia"/>
                <w:b/>
                <w:bCs/>
                <w:sz w:val="16"/>
                <w:szCs w:val="16"/>
              </w:rPr>
              <w:t>effect</w:t>
            </w:r>
          </w:p>
        </w:tc>
        <w:tc>
          <w:tcPr>
            <w:tcW w:w="1583" w:type="dxa"/>
            <w:noWrap/>
            <w:hideMark/>
          </w:tcPr>
          <w:p w14:paraId="4A58F203" w14:textId="77777777" w:rsidR="00146EDE" w:rsidRPr="00146EDE" w:rsidRDefault="00146EDE" w:rsidP="00146EDE">
            <w:pPr>
              <w:jc w:val="both"/>
              <w:rPr>
                <w:rFonts w:ascii="Times New Roman" w:hAnsi="Times New Roman" w:cs="Times New Roman"/>
                <w:b/>
                <w:bCs/>
                <w:sz w:val="16"/>
                <w:szCs w:val="16"/>
              </w:rPr>
            </w:pPr>
            <w:r w:rsidRPr="00146EDE">
              <w:rPr>
                <w:rFonts w:ascii="Times New Roman" w:hAnsi="Times New Roman" w:cs="Times New Roman" w:hint="eastAsia"/>
                <w:b/>
                <w:bCs/>
                <w:sz w:val="16"/>
                <w:szCs w:val="16"/>
              </w:rPr>
              <w:t>estimate</w:t>
            </w:r>
          </w:p>
        </w:tc>
        <w:tc>
          <w:tcPr>
            <w:tcW w:w="1152" w:type="dxa"/>
            <w:noWrap/>
            <w:hideMark/>
          </w:tcPr>
          <w:p w14:paraId="51493A00" w14:textId="77777777" w:rsidR="00146EDE" w:rsidRPr="00146EDE" w:rsidRDefault="00146EDE" w:rsidP="00146EDE">
            <w:pPr>
              <w:jc w:val="both"/>
              <w:rPr>
                <w:rFonts w:ascii="Times New Roman" w:hAnsi="Times New Roman" w:cs="Times New Roman"/>
                <w:b/>
                <w:bCs/>
                <w:sz w:val="16"/>
                <w:szCs w:val="16"/>
              </w:rPr>
            </w:pPr>
            <w:r w:rsidRPr="00146EDE">
              <w:rPr>
                <w:rFonts w:ascii="Times New Roman" w:hAnsi="Times New Roman" w:cs="Times New Roman" w:hint="eastAsia"/>
                <w:b/>
                <w:bCs/>
                <w:sz w:val="16"/>
                <w:szCs w:val="16"/>
              </w:rPr>
              <w:t>se</w:t>
            </w:r>
          </w:p>
        </w:tc>
        <w:tc>
          <w:tcPr>
            <w:tcW w:w="836" w:type="dxa"/>
            <w:noWrap/>
            <w:hideMark/>
          </w:tcPr>
          <w:p w14:paraId="0142F4D6" w14:textId="77777777" w:rsidR="00146EDE" w:rsidRPr="00146EDE" w:rsidRDefault="00146EDE" w:rsidP="00146EDE">
            <w:pPr>
              <w:jc w:val="both"/>
              <w:rPr>
                <w:rFonts w:ascii="Times New Roman" w:hAnsi="Times New Roman" w:cs="Times New Roman"/>
                <w:b/>
                <w:bCs/>
                <w:sz w:val="16"/>
                <w:szCs w:val="16"/>
              </w:rPr>
            </w:pPr>
            <w:proofErr w:type="spellStart"/>
            <w:r w:rsidRPr="00146EDE">
              <w:rPr>
                <w:rFonts w:ascii="Times New Roman" w:hAnsi="Times New Roman" w:cs="Times New Roman" w:hint="eastAsia"/>
                <w:b/>
                <w:bCs/>
                <w:sz w:val="16"/>
                <w:szCs w:val="16"/>
              </w:rPr>
              <w:t>CI_low</w:t>
            </w:r>
            <w:proofErr w:type="spellEnd"/>
          </w:p>
        </w:tc>
        <w:tc>
          <w:tcPr>
            <w:tcW w:w="836" w:type="dxa"/>
            <w:noWrap/>
            <w:hideMark/>
          </w:tcPr>
          <w:p w14:paraId="00B75943" w14:textId="77777777" w:rsidR="00146EDE" w:rsidRPr="00146EDE" w:rsidRDefault="00146EDE" w:rsidP="00146EDE">
            <w:pPr>
              <w:jc w:val="both"/>
              <w:rPr>
                <w:rFonts w:ascii="Times New Roman" w:hAnsi="Times New Roman" w:cs="Times New Roman"/>
                <w:b/>
                <w:bCs/>
                <w:sz w:val="16"/>
                <w:szCs w:val="16"/>
              </w:rPr>
            </w:pPr>
            <w:proofErr w:type="spellStart"/>
            <w:r w:rsidRPr="00146EDE">
              <w:rPr>
                <w:rFonts w:ascii="Times New Roman" w:hAnsi="Times New Roman" w:cs="Times New Roman" w:hint="eastAsia"/>
                <w:b/>
                <w:bCs/>
                <w:sz w:val="16"/>
                <w:szCs w:val="16"/>
              </w:rPr>
              <w:t>CI_high</w:t>
            </w:r>
            <w:proofErr w:type="spellEnd"/>
          </w:p>
        </w:tc>
        <w:tc>
          <w:tcPr>
            <w:tcW w:w="836" w:type="dxa"/>
            <w:noWrap/>
            <w:hideMark/>
          </w:tcPr>
          <w:p w14:paraId="14E81691" w14:textId="77777777" w:rsidR="00146EDE" w:rsidRPr="00146EDE" w:rsidRDefault="00146EDE" w:rsidP="00146EDE">
            <w:pPr>
              <w:jc w:val="both"/>
              <w:rPr>
                <w:rFonts w:ascii="Times New Roman" w:hAnsi="Times New Roman" w:cs="Times New Roman"/>
                <w:b/>
                <w:bCs/>
                <w:sz w:val="16"/>
                <w:szCs w:val="16"/>
              </w:rPr>
            </w:pPr>
            <w:proofErr w:type="spellStart"/>
            <w:r w:rsidRPr="00146EDE">
              <w:rPr>
                <w:rFonts w:ascii="Times New Roman" w:hAnsi="Times New Roman" w:cs="Times New Roman" w:hint="eastAsia"/>
                <w:b/>
                <w:bCs/>
                <w:sz w:val="16"/>
                <w:szCs w:val="16"/>
              </w:rPr>
              <w:t>p_value</w:t>
            </w:r>
            <w:proofErr w:type="spellEnd"/>
          </w:p>
        </w:tc>
        <w:tc>
          <w:tcPr>
            <w:tcW w:w="1081" w:type="dxa"/>
            <w:noWrap/>
            <w:hideMark/>
          </w:tcPr>
          <w:p w14:paraId="26B672A2" w14:textId="77777777" w:rsidR="00146EDE" w:rsidRPr="00146EDE" w:rsidRDefault="00146EDE" w:rsidP="00146EDE">
            <w:pPr>
              <w:jc w:val="both"/>
              <w:rPr>
                <w:rFonts w:ascii="Times New Roman" w:hAnsi="Times New Roman" w:cs="Times New Roman"/>
                <w:b/>
                <w:bCs/>
                <w:sz w:val="16"/>
                <w:szCs w:val="16"/>
              </w:rPr>
            </w:pPr>
            <w:proofErr w:type="spellStart"/>
            <w:r w:rsidRPr="00146EDE">
              <w:rPr>
                <w:rFonts w:ascii="Times New Roman" w:hAnsi="Times New Roman" w:cs="Times New Roman" w:hint="eastAsia"/>
                <w:b/>
                <w:bCs/>
                <w:sz w:val="16"/>
                <w:szCs w:val="16"/>
              </w:rPr>
              <w:t>p_formatted</w:t>
            </w:r>
            <w:proofErr w:type="spellEnd"/>
          </w:p>
        </w:tc>
      </w:tr>
      <w:tr w:rsidR="00146EDE" w:rsidRPr="00146EDE" w14:paraId="3B426EBA" w14:textId="77777777" w:rsidTr="00141480">
        <w:trPr>
          <w:trHeight w:val="285"/>
        </w:trPr>
        <w:tc>
          <w:tcPr>
            <w:tcW w:w="1972" w:type="dxa"/>
            <w:noWrap/>
            <w:hideMark/>
          </w:tcPr>
          <w:p w14:paraId="1C5991BE" w14:textId="77777777" w:rsidR="00146EDE" w:rsidRPr="00146EDE" w:rsidRDefault="00146EDE" w:rsidP="00146EDE">
            <w:pPr>
              <w:jc w:val="both"/>
              <w:rPr>
                <w:rFonts w:ascii="Times New Roman" w:hAnsi="Times New Roman" w:cs="Times New Roman"/>
                <w:b/>
                <w:bCs/>
                <w:sz w:val="16"/>
                <w:szCs w:val="16"/>
              </w:rPr>
            </w:pPr>
            <w:r w:rsidRPr="00146EDE">
              <w:rPr>
                <w:rFonts w:ascii="Times New Roman" w:hAnsi="Times New Roman" w:cs="Times New Roman" w:hint="eastAsia"/>
                <w:b/>
                <w:bCs/>
                <w:sz w:val="16"/>
                <w:szCs w:val="16"/>
              </w:rPr>
              <w:t>ACME (indirect)</w:t>
            </w:r>
          </w:p>
        </w:tc>
        <w:tc>
          <w:tcPr>
            <w:tcW w:w="1583" w:type="dxa"/>
            <w:noWrap/>
            <w:hideMark/>
          </w:tcPr>
          <w:p w14:paraId="3338ED82"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0.023655782</w:t>
            </w:r>
          </w:p>
        </w:tc>
        <w:tc>
          <w:tcPr>
            <w:tcW w:w="1152" w:type="dxa"/>
            <w:noWrap/>
            <w:hideMark/>
          </w:tcPr>
          <w:p w14:paraId="29FC52A5"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0.010762563</w:t>
            </w:r>
          </w:p>
        </w:tc>
        <w:tc>
          <w:tcPr>
            <w:tcW w:w="836" w:type="dxa"/>
            <w:noWrap/>
            <w:hideMark/>
          </w:tcPr>
          <w:p w14:paraId="4FFB432E"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0.005727</w:t>
            </w:r>
          </w:p>
        </w:tc>
        <w:tc>
          <w:tcPr>
            <w:tcW w:w="836" w:type="dxa"/>
            <w:noWrap/>
            <w:hideMark/>
          </w:tcPr>
          <w:p w14:paraId="754D213C"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0.047174</w:t>
            </w:r>
          </w:p>
        </w:tc>
        <w:tc>
          <w:tcPr>
            <w:tcW w:w="836" w:type="dxa"/>
            <w:noWrap/>
            <w:hideMark/>
          </w:tcPr>
          <w:p w14:paraId="2B00FFB9"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0.027951</w:t>
            </w:r>
          </w:p>
        </w:tc>
        <w:tc>
          <w:tcPr>
            <w:tcW w:w="1081" w:type="dxa"/>
            <w:noWrap/>
            <w:hideMark/>
          </w:tcPr>
          <w:p w14:paraId="605F18AC"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0.028</w:t>
            </w:r>
          </w:p>
        </w:tc>
      </w:tr>
      <w:tr w:rsidR="00146EDE" w:rsidRPr="00146EDE" w14:paraId="51EC2810" w14:textId="77777777" w:rsidTr="00141480">
        <w:trPr>
          <w:trHeight w:val="285"/>
        </w:trPr>
        <w:tc>
          <w:tcPr>
            <w:tcW w:w="1972" w:type="dxa"/>
            <w:noWrap/>
            <w:hideMark/>
          </w:tcPr>
          <w:p w14:paraId="7E9EB327" w14:textId="77777777" w:rsidR="00146EDE" w:rsidRPr="00146EDE" w:rsidRDefault="00146EDE" w:rsidP="00146EDE">
            <w:pPr>
              <w:jc w:val="both"/>
              <w:rPr>
                <w:rFonts w:ascii="Times New Roman" w:hAnsi="Times New Roman" w:cs="Times New Roman"/>
                <w:b/>
                <w:bCs/>
                <w:sz w:val="16"/>
                <w:szCs w:val="16"/>
              </w:rPr>
            </w:pPr>
            <w:r w:rsidRPr="00146EDE">
              <w:rPr>
                <w:rFonts w:ascii="Times New Roman" w:hAnsi="Times New Roman" w:cs="Times New Roman" w:hint="eastAsia"/>
                <w:b/>
                <w:bCs/>
                <w:sz w:val="16"/>
                <w:szCs w:val="16"/>
              </w:rPr>
              <w:t>ADE (direct)</w:t>
            </w:r>
          </w:p>
        </w:tc>
        <w:tc>
          <w:tcPr>
            <w:tcW w:w="1583" w:type="dxa"/>
            <w:noWrap/>
            <w:hideMark/>
          </w:tcPr>
          <w:p w14:paraId="294BDA5A"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-0.186972373</w:t>
            </w:r>
          </w:p>
        </w:tc>
        <w:tc>
          <w:tcPr>
            <w:tcW w:w="1152" w:type="dxa"/>
            <w:noWrap/>
            <w:hideMark/>
          </w:tcPr>
          <w:p w14:paraId="5E0479D9"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0.079116893</w:t>
            </w:r>
          </w:p>
        </w:tc>
        <w:tc>
          <w:tcPr>
            <w:tcW w:w="836" w:type="dxa"/>
            <w:noWrap/>
            <w:hideMark/>
          </w:tcPr>
          <w:p w14:paraId="6CC35AC9"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-0.34418</w:t>
            </w:r>
          </w:p>
        </w:tc>
        <w:tc>
          <w:tcPr>
            <w:tcW w:w="836" w:type="dxa"/>
            <w:noWrap/>
            <w:hideMark/>
          </w:tcPr>
          <w:p w14:paraId="1D7ED2DF"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-0.03683</w:t>
            </w:r>
          </w:p>
        </w:tc>
        <w:tc>
          <w:tcPr>
            <w:tcW w:w="836" w:type="dxa"/>
            <w:noWrap/>
            <w:hideMark/>
          </w:tcPr>
          <w:p w14:paraId="256C869C"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0.018116</w:t>
            </w:r>
          </w:p>
        </w:tc>
        <w:tc>
          <w:tcPr>
            <w:tcW w:w="1081" w:type="dxa"/>
            <w:noWrap/>
            <w:hideMark/>
          </w:tcPr>
          <w:p w14:paraId="4F74E118"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0.018</w:t>
            </w:r>
          </w:p>
        </w:tc>
      </w:tr>
      <w:tr w:rsidR="00146EDE" w:rsidRPr="00146EDE" w14:paraId="598E9439" w14:textId="77777777" w:rsidTr="00141480">
        <w:trPr>
          <w:trHeight w:val="285"/>
        </w:trPr>
        <w:tc>
          <w:tcPr>
            <w:tcW w:w="1972" w:type="dxa"/>
            <w:noWrap/>
            <w:hideMark/>
          </w:tcPr>
          <w:p w14:paraId="6BC9DF8D" w14:textId="77777777" w:rsidR="00146EDE" w:rsidRPr="00146EDE" w:rsidRDefault="00146EDE" w:rsidP="00146EDE">
            <w:pPr>
              <w:jc w:val="both"/>
              <w:rPr>
                <w:rFonts w:ascii="Times New Roman" w:hAnsi="Times New Roman" w:cs="Times New Roman"/>
                <w:b/>
                <w:bCs/>
                <w:sz w:val="16"/>
                <w:szCs w:val="16"/>
              </w:rPr>
            </w:pPr>
            <w:r w:rsidRPr="00146EDE">
              <w:rPr>
                <w:rFonts w:ascii="Times New Roman" w:hAnsi="Times New Roman" w:cs="Times New Roman" w:hint="eastAsia"/>
                <w:b/>
                <w:bCs/>
                <w:sz w:val="16"/>
                <w:szCs w:val="16"/>
              </w:rPr>
              <w:t>Total effect</w:t>
            </w:r>
          </w:p>
        </w:tc>
        <w:tc>
          <w:tcPr>
            <w:tcW w:w="1583" w:type="dxa"/>
            <w:noWrap/>
            <w:hideMark/>
          </w:tcPr>
          <w:p w14:paraId="3A921A16"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-0.158079521</w:t>
            </w:r>
          </w:p>
        </w:tc>
        <w:tc>
          <w:tcPr>
            <w:tcW w:w="1152" w:type="dxa"/>
            <w:noWrap/>
            <w:hideMark/>
          </w:tcPr>
          <w:p w14:paraId="11FF8D32"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0.076942709</w:t>
            </w:r>
          </w:p>
        </w:tc>
        <w:tc>
          <w:tcPr>
            <w:tcW w:w="836" w:type="dxa"/>
            <w:noWrap/>
            <w:hideMark/>
          </w:tcPr>
          <w:p w14:paraId="13D86A6B"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-0.3102</w:t>
            </w:r>
          </w:p>
        </w:tc>
        <w:tc>
          <w:tcPr>
            <w:tcW w:w="836" w:type="dxa"/>
            <w:noWrap/>
            <w:hideMark/>
          </w:tcPr>
          <w:p w14:paraId="707747A3"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-0.00791</w:t>
            </w:r>
          </w:p>
        </w:tc>
        <w:tc>
          <w:tcPr>
            <w:tcW w:w="836" w:type="dxa"/>
            <w:noWrap/>
            <w:hideMark/>
          </w:tcPr>
          <w:p w14:paraId="2B041DF8"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0.039926</w:t>
            </w:r>
          </w:p>
        </w:tc>
        <w:tc>
          <w:tcPr>
            <w:tcW w:w="1081" w:type="dxa"/>
            <w:noWrap/>
            <w:hideMark/>
          </w:tcPr>
          <w:p w14:paraId="57FE8058"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0.04</w:t>
            </w:r>
          </w:p>
        </w:tc>
      </w:tr>
      <w:tr w:rsidR="00146EDE" w:rsidRPr="00146EDE" w14:paraId="395DDD82" w14:textId="77777777" w:rsidTr="00141480">
        <w:trPr>
          <w:trHeight w:val="285"/>
        </w:trPr>
        <w:tc>
          <w:tcPr>
            <w:tcW w:w="1972" w:type="dxa"/>
            <w:noWrap/>
            <w:hideMark/>
          </w:tcPr>
          <w:p w14:paraId="4DD929E5" w14:textId="77777777" w:rsidR="00146EDE" w:rsidRPr="00146EDE" w:rsidRDefault="00146EDE" w:rsidP="00146EDE">
            <w:pPr>
              <w:jc w:val="both"/>
              <w:rPr>
                <w:rFonts w:ascii="Times New Roman" w:hAnsi="Times New Roman" w:cs="Times New Roman"/>
                <w:b/>
                <w:bCs/>
                <w:sz w:val="16"/>
                <w:szCs w:val="16"/>
              </w:rPr>
            </w:pPr>
            <w:r w:rsidRPr="00146EDE">
              <w:rPr>
                <w:rFonts w:ascii="Times New Roman" w:hAnsi="Times New Roman" w:cs="Times New Roman" w:hint="eastAsia"/>
                <w:b/>
                <w:bCs/>
                <w:sz w:val="16"/>
                <w:szCs w:val="16"/>
              </w:rPr>
              <w:t>Proportion mediated</w:t>
            </w:r>
          </w:p>
        </w:tc>
        <w:tc>
          <w:tcPr>
            <w:tcW w:w="1583" w:type="dxa"/>
            <w:noWrap/>
            <w:hideMark/>
          </w:tcPr>
          <w:p w14:paraId="1F291235"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-4.144394874</w:t>
            </w:r>
          </w:p>
        </w:tc>
        <w:tc>
          <w:tcPr>
            <w:tcW w:w="1152" w:type="dxa"/>
            <w:noWrap/>
            <w:hideMark/>
          </w:tcPr>
          <w:p w14:paraId="05AC30D5"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261.9473852</w:t>
            </w:r>
          </w:p>
        </w:tc>
        <w:tc>
          <w:tcPr>
            <w:tcW w:w="836" w:type="dxa"/>
            <w:noWrap/>
            <w:hideMark/>
          </w:tcPr>
          <w:p w14:paraId="39DA09FC"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-0.98337</w:t>
            </w:r>
          </w:p>
        </w:tc>
        <w:tc>
          <w:tcPr>
            <w:tcW w:w="836" w:type="dxa"/>
            <w:noWrap/>
            <w:hideMark/>
          </w:tcPr>
          <w:p w14:paraId="7CBDE1A2"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-0.01089</w:t>
            </w:r>
          </w:p>
        </w:tc>
        <w:tc>
          <w:tcPr>
            <w:tcW w:w="836" w:type="dxa"/>
            <w:noWrap/>
            <w:hideMark/>
          </w:tcPr>
          <w:p w14:paraId="1B8602EF"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0.987377</w:t>
            </w:r>
          </w:p>
        </w:tc>
        <w:tc>
          <w:tcPr>
            <w:tcW w:w="1081" w:type="dxa"/>
            <w:noWrap/>
            <w:hideMark/>
          </w:tcPr>
          <w:p w14:paraId="7F2B40B2" w14:textId="77777777" w:rsidR="00146EDE" w:rsidRPr="00146EDE" w:rsidRDefault="00146EDE" w:rsidP="00146EDE">
            <w:pPr>
              <w:jc w:val="both"/>
              <w:rPr>
                <w:rFonts w:ascii="Times New Roman" w:hAnsi="Times New Roman" w:cs="Times New Roman"/>
                <w:sz w:val="16"/>
                <w:szCs w:val="16"/>
              </w:rPr>
            </w:pPr>
            <w:r w:rsidRPr="00146EDE">
              <w:rPr>
                <w:rFonts w:ascii="Times New Roman" w:hAnsi="Times New Roman" w:cs="Times New Roman" w:hint="eastAsia"/>
                <w:sz w:val="16"/>
                <w:szCs w:val="16"/>
              </w:rPr>
              <w:t>0.987</w:t>
            </w:r>
          </w:p>
        </w:tc>
      </w:tr>
    </w:tbl>
    <w:p w14:paraId="698CAF0E" w14:textId="77777777" w:rsidR="00741652" w:rsidRPr="00741652" w:rsidRDefault="00741652" w:rsidP="00741652">
      <w:pPr>
        <w:spacing w:after="0" w:line="240" w:lineRule="auto"/>
        <w:jc w:val="both"/>
        <w:rPr>
          <w:rFonts w:ascii="Times New Roman" w:hAnsi="Times New Roman" w:cs="Times New Roman"/>
          <w:sz w:val="13"/>
          <w:szCs w:val="13"/>
        </w:rPr>
      </w:pPr>
      <w:r w:rsidRPr="00741652">
        <w:rPr>
          <w:rFonts w:ascii="Times New Roman" w:hAnsi="Times New Roman" w:cs="Times New Roman"/>
          <w:sz w:val="13"/>
          <w:szCs w:val="13"/>
        </w:rPr>
        <w:t>Mediation analysis was conducted within a survey-weighted multiple imputation framework. Exposure: log(E2); mediator: weight-adjusted waist index (WWI); outcome: coronary heart disease (CHD).</w:t>
      </w:r>
    </w:p>
    <w:p w14:paraId="5524937C" w14:textId="77777777" w:rsidR="00741652" w:rsidRPr="00741652" w:rsidRDefault="00741652" w:rsidP="00741652">
      <w:pPr>
        <w:spacing w:after="0" w:line="240" w:lineRule="auto"/>
        <w:jc w:val="both"/>
        <w:rPr>
          <w:rFonts w:ascii="Times New Roman" w:hAnsi="Times New Roman" w:cs="Times New Roman"/>
          <w:sz w:val="13"/>
          <w:szCs w:val="13"/>
        </w:rPr>
      </w:pPr>
      <w:r w:rsidRPr="00741652">
        <w:rPr>
          <w:rFonts w:ascii="Times New Roman" w:hAnsi="Times New Roman" w:cs="Times New Roman"/>
          <w:sz w:val="13"/>
          <w:szCs w:val="13"/>
        </w:rPr>
        <w:t>ACME represents the average causal mediation effect (indirect effect), ADE represents the average direct effect, and total effect is the sum of ACME and ADE. The proportion mediated was calculated as ACME divided by the total effect.</w:t>
      </w:r>
    </w:p>
    <w:p w14:paraId="773AEF5C" w14:textId="77777777" w:rsidR="00741652" w:rsidRPr="00741652" w:rsidRDefault="00741652" w:rsidP="00741652">
      <w:pPr>
        <w:spacing w:after="0" w:line="240" w:lineRule="auto"/>
        <w:jc w:val="both"/>
        <w:rPr>
          <w:rFonts w:ascii="Times New Roman" w:hAnsi="Times New Roman" w:cs="Times New Roman"/>
          <w:sz w:val="13"/>
          <w:szCs w:val="13"/>
        </w:rPr>
      </w:pPr>
      <w:r w:rsidRPr="00741652">
        <w:rPr>
          <w:rFonts w:ascii="Times New Roman" w:hAnsi="Times New Roman" w:cs="Times New Roman"/>
          <w:sz w:val="13"/>
          <w:szCs w:val="13"/>
        </w:rPr>
        <w:t>Models were adjusted for age, race/ethnicity, education level, marital status, poverty–income ratio (PIR), smoking status, alcohol consumption, diabetes, hypertension, and hyperlipidemia.</w:t>
      </w:r>
    </w:p>
    <w:p w14:paraId="2AFD8B2B" w14:textId="77777777" w:rsidR="00741652" w:rsidRDefault="00741652" w:rsidP="00741652">
      <w:pPr>
        <w:spacing w:after="0" w:line="240" w:lineRule="auto"/>
        <w:jc w:val="both"/>
        <w:rPr>
          <w:rFonts w:ascii="Times New Roman" w:hAnsi="Times New Roman" w:cs="Times New Roman"/>
          <w:sz w:val="13"/>
          <w:szCs w:val="13"/>
        </w:rPr>
      </w:pPr>
      <w:r w:rsidRPr="00741652">
        <w:rPr>
          <w:rFonts w:ascii="Times New Roman" w:hAnsi="Times New Roman" w:cs="Times New Roman"/>
          <w:sz w:val="13"/>
          <w:szCs w:val="13"/>
        </w:rPr>
        <w:t>Estimates were pooled using Rubin’s rules. Confidence intervals were obtained using simulation-based methods. The proportion mediated should be interpreted with caution when the total effect is unstable. All P values are two-sided.</w:t>
      </w:r>
    </w:p>
    <w:p w14:paraId="6FF7241A" w14:textId="77777777" w:rsidR="003E632A" w:rsidRDefault="003E632A" w:rsidP="00741652">
      <w:pPr>
        <w:spacing w:after="0" w:line="240" w:lineRule="auto"/>
        <w:jc w:val="both"/>
        <w:rPr>
          <w:rFonts w:ascii="Times New Roman" w:hAnsi="Times New Roman" w:cs="Times New Roman"/>
          <w:sz w:val="13"/>
          <w:szCs w:val="13"/>
        </w:rPr>
      </w:pPr>
    </w:p>
    <w:p w14:paraId="6BB79C4C" w14:textId="77777777" w:rsidR="003E632A" w:rsidRDefault="003E632A" w:rsidP="00741652">
      <w:pPr>
        <w:spacing w:after="0" w:line="240" w:lineRule="auto"/>
        <w:jc w:val="both"/>
        <w:rPr>
          <w:rFonts w:ascii="Times New Roman" w:hAnsi="Times New Roman" w:cs="Times New Roman"/>
          <w:sz w:val="13"/>
          <w:szCs w:val="13"/>
        </w:rPr>
      </w:pPr>
    </w:p>
    <w:p w14:paraId="16FB5124" w14:textId="77777777" w:rsidR="003E632A" w:rsidRDefault="003E632A" w:rsidP="00741652">
      <w:pPr>
        <w:spacing w:after="0" w:line="240" w:lineRule="auto"/>
        <w:jc w:val="both"/>
        <w:rPr>
          <w:rFonts w:ascii="Times New Roman" w:hAnsi="Times New Roman" w:cs="Times New Roman" w:hint="eastAsia"/>
          <w:sz w:val="13"/>
          <w:szCs w:val="13"/>
        </w:rPr>
      </w:pPr>
    </w:p>
    <w:p w14:paraId="2CDAA792" w14:textId="199E7C74" w:rsidR="003E632A" w:rsidRPr="00741652" w:rsidRDefault="003E632A" w:rsidP="00741652">
      <w:pPr>
        <w:spacing w:after="0" w:line="240" w:lineRule="auto"/>
        <w:jc w:val="both"/>
        <w:rPr>
          <w:rFonts w:ascii="Times New Roman" w:hAnsi="Times New Roman" w:cs="Times New Roman" w:hint="eastAsia"/>
          <w:b/>
          <w:bCs/>
          <w:sz w:val="16"/>
          <w:szCs w:val="16"/>
        </w:rPr>
      </w:pPr>
      <w:r w:rsidRPr="003E632A">
        <w:rPr>
          <w:rFonts w:ascii="Times New Roman" w:hAnsi="Times New Roman" w:cs="Times New Roman"/>
          <w:b/>
          <w:bCs/>
          <w:sz w:val="16"/>
          <w:szCs w:val="16"/>
        </w:rPr>
        <w:t>Table S6. Sensitivity analyses for the association between log-transformed testosterone-to-estradiol ratio [</w:t>
      </w:r>
      <w:proofErr w:type="gramStart"/>
      <w:r w:rsidRPr="003E632A">
        <w:rPr>
          <w:rFonts w:ascii="Times New Roman" w:hAnsi="Times New Roman" w:cs="Times New Roman"/>
          <w:b/>
          <w:bCs/>
          <w:sz w:val="16"/>
          <w:szCs w:val="16"/>
        </w:rPr>
        <w:t>log(</w:t>
      </w:r>
      <w:proofErr w:type="gramEnd"/>
      <w:r w:rsidRPr="003E632A">
        <w:rPr>
          <w:rFonts w:ascii="Times New Roman" w:hAnsi="Times New Roman" w:cs="Times New Roman"/>
          <w:b/>
          <w:bCs/>
          <w:sz w:val="16"/>
          <w:szCs w:val="16"/>
        </w:rPr>
        <w:t>TT/E2)] and coronary heart disease (CHD) across sex and menopausal subgroups</w:t>
      </w:r>
    </w:p>
    <w:tbl>
      <w:tblPr>
        <w:tblStyle w:val="af2"/>
        <w:tblW w:w="0" w:type="auto"/>
        <w:tblLook w:val="04A0" w:firstRow="1" w:lastRow="0" w:firstColumn="1" w:lastColumn="0" w:noHBand="0" w:noVBand="1"/>
      </w:tblPr>
      <w:tblGrid>
        <w:gridCol w:w="2114"/>
        <w:gridCol w:w="1440"/>
        <w:gridCol w:w="1618"/>
        <w:gridCol w:w="1440"/>
        <w:gridCol w:w="842"/>
        <w:gridCol w:w="842"/>
      </w:tblGrid>
      <w:tr w:rsidR="003E632A" w:rsidRPr="003E632A" w14:paraId="4136598F" w14:textId="77777777" w:rsidTr="003E632A">
        <w:trPr>
          <w:trHeight w:val="300"/>
        </w:trPr>
        <w:tc>
          <w:tcPr>
            <w:tcW w:w="2114" w:type="dxa"/>
            <w:noWrap/>
            <w:hideMark/>
          </w:tcPr>
          <w:p w14:paraId="332211D1"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Analysis</w:t>
            </w:r>
          </w:p>
        </w:tc>
        <w:tc>
          <w:tcPr>
            <w:tcW w:w="1440" w:type="dxa"/>
            <w:noWrap/>
            <w:hideMark/>
          </w:tcPr>
          <w:p w14:paraId="3D1244D6"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Group</w:t>
            </w:r>
          </w:p>
        </w:tc>
        <w:tc>
          <w:tcPr>
            <w:tcW w:w="1618" w:type="dxa"/>
            <w:noWrap/>
            <w:hideMark/>
          </w:tcPr>
          <w:p w14:paraId="00E78B48"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Exposure</w:t>
            </w:r>
          </w:p>
        </w:tc>
        <w:tc>
          <w:tcPr>
            <w:tcW w:w="1440" w:type="dxa"/>
            <w:noWrap/>
            <w:hideMark/>
          </w:tcPr>
          <w:p w14:paraId="4DD6EBD9"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OR (95% CI)</w:t>
            </w:r>
          </w:p>
        </w:tc>
        <w:tc>
          <w:tcPr>
            <w:tcW w:w="842" w:type="dxa"/>
            <w:noWrap/>
            <w:hideMark/>
          </w:tcPr>
          <w:p w14:paraId="4922C17E"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P value</w:t>
            </w:r>
          </w:p>
        </w:tc>
        <w:tc>
          <w:tcPr>
            <w:tcW w:w="842" w:type="dxa"/>
            <w:noWrap/>
            <w:hideMark/>
          </w:tcPr>
          <w:p w14:paraId="5565E606"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N</w:t>
            </w:r>
          </w:p>
        </w:tc>
      </w:tr>
      <w:tr w:rsidR="003E632A" w:rsidRPr="003E632A" w14:paraId="6C66250C" w14:textId="77777777" w:rsidTr="003E632A">
        <w:trPr>
          <w:trHeight w:val="300"/>
        </w:trPr>
        <w:tc>
          <w:tcPr>
            <w:tcW w:w="2114" w:type="dxa"/>
            <w:noWrap/>
            <w:hideMark/>
          </w:tcPr>
          <w:p w14:paraId="5D169392"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Main analysis (MI + weighted)</w:t>
            </w:r>
          </w:p>
        </w:tc>
        <w:tc>
          <w:tcPr>
            <w:tcW w:w="1440" w:type="dxa"/>
            <w:noWrap/>
            <w:hideMark/>
          </w:tcPr>
          <w:p w14:paraId="462832F6"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Men</w:t>
            </w:r>
          </w:p>
        </w:tc>
        <w:tc>
          <w:tcPr>
            <w:tcW w:w="1618" w:type="dxa"/>
            <w:noWrap/>
            <w:hideMark/>
          </w:tcPr>
          <w:p w14:paraId="0F37E8ED" w14:textId="1DFCF78A" w:rsidR="003E632A" w:rsidRPr="003E632A" w:rsidRDefault="002929EE" w:rsidP="003E632A">
            <w:pPr>
              <w:jc w:val="both"/>
              <w:rPr>
                <w:rFonts w:ascii="Times New Roman" w:hAnsi="Times New Roman" w:cs="Times New Roman"/>
                <w:sz w:val="13"/>
                <w:szCs w:val="13"/>
              </w:rPr>
            </w:pPr>
            <w:r w:rsidRPr="003E632A">
              <w:rPr>
                <w:rFonts w:ascii="Times New Roman" w:hAnsi="Times New Roman" w:cs="Times New Roman"/>
                <w:sz w:val="13"/>
                <w:szCs w:val="13"/>
              </w:rPr>
              <w:t>L</w:t>
            </w:r>
            <w:r w:rsidR="003E632A" w:rsidRPr="003E632A">
              <w:rPr>
                <w:rFonts w:ascii="Times New Roman" w:hAnsi="Times New Roman" w:cs="Times New Roman"/>
                <w:sz w:val="13"/>
                <w:szCs w:val="13"/>
              </w:rPr>
              <w:t>og</w:t>
            </w:r>
            <w:r>
              <w:rPr>
                <w:rFonts w:ascii="Times New Roman" w:hAnsi="Times New Roman" w:cs="Times New Roman" w:hint="eastAsia"/>
                <w:sz w:val="13"/>
                <w:szCs w:val="13"/>
              </w:rPr>
              <w:t xml:space="preserve"> </w:t>
            </w:r>
            <w:r w:rsidR="003E632A" w:rsidRPr="003E632A">
              <w:rPr>
                <w:rFonts w:ascii="Times New Roman" w:hAnsi="Times New Roman" w:cs="Times New Roman"/>
                <w:sz w:val="13"/>
                <w:szCs w:val="13"/>
              </w:rPr>
              <w:t>(TT/E2) per 1-SD</w:t>
            </w:r>
          </w:p>
        </w:tc>
        <w:tc>
          <w:tcPr>
            <w:tcW w:w="1440" w:type="dxa"/>
            <w:noWrap/>
            <w:hideMark/>
          </w:tcPr>
          <w:p w14:paraId="6EEF929A"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0.81 (0.70–0.94)</w:t>
            </w:r>
          </w:p>
        </w:tc>
        <w:tc>
          <w:tcPr>
            <w:tcW w:w="842" w:type="dxa"/>
            <w:noWrap/>
            <w:hideMark/>
          </w:tcPr>
          <w:p w14:paraId="77D81B39"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0.006</w:t>
            </w:r>
          </w:p>
        </w:tc>
        <w:tc>
          <w:tcPr>
            <w:tcW w:w="842" w:type="dxa"/>
            <w:noWrap/>
            <w:hideMark/>
          </w:tcPr>
          <w:p w14:paraId="38994E85" w14:textId="77777777" w:rsidR="003E632A" w:rsidRPr="003E632A" w:rsidRDefault="003E632A" w:rsidP="003E632A">
            <w:pPr>
              <w:jc w:val="both"/>
              <w:rPr>
                <w:rFonts w:ascii="Times New Roman" w:hAnsi="Times New Roman" w:cs="Times New Roman"/>
                <w:sz w:val="13"/>
                <w:szCs w:val="13"/>
              </w:rPr>
            </w:pPr>
          </w:p>
        </w:tc>
      </w:tr>
      <w:tr w:rsidR="003E632A" w:rsidRPr="003E632A" w14:paraId="480DA96D" w14:textId="77777777" w:rsidTr="003E632A">
        <w:trPr>
          <w:trHeight w:val="300"/>
        </w:trPr>
        <w:tc>
          <w:tcPr>
            <w:tcW w:w="2114" w:type="dxa"/>
            <w:noWrap/>
            <w:hideMark/>
          </w:tcPr>
          <w:p w14:paraId="25A82A4F"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Main analysis (MI + weighted)</w:t>
            </w:r>
          </w:p>
        </w:tc>
        <w:tc>
          <w:tcPr>
            <w:tcW w:w="1440" w:type="dxa"/>
            <w:noWrap/>
            <w:hideMark/>
          </w:tcPr>
          <w:p w14:paraId="3F6BD05F"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Women</w:t>
            </w:r>
          </w:p>
        </w:tc>
        <w:tc>
          <w:tcPr>
            <w:tcW w:w="1618" w:type="dxa"/>
            <w:noWrap/>
            <w:hideMark/>
          </w:tcPr>
          <w:p w14:paraId="2625A4C7" w14:textId="52003BFA" w:rsidR="003E632A" w:rsidRPr="003E632A" w:rsidRDefault="002929EE" w:rsidP="003E632A">
            <w:pPr>
              <w:jc w:val="both"/>
              <w:rPr>
                <w:rFonts w:ascii="Times New Roman" w:hAnsi="Times New Roman" w:cs="Times New Roman"/>
                <w:sz w:val="13"/>
                <w:szCs w:val="13"/>
              </w:rPr>
            </w:pPr>
            <w:r w:rsidRPr="003E632A">
              <w:rPr>
                <w:rFonts w:ascii="Times New Roman" w:hAnsi="Times New Roman" w:cs="Times New Roman"/>
                <w:sz w:val="13"/>
                <w:szCs w:val="13"/>
              </w:rPr>
              <w:t>L</w:t>
            </w:r>
            <w:r w:rsidR="003E632A" w:rsidRPr="003E632A">
              <w:rPr>
                <w:rFonts w:ascii="Times New Roman" w:hAnsi="Times New Roman" w:cs="Times New Roman"/>
                <w:sz w:val="13"/>
                <w:szCs w:val="13"/>
              </w:rPr>
              <w:t>og</w:t>
            </w:r>
            <w:r>
              <w:rPr>
                <w:rFonts w:ascii="Times New Roman" w:hAnsi="Times New Roman" w:cs="Times New Roman" w:hint="eastAsia"/>
                <w:sz w:val="13"/>
                <w:szCs w:val="13"/>
              </w:rPr>
              <w:t xml:space="preserve"> </w:t>
            </w:r>
            <w:r w:rsidR="003E632A" w:rsidRPr="003E632A">
              <w:rPr>
                <w:rFonts w:ascii="Times New Roman" w:hAnsi="Times New Roman" w:cs="Times New Roman"/>
                <w:sz w:val="13"/>
                <w:szCs w:val="13"/>
              </w:rPr>
              <w:t>(TT/E2) per 1-SD</w:t>
            </w:r>
          </w:p>
        </w:tc>
        <w:tc>
          <w:tcPr>
            <w:tcW w:w="1440" w:type="dxa"/>
            <w:noWrap/>
            <w:hideMark/>
          </w:tcPr>
          <w:p w14:paraId="0D2F3F16"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1.08 (0.93–1.24)</w:t>
            </w:r>
          </w:p>
        </w:tc>
        <w:tc>
          <w:tcPr>
            <w:tcW w:w="842" w:type="dxa"/>
            <w:noWrap/>
            <w:hideMark/>
          </w:tcPr>
          <w:p w14:paraId="6893EBD5"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0.323</w:t>
            </w:r>
          </w:p>
        </w:tc>
        <w:tc>
          <w:tcPr>
            <w:tcW w:w="842" w:type="dxa"/>
            <w:noWrap/>
            <w:hideMark/>
          </w:tcPr>
          <w:p w14:paraId="0DCB371A" w14:textId="77777777" w:rsidR="003E632A" w:rsidRPr="003E632A" w:rsidRDefault="003E632A" w:rsidP="003E632A">
            <w:pPr>
              <w:jc w:val="both"/>
              <w:rPr>
                <w:rFonts w:ascii="Times New Roman" w:hAnsi="Times New Roman" w:cs="Times New Roman"/>
                <w:sz w:val="13"/>
                <w:szCs w:val="13"/>
              </w:rPr>
            </w:pPr>
          </w:p>
        </w:tc>
      </w:tr>
      <w:tr w:rsidR="003E632A" w:rsidRPr="003E632A" w14:paraId="5C48E091" w14:textId="77777777" w:rsidTr="003E632A">
        <w:trPr>
          <w:trHeight w:val="300"/>
        </w:trPr>
        <w:tc>
          <w:tcPr>
            <w:tcW w:w="2114" w:type="dxa"/>
            <w:noWrap/>
            <w:hideMark/>
          </w:tcPr>
          <w:p w14:paraId="4F29914A"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Main analysis (MI + weighted)</w:t>
            </w:r>
          </w:p>
        </w:tc>
        <w:tc>
          <w:tcPr>
            <w:tcW w:w="1440" w:type="dxa"/>
            <w:noWrap/>
            <w:hideMark/>
          </w:tcPr>
          <w:p w14:paraId="08B7A3CB" w14:textId="77777777" w:rsidR="003E632A" w:rsidRPr="003E632A" w:rsidRDefault="003E632A" w:rsidP="003E632A">
            <w:pPr>
              <w:jc w:val="both"/>
              <w:rPr>
                <w:rFonts w:ascii="Times New Roman" w:hAnsi="Times New Roman" w:cs="Times New Roman"/>
                <w:sz w:val="13"/>
                <w:szCs w:val="13"/>
              </w:rPr>
            </w:pPr>
            <w:proofErr w:type="spellStart"/>
            <w:r w:rsidRPr="003E632A">
              <w:rPr>
                <w:rFonts w:ascii="Times New Roman" w:hAnsi="Times New Roman" w:cs="Times New Roman"/>
                <w:sz w:val="13"/>
                <w:szCs w:val="13"/>
              </w:rPr>
              <w:t>Premenopause</w:t>
            </w:r>
            <w:proofErr w:type="spellEnd"/>
          </w:p>
        </w:tc>
        <w:tc>
          <w:tcPr>
            <w:tcW w:w="1618" w:type="dxa"/>
            <w:noWrap/>
            <w:hideMark/>
          </w:tcPr>
          <w:p w14:paraId="08136968" w14:textId="0C3C673A" w:rsidR="003E632A" w:rsidRPr="003E632A" w:rsidRDefault="002929EE" w:rsidP="003E632A">
            <w:pPr>
              <w:jc w:val="both"/>
              <w:rPr>
                <w:rFonts w:ascii="Times New Roman" w:hAnsi="Times New Roman" w:cs="Times New Roman"/>
                <w:sz w:val="13"/>
                <w:szCs w:val="13"/>
              </w:rPr>
            </w:pPr>
            <w:r w:rsidRPr="003E632A">
              <w:rPr>
                <w:rFonts w:ascii="Times New Roman" w:hAnsi="Times New Roman" w:cs="Times New Roman"/>
                <w:sz w:val="13"/>
                <w:szCs w:val="13"/>
              </w:rPr>
              <w:t>L</w:t>
            </w:r>
            <w:r w:rsidR="003E632A" w:rsidRPr="003E632A">
              <w:rPr>
                <w:rFonts w:ascii="Times New Roman" w:hAnsi="Times New Roman" w:cs="Times New Roman"/>
                <w:sz w:val="13"/>
                <w:szCs w:val="13"/>
              </w:rPr>
              <w:t>og</w:t>
            </w:r>
            <w:r>
              <w:rPr>
                <w:rFonts w:ascii="Times New Roman" w:hAnsi="Times New Roman" w:cs="Times New Roman" w:hint="eastAsia"/>
                <w:sz w:val="13"/>
                <w:szCs w:val="13"/>
              </w:rPr>
              <w:t xml:space="preserve"> </w:t>
            </w:r>
            <w:r w:rsidR="003E632A" w:rsidRPr="003E632A">
              <w:rPr>
                <w:rFonts w:ascii="Times New Roman" w:hAnsi="Times New Roman" w:cs="Times New Roman"/>
                <w:sz w:val="13"/>
                <w:szCs w:val="13"/>
              </w:rPr>
              <w:t>(TT/E2) per 1-SD</w:t>
            </w:r>
          </w:p>
        </w:tc>
        <w:tc>
          <w:tcPr>
            <w:tcW w:w="1440" w:type="dxa"/>
            <w:noWrap/>
            <w:hideMark/>
          </w:tcPr>
          <w:p w14:paraId="6BBF7945"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0.73 (0.56–0.95)</w:t>
            </w:r>
          </w:p>
        </w:tc>
        <w:tc>
          <w:tcPr>
            <w:tcW w:w="842" w:type="dxa"/>
            <w:noWrap/>
            <w:hideMark/>
          </w:tcPr>
          <w:p w14:paraId="2B9C38A4"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0.020</w:t>
            </w:r>
          </w:p>
        </w:tc>
        <w:tc>
          <w:tcPr>
            <w:tcW w:w="842" w:type="dxa"/>
            <w:noWrap/>
            <w:hideMark/>
          </w:tcPr>
          <w:p w14:paraId="2335A6B3" w14:textId="77777777" w:rsidR="003E632A" w:rsidRPr="003E632A" w:rsidRDefault="003E632A" w:rsidP="003E632A">
            <w:pPr>
              <w:jc w:val="both"/>
              <w:rPr>
                <w:rFonts w:ascii="Times New Roman" w:hAnsi="Times New Roman" w:cs="Times New Roman"/>
                <w:sz w:val="13"/>
                <w:szCs w:val="13"/>
              </w:rPr>
            </w:pPr>
          </w:p>
        </w:tc>
      </w:tr>
      <w:tr w:rsidR="003E632A" w:rsidRPr="003E632A" w14:paraId="14672A8D" w14:textId="77777777" w:rsidTr="003E632A">
        <w:trPr>
          <w:trHeight w:val="300"/>
        </w:trPr>
        <w:tc>
          <w:tcPr>
            <w:tcW w:w="2114" w:type="dxa"/>
            <w:noWrap/>
            <w:hideMark/>
          </w:tcPr>
          <w:p w14:paraId="72DBF5B6"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Main analysis (MI + weighted)</w:t>
            </w:r>
          </w:p>
        </w:tc>
        <w:tc>
          <w:tcPr>
            <w:tcW w:w="1440" w:type="dxa"/>
            <w:noWrap/>
            <w:hideMark/>
          </w:tcPr>
          <w:p w14:paraId="7B6E3B8D" w14:textId="77777777" w:rsidR="003E632A" w:rsidRPr="003E632A" w:rsidRDefault="003E632A" w:rsidP="003E632A">
            <w:pPr>
              <w:jc w:val="both"/>
              <w:rPr>
                <w:rFonts w:ascii="Times New Roman" w:hAnsi="Times New Roman" w:cs="Times New Roman"/>
                <w:sz w:val="13"/>
                <w:szCs w:val="13"/>
              </w:rPr>
            </w:pPr>
            <w:proofErr w:type="spellStart"/>
            <w:r w:rsidRPr="003E632A">
              <w:rPr>
                <w:rFonts w:ascii="Times New Roman" w:hAnsi="Times New Roman" w:cs="Times New Roman"/>
                <w:sz w:val="13"/>
                <w:szCs w:val="13"/>
              </w:rPr>
              <w:t>Postmenopause</w:t>
            </w:r>
            <w:proofErr w:type="spellEnd"/>
          </w:p>
        </w:tc>
        <w:tc>
          <w:tcPr>
            <w:tcW w:w="1618" w:type="dxa"/>
            <w:noWrap/>
            <w:hideMark/>
          </w:tcPr>
          <w:p w14:paraId="4EEF9AEA" w14:textId="3F7A31F1" w:rsidR="003E632A" w:rsidRPr="003E632A" w:rsidRDefault="002929EE" w:rsidP="003E632A">
            <w:pPr>
              <w:jc w:val="both"/>
              <w:rPr>
                <w:rFonts w:ascii="Times New Roman" w:hAnsi="Times New Roman" w:cs="Times New Roman"/>
                <w:sz w:val="13"/>
                <w:szCs w:val="13"/>
              </w:rPr>
            </w:pPr>
            <w:r w:rsidRPr="003E632A">
              <w:rPr>
                <w:rFonts w:ascii="Times New Roman" w:hAnsi="Times New Roman" w:cs="Times New Roman"/>
                <w:sz w:val="13"/>
                <w:szCs w:val="13"/>
              </w:rPr>
              <w:t>L</w:t>
            </w:r>
            <w:r w:rsidR="003E632A" w:rsidRPr="003E632A">
              <w:rPr>
                <w:rFonts w:ascii="Times New Roman" w:hAnsi="Times New Roman" w:cs="Times New Roman"/>
                <w:sz w:val="13"/>
                <w:szCs w:val="13"/>
              </w:rPr>
              <w:t>og</w:t>
            </w:r>
            <w:r>
              <w:rPr>
                <w:rFonts w:ascii="Times New Roman" w:hAnsi="Times New Roman" w:cs="Times New Roman" w:hint="eastAsia"/>
                <w:sz w:val="13"/>
                <w:szCs w:val="13"/>
              </w:rPr>
              <w:t xml:space="preserve"> </w:t>
            </w:r>
            <w:r w:rsidR="003E632A" w:rsidRPr="003E632A">
              <w:rPr>
                <w:rFonts w:ascii="Times New Roman" w:hAnsi="Times New Roman" w:cs="Times New Roman"/>
                <w:sz w:val="13"/>
                <w:szCs w:val="13"/>
              </w:rPr>
              <w:t>(TT/E2) per 1-SD</w:t>
            </w:r>
          </w:p>
        </w:tc>
        <w:tc>
          <w:tcPr>
            <w:tcW w:w="1440" w:type="dxa"/>
            <w:noWrap/>
            <w:hideMark/>
          </w:tcPr>
          <w:p w14:paraId="5916E53D"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1.11 (0.95–1.29)</w:t>
            </w:r>
          </w:p>
        </w:tc>
        <w:tc>
          <w:tcPr>
            <w:tcW w:w="842" w:type="dxa"/>
            <w:noWrap/>
            <w:hideMark/>
          </w:tcPr>
          <w:p w14:paraId="5E653405"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0.200</w:t>
            </w:r>
          </w:p>
        </w:tc>
        <w:tc>
          <w:tcPr>
            <w:tcW w:w="842" w:type="dxa"/>
            <w:noWrap/>
            <w:hideMark/>
          </w:tcPr>
          <w:p w14:paraId="6B897C01" w14:textId="77777777" w:rsidR="003E632A" w:rsidRPr="003E632A" w:rsidRDefault="003E632A" w:rsidP="003E632A">
            <w:pPr>
              <w:jc w:val="both"/>
              <w:rPr>
                <w:rFonts w:ascii="Times New Roman" w:hAnsi="Times New Roman" w:cs="Times New Roman"/>
                <w:sz w:val="13"/>
                <w:szCs w:val="13"/>
              </w:rPr>
            </w:pPr>
          </w:p>
        </w:tc>
      </w:tr>
      <w:tr w:rsidR="003E632A" w:rsidRPr="003E632A" w14:paraId="2DAC3201" w14:textId="77777777" w:rsidTr="003E632A">
        <w:trPr>
          <w:trHeight w:val="300"/>
        </w:trPr>
        <w:tc>
          <w:tcPr>
            <w:tcW w:w="2114" w:type="dxa"/>
            <w:noWrap/>
            <w:hideMark/>
          </w:tcPr>
          <w:p w14:paraId="54D8242F"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Complete-case weighted</w:t>
            </w:r>
          </w:p>
        </w:tc>
        <w:tc>
          <w:tcPr>
            <w:tcW w:w="1440" w:type="dxa"/>
            <w:noWrap/>
            <w:hideMark/>
          </w:tcPr>
          <w:p w14:paraId="02F10B6D"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Men</w:t>
            </w:r>
          </w:p>
        </w:tc>
        <w:tc>
          <w:tcPr>
            <w:tcW w:w="1618" w:type="dxa"/>
            <w:noWrap/>
            <w:hideMark/>
          </w:tcPr>
          <w:p w14:paraId="744FFABC" w14:textId="4D6B0523" w:rsidR="003E632A" w:rsidRPr="003E632A" w:rsidRDefault="002929EE" w:rsidP="003E632A">
            <w:pPr>
              <w:jc w:val="both"/>
              <w:rPr>
                <w:rFonts w:ascii="Times New Roman" w:hAnsi="Times New Roman" w:cs="Times New Roman"/>
                <w:sz w:val="13"/>
                <w:szCs w:val="13"/>
              </w:rPr>
            </w:pPr>
            <w:r w:rsidRPr="003E632A">
              <w:rPr>
                <w:rFonts w:ascii="Times New Roman" w:hAnsi="Times New Roman" w:cs="Times New Roman"/>
                <w:sz w:val="13"/>
                <w:szCs w:val="13"/>
              </w:rPr>
              <w:t>L</w:t>
            </w:r>
            <w:r w:rsidR="003E632A" w:rsidRPr="003E632A">
              <w:rPr>
                <w:rFonts w:ascii="Times New Roman" w:hAnsi="Times New Roman" w:cs="Times New Roman"/>
                <w:sz w:val="13"/>
                <w:szCs w:val="13"/>
              </w:rPr>
              <w:t>og</w:t>
            </w:r>
            <w:r>
              <w:rPr>
                <w:rFonts w:ascii="Times New Roman" w:hAnsi="Times New Roman" w:cs="Times New Roman" w:hint="eastAsia"/>
                <w:sz w:val="13"/>
                <w:szCs w:val="13"/>
              </w:rPr>
              <w:t xml:space="preserve"> </w:t>
            </w:r>
            <w:r w:rsidR="003E632A" w:rsidRPr="003E632A">
              <w:rPr>
                <w:rFonts w:ascii="Times New Roman" w:hAnsi="Times New Roman" w:cs="Times New Roman"/>
                <w:sz w:val="13"/>
                <w:szCs w:val="13"/>
              </w:rPr>
              <w:t>(TT/E2) per 1-SD</w:t>
            </w:r>
          </w:p>
        </w:tc>
        <w:tc>
          <w:tcPr>
            <w:tcW w:w="1440" w:type="dxa"/>
            <w:noWrap/>
            <w:hideMark/>
          </w:tcPr>
          <w:p w14:paraId="3B52E999"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0.86 (0.75–0.98)</w:t>
            </w:r>
          </w:p>
        </w:tc>
        <w:tc>
          <w:tcPr>
            <w:tcW w:w="842" w:type="dxa"/>
            <w:noWrap/>
            <w:hideMark/>
          </w:tcPr>
          <w:p w14:paraId="76D86154"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0.019</w:t>
            </w:r>
          </w:p>
        </w:tc>
        <w:tc>
          <w:tcPr>
            <w:tcW w:w="842" w:type="dxa"/>
            <w:noWrap/>
            <w:hideMark/>
          </w:tcPr>
          <w:p w14:paraId="661AD00B"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3507</w:t>
            </w:r>
          </w:p>
        </w:tc>
      </w:tr>
      <w:tr w:rsidR="003E632A" w:rsidRPr="003E632A" w14:paraId="16DC88E6" w14:textId="77777777" w:rsidTr="003E632A">
        <w:trPr>
          <w:trHeight w:val="300"/>
        </w:trPr>
        <w:tc>
          <w:tcPr>
            <w:tcW w:w="2114" w:type="dxa"/>
            <w:noWrap/>
            <w:hideMark/>
          </w:tcPr>
          <w:p w14:paraId="42071B71"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Complete-case weighted</w:t>
            </w:r>
          </w:p>
        </w:tc>
        <w:tc>
          <w:tcPr>
            <w:tcW w:w="1440" w:type="dxa"/>
            <w:noWrap/>
            <w:hideMark/>
          </w:tcPr>
          <w:p w14:paraId="25B4980B"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Women</w:t>
            </w:r>
          </w:p>
        </w:tc>
        <w:tc>
          <w:tcPr>
            <w:tcW w:w="1618" w:type="dxa"/>
            <w:noWrap/>
            <w:hideMark/>
          </w:tcPr>
          <w:p w14:paraId="1C39973E" w14:textId="1B77A745" w:rsidR="003E632A" w:rsidRPr="003E632A" w:rsidRDefault="002929EE" w:rsidP="003E632A">
            <w:pPr>
              <w:jc w:val="both"/>
              <w:rPr>
                <w:rFonts w:ascii="Times New Roman" w:hAnsi="Times New Roman" w:cs="Times New Roman"/>
                <w:sz w:val="13"/>
                <w:szCs w:val="13"/>
              </w:rPr>
            </w:pPr>
            <w:r w:rsidRPr="003E632A">
              <w:rPr>
                <w:rFonts w:ascii="Times New Roman" w:hAnsi="Times New Roman" w:cs="Times New Roman"/>
                <w:sz w:val="13"/>
                <w:szCs w:val="13"/>
              </w:rPr>
              <w:t>L</w:t>
            </w:r>
            <w:r w:rsidR="003E632A" w:rsidRPr="003E632A">
              <w:rPr>
                <w:rFonts w:ascii="Times New Roman" w:hAnsi="Times New Roman" w:cs="Times New Roman"/>
                <w:sz w:val="13"/>
                <w:szCs w:val="13"/>
              </w:rPr>
              <w:t>og</w:t>
            </w:r>
            <w:r>
              <w:rPr>
                <w:rFonts w:ascii="Times New Roman" w:hAnsi="Times New Roman" w:cs="Times New Roman" w:hint="eastAsia"/>
                <w:sz w:val="13"/>
                <w:szCs w:val="13"/>
              </w:rPr>
              <w:t xml:space="preserve"> </w:t>
            </w:r>
            <w:r w:rsidR="003E632A" w:rsidRPr="003E632A">
              <w:rPr>
                <w:rFonts w:ascii="Times New Roman" w:hAnsi="Times New Roman" w:cs="Times New Roman"/>
                <w:sz w:val="13"/>
                <w:szCs w:val="13"/>
              </w:rPr>
              <w:t>(TT/E2) per 1-SD</w:t>
            </w:r>
          </w:p>
        </w:tc>
        <w:tc>
          <w:tcPr>
            <w:tcW w:w="1440" w:type="dxa"/>
            <w:noWrap/>
            <w:hideMark/>
          </w:tcPr>
          <w:p w14:paraId="686BF6AB"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1.13 (0.96–1.32)</w:t>
            </w:r>
          </w:p>
        </w:tc>
        <w:tc>
          <w:tcPr>
            <w:tcW w:w="842" w:type="dxa"/>
            <w:noWrap/>
            <w:hideMark/>
          </w:tcPr>
          <w:p w14:paraId="10E2F376"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0.140</w:t>
            </w:r>
          </w:p>
        </w:tc>
        <w:tc>
          <w:tcPr>
            <w:tcW w:w="842" w:type="dxa"/>
            <w:noWrap/>
            <w:hideMark/>
          </w:tcPr>
          <w:p w14:paraId="6DA2BA93"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3633</w:t>
            </w:r>
          </w:p>
        </w:tc>
      </w:tr>
      <w:tr w:rsidR="003E632A" w:rsidRPr="003E632A" w14:paraId="0B47FA46" w14:textId="77777777" w:rsidTr="003E632A">
        <w:trPr>
          <w:trHeight w:val="300"/>
        </w:trPr>
        <w:tc>
          <w:tcPr>
            <w:tcW w:w="2114" w:type="dxa"/>
            <w:noWrap/>
            <w:hideMark/>
          </w:tcPr>
          <w:p w14:paraId="257C9DD2"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Complete-case weighted</w:t>
            </w:r>
          </w:p>
        </w:tc>
        <w:tc>
          <w:tcPr>
            <w:tcW w:w="1440" w:type="dxa"/>
            <w:noWrap/>
            <w:hideMark/>
          </w:tcPr>
          <w:p w14:paraId="38BF58F5" w14:textId="77777777" w:rsidR="003E632A" w:rsidRPr="003E632A" w:rsidRDefault="003E632A" w:rsidP="003E632A">
            <w:pPr>
              <w:jc w:val="both"/>
              <w:rPr>
                <w:rFonts w:ascii="Times New Roman" w:hAnsi="Times New Roman" w:cs="Times New Roman"/>
                <w:sz w:val="13"/>
                <w:szCs w:val="13"/>
              </w:rPr>
            </w:pPr>
            <w:proofErr w:type="spellStart"/>
            <w:r w:rsidRPr="003E632A">
              <w:rPr>
                <w:rFonts w:ascii="Times New Roman" w:hAnsi="Times New Roman" w:cs="Times New Roman"/>
                <w:sz w:val="13"/>
                <w:szCs w:val="13"/>
              </w:rPr>
              <w:t>Premenopause</w:t>
            </w:r>
            <w:proofErr w:type="spellEnd"/>
          </w:p>
        </w:tc>
        <w:tc>
          <w:tcPr>
            <w:tcW w:w="1618" w:type="dxa"/>
            <w:noWrap/>
            <w:hideMark/>
          </w:tcPr>
          <w:p w14:paraId="1FC4766A" w14:textId="72DBFC41" w:rsidR="003E632A" w:rsidRPr="003E632A" w:rsidRDefault="002929EE" w:rsidP="003E632A">
            <w:pPr>
              <w:jc w:val="both"/>
              <w:rPr>
                <w:rFonts w:ascii="Times New Roman" w:hAnsi="Times New Roman" w:cs="Times New Roman"/>
                <w:sz w:val="13"/>
                <w:szCs w:val="13"/>
              </w:rPr>
            </w:pPr>
            <w:r w:rsidRPr="003E632A">
              <w:rPr>
                <w:rFonts w:ascii="Times New Roman" w:hAnsi="Times New Roman" w:cs="Times New Roman"/>
                <w:sz w:val="13"/>
                <w:szCs w:val="13"/>
              </w:rPr>
              <w:t>L</w:t>
            </w:r>
            <w:r w:rsidR="003E632A" w:rsidRPr="003E632A">
              <w:rPr>
                <w:rFonts w:ascii="Times New Roman" w:hAnsi="Times New Roman" w:cs="Times New Roman"/>
                <w:sz w:val="13"/>
                <w:szCs w:val="13"/>
              </w:rPr>
              <w:t>og</w:t>
            </w:r>
            <w:r>
              <w:rPr>
                <w:rFonts w:ascii="Times New Roman" w:hAnsi="Times New Roman" w:cs="Times New Roman" w:hint="eastAsia"/>
                <w:sz w:val="13"/>
                <w:szCs w:val="13"/>
              </w:rPr>
              <w:t xml:space="preserve"> </w:t>
            </w:r>
            <w:r w:rsidR="003E632A" w:rsidRPr="003E632A">
              <w:rPr>
                <w:rFonts w:ascii="Times New Roman" w:hAnsi="Times New Roman" w:cs="Times New Roman"/>
                <w:sz w:val="13"/>
                <w:szCs w:val="13"/>
              </w:rPr>
              <w:t>(TT/E2) per 1-SD</w:t>
            </w:r>
          </w:p>
        </w:tc>
        <w:tc>
          <w:tcPr>
            <w:tcW w:w="1440" w:type="dxa"/>
            <w:noWrap/>
            <w:hideMark/>
          </w:tcPr>
          <w:p w14:paraId="4EFF77F4"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0.69 (0.49–0.97)</w:t>
            </w:r>
          </w:p>
        </w:tc>
        <w:tc>
          <w:tcPr>
            <w:tcW w:w="842" w:type="dxa"/>
            <w:noWrap/>
            <w:hideMark/>
          </w:tcPr>
          <w:p w14:paraId="39A9B55D"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0.031</w:t>
            </w:r>
          </w:p>
        </w:tc>
        <w:tc>
          <w:tcPr>
            <w:tcW w:w="842" w:type="dxa"/>
            <w:noWrap/>
            <w:hideMark/>
          </w:tcPr>
          <w:p w14:paraId="3E9F95F0"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1370</w:t>
            </w:r>
          </w:p>
        </w:tc>
      </w:tr>
      <w:tr w:rsidR="003E632A" w:rsidRPr="003E632A" w14:paraId="4C09E869" w14:textId="77777777" w:rsidTr="003E632A">
        <w:trPr>
          <w:trHeight w:val="300"/>
        </w:trPr>
        <w:tc>
          <w:tcPr>
            <w:tcW w:w="2114" w:type="dxa"/>
            <w:noWrap/>
            <w:hideMark/>
          </w:tcPr>
          <w:p w14:paraId="6358F9FD"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Complete-case weighted</w:t>
            </w:r>
          </w:p>
        </w:tc>
        <w:tc>
          <w:tcPr>
            <w:tcW w:w="1440" w:type="dxa"/>
            <w:noWrap/>
            <w:hideMark/>
          </w:tcPr>
          <w:p w14:paraId="677B3F57" w14:textId="77777777" w:rsidR="003E632A" w:rsidRPr="003E632A" w:rsidRDefault="003E632A" w:rsidP="003E632A">
            <w:pPr>
              <w:jc w:val="both"/>
              <w:rPr>
                <w:rFonts w:ascii="Times New Roman" w:hAnsi="Times New Roman" w:cs="Times New Roman"/>
                <w:sz w:val="13"/>
                <w:szCs w:val="13"/>
              </w:rPr>
            </w:pPr>
            <w:proofErr w:type="spellStart"/>
            <w:r w:rsidRPr="003E632A">
              <w:rPr>
                <w:rFonts w:ascii="Times New Roman" w:hAnsi="Times New Roman" w:cs="Times New Roman"/>
                <w:sz w:val="13"/>
                <w:szCs w:val="13"/>
              </w:rPr>
              <w:t>Postmenopause</w:t>
            </w:r>
            <w:proofErr w:type="spellEnd"/>
          </w:p>
        </w:tc>
        <w:tc>
          <w:tcPr>
            <w:tcW w:w="1618" w:type="dxa"/>
            <w:noWrap/>
            <w:hideMark/>
          </w:tcPr>
          <w:p w14:paraId="7E39E40A" w14:textId="69C645B8" w:rsidR="003E632A" w:rsidRPr="003E632A" w:rsidRDefault="002929EE" w:rsidP="003E632A">
            <w:pPr>
              <w:jc w:val="both"/>
              <w:rPr>
                <w:rFonts w:ascii="Times New Roman" w:hAnsi="Times New Roman" w:cs="Times New Roman"/>
                <w:sz w:val="13"/>
                <w:szCs w:val="13"/>
              </w:rPr>
            </w:pPr>
            <w:r w:rsidRPr="003E632A">
              <w:rPr>
                <w:rFonts w:ascii="Times New Roman" w:hAnsi="Times New Roman" w:cs="Times New Roman"/>
                <w:sz w:val="13"/>
                <w:szCs w:val="13"/>
              </w:rPr>
              <w:t>L</w:t>
            </w:r>
            <w:r w:rsidR="003E632A" w:rsidRPr="003E632A">
              <w:rPr>
                <w:rFonts w:ascii="Times New Roman" w:hAnsi="Times New Roman" w:cs="Times New Roman"/>
                <w:sz w:val="13"/>
                <w:szCs w:val="13"/>
              </w:rPr>
              <w:t>og</w:t>
            </w:r>
            <w:r>
              <w:rPr>
                <w:rFonts w:ascii="Times New Roman" w:hAnsi="Times New Roman" w:cs="Times New Roman" w:hint="eastAsia"/>
                <w:sz w:val="13"/>
                <w:szCs w:val="13"/>
              </w:rPr>
              <w:t xml:space="preserve"> </w:t>
            </w:r>
            <w:r w:rsidR="003E632A" w:rsidRPr="003E632A">
              <w:rPr>
                <w:rFonts w:ascii="Times New Roman" w:hAnsi="Times New Roman" w:cs="Times New Roman"/>
                <w:sz w:val="13"/>
                <w:szCs w:val="13"/>
              </w:rPr>
              <w:t>(TT/E2) per 1-SD</w:t>
            </w:r>
          </w:p>
        </w:tc>
        <w:tc>
          <w:tcPr>
            <w:tcW w:w="1440" w:type="dxa"/>
            <w:noWrap/>
            <w:hideMark/>
          </w:tcPr>
          <w:p w14:paraId="0DEE4201"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1.14 (0.96–1.35)</w:t>
            </w:r>
          </w:p>
        </w:tc>
        <w:tc>
          <w:tcPr>
            <w:tcW w:w="842" w:type="dxa"/>
            <w:noWrap/>
            <w:hideMark/>
          </w:tcPr>
          <w:p w14:paraId="0866E946"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0.123</w:t>
            </w:r>
          </w:p>
        </w:tc>
        <w:tc>
          <w:tcPr>
            <w:tcW w:w="842" w:type="dxa"/>
            <w:noWrap/>
            <w:hideMark/>
          </w:tcPr>
          <w:p w14:paraId="6F0FCBCA"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2263</w:t>
            </w:r>
          </w:p>
        </w:tc>
      </w:tr>
      <w:tr w:rsidR="003E632A" w:rsidRPr="003E632A" w14:paraId="3B3E7CA7" w14:textId="77777777" w:rsidTr="003E632A">
        <w:trPr>
          <w:trHeight w:val="300"/>
        </w:trPr>
        <w:tc>
          <w:tcPr>
            <w:tcW w:w="2114" w:type="dxa"/>
            <w:noWrap/>
            <w:hideMark/>
          </w:tcPr>
          <w:p w14:paraId="3325F0DE"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Complete-case unweighted</w:t>
            </w:r>
          </w:p>
        </w:tc>
        <w:tc>
          <w:tcPr>
            <w:tcW w:w="1440" w:type="dxa"/>
            <w:noWrap/>
            <w:hideMark/>
          </w:tcPr>
          <w:p w14:paraId="51963DA1"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Men</w:t>
            </w:r>
          </w:p>
        </w:tc>
        <w:tc>
          <w:tcPr>
            <w:tcW w:w="1618" w:type="dxa"/>
            <w:noWrap/>
            <w:hideMark/>
          </w:tcPr>
          <w:p w14:paraId="0BC7202F" w14:textId="7C6D2095" w:rsidR="003E632A" w:rsidRPr="003E632A" w:rsidRDefault="002929EE" w:rsidP="003E632A">
            <w:pPr>
              <w:jc w:val="both"/>
              <w:rPr>
                <w:rFonts w:ascii="Times New Roman" w:hAnsi="Times New Roman" w:cs="Times New Roman"/>
                <w:sz w:val="13"/>
                <w:szCs w:val="13"/>
              </w:rPr>
            </w:pPr>
            <w:r w:rsidRPr="003E632A">
              <w:rPr>
                <w:rFonts w:ascii="Times New Roman" w:hAnsi="Times New Roman" w:cs="Times New Roman"/>
                <w:sz w:val="13"/>
                <w:szCs w:val="13"/>
              </w:rPr>
              <w:t>L</w:t>
            </w:r>
            <w:r w:rsidR="003E632A" w:rsidRPr="003E632A">
              <w:rPr>
                <w:rFonts w:ascii="Times New Roman" w:hAnsi="Times New Roman" w:cs="Times New Roman"/>
                <w:sz w:val="13"/>
                <w:szCs w:val="13"/>
              </w:rPr>
              <w:t>og</w:t>
            </w:r>
            <w:r>
              <w:rPr>
                <w:rFonts w:ascii="Times New Roman" w:hAnsi="Times New Roman" w:cs="Times New Roman" w:hint="eastAsia"/>
                <w:sz w:val="13"/>
                <w:szCs w:val="13"/>
              </w:rPr>
              <w:t xml:space="preserve"> </w:t>
            </w:r>
            <w:r w:rsidR="003E632A" w:rsidRPr="003E632A">
              <w:rPr>
                <w:rFonts w:ascii="Times New Roman" w:hAnsi="Times New Roman" w:cs="Times New Roman"/>
                <w:sz w:val="13"/>
                <w:szCs w:val="13"/>
              </w:rPr>
              <w:t>(TT/E2) per 1-SD</w:t>
            </w:r>
          </w:p>
        </w:tc>
        <w:tc>
          <w:tcPr>
            <w:tcW w:w="1440" w:type="dxa"/>
            <w:noWrap/>
            <w:hideMark/>
          </w:tcPr>
          <w:p w14:paraId="712A649E"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0.85 (0.76–0.96)</w:t>
            </w:r>
          </w:p>
        </w:tc>
        <w:tc>
          <w:tcPr>
            <w:tcW w:w="842" w:type="dxa"/>
            <w:noWrap/>
            <w:hideMark/>
          </w:tcPr>
          <w:p w14:paraId="0262EE6C"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0.006</w:t>
            </w:r>
          </w:p>
        </w:tc>
        <w:tc>
          <w:tcPr>
            <w:tcW w:w="842" w:type="dxa"/>
            <w:noWrap/>
            <w:hideMark/>
          </w:tcPr>
          <w:p w14:paraId="286163CD"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3507</w:t>
            </w:r>
          </w:p>
        </w:tc>
      </w:tr>
      <w:tr w:rsidR="003E632A" w:rsidRPr="003E632A" w14:paraId="06FA6876" w14:textId="77777777" w:rsidTr="003E632A">
        <w:trPr>
          <w:trHeight w:val="300"/>
        </w:trPr>
        <w:tc>
          <w:tcPr>
            <w:tcW w:w="2114" w:type="dxa"/>
            <w:noWrap/>
            <w:hideMark/>
          </w:tcPr>
          <w:p w14:paraId="6740E097"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Complete-case unweighted</w:t>
            </w:r>
          </w:p>
        </w:tc>
        <w:tc>
          <w:tcPr>
            <w:tcW w:w="1440" w:type="dxa"/>
            <w:noWrap/>
            <w:hideMark/>
          </w:tcPr>
          <w:p w14:paraId="3EF4FD76"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Women</w:t>
            </w:r>
          </w:p>
        </w:tc>
        <w:tc>
          <w:tcPr>
            <w:tcW w:w="1618" w:type="dxa"/>
            <w:noWrap/>
            <w:hideMark/>
          </w:tcPr>
          <w:p w14:paraId="57AC7454" w14:textId="7714C7ED" w:rsidR="003E632A" w:rsidRPr="003E632A" w:rsidRDefault="002929EE" w:rsidP="003E632A">
            <w:pPr>
              <w:jc w:val="both"/>
              <w:rPr>
                <w:rFonts w:ascii="Times New Roman" w:hAnsi="Times New Roman" w:cs="Times New Roman"/>
                <w:sz w:val="13"/>
                <w:szCs w:val="13"/>
              </w:rPr>
            </w:pPr>
            <w:r w:rsidRPr="003E632A">
              <w:rPr>
                <w:rFonts w:ascii="Times New Roman" w:hAnsi="Times New Roman" w:cs="Times New Roman"/>
                <w:sz w:val="13"/>
                <w:szCs w:val="13"/>
              </w:rPr>
              <w:t>L</w:t>
            </w:r>
            <w:r w:rsidR="003E632A" w:rsidRPr="003E632A">
              <w:rPr>
                <w:rFonts w:ascii="Times New Roman" w:hAnsi="Times New Roman" w:cs="Times New Roman"/>
                <w:sz w:val="13"/>
                <w:szCs w:val="13"/>
              </w:rPr>
              <w:t>og</w:t>
            </w:r>
            <w:r>
              <w:rPr>
                <w:rFonts w:ascii="Times New Roman" w:hAnsi="Times New Roman" w:cs="Times New Roman" w:hint="eastAsia"/>
                <w:sz w:val="13"/>
                <w:szCs w:val="13"/>
              </w:rPr>
              <w:t xml:space="preserve"> </w:t>
            </w:r>
            <w:r w:rsidR="003E632A" w:rsidRPr="003E632A">
              <w:rPr>
                <w:rFonts w:ascii="Times New Roman" w:hAnsi="Times New Roman" w:cs="Times New Roman"/>
                <w:sz w:val="13"/>
                <w:szCs w:val="13"/>
              </w:rPr>
              <w:t>(TT/E2) per 1-SD</w:t>
            </w:r>
          </w:p>
        </w:tc>
        <w:tc>
          <w:tcPr>
            <w:tcW w:w="1440" w:type="dxa"/>
            <w:noWrap/>
            <w:hideMark/>
          </w:tcPr>
          <w:p w14:paraId="0DF799E7"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1.06 (0.87–1.28)</w:t>
            </w:r>
          </w:p>
        </w:tc>
        <w:tc>
          <w:tcPr>
            <w:tcW w:w="842" w:type="dxa"/>
            <w:noWrap/>
            <w:hideMark/>
          </w:tcPr>
          <w:p w14:paraId="6ED7EF28"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0.575</w:t>
            </w:r>
          </w:p>
        </w:tc>
        <w:tc>
          <w:tcPr>
            <w:tcW w:w="842" w:type="dxa"/>
            <w:noWrap/>
            <w:hideMark/>
          </w:tcPr>
          <w:p w14:paraId="6CFED33B"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3633</w:t>
            </w:r>
          </w:p>
        </w:tc>
      </w:tr>
      <w:tr w:rsidR="003E632A" w:rsidRPr="003E632A" w14:paraId="5705ACB1" w14:textId="77777777" w:rsidTr="003E632A">
        <w:trPr>
          <w:trHeight w:val="300"/>
        </w:trPr>
        <w:tc>
          <w:tcPr>
            <w:tcW w:w="2114" w:type="dxa"/>
            <w:noWrap/>
            <w:hideMark/>
          </w:tcPr>
          <w:p w14:paraId="4F862B3E"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Complete-case unweighted</w:t>
            </w:r>
          </w:p>
        </w:tc>
        <w:tc>
          <w:tcPr>
            <w:tcW w:w="1440" w:type="dxa"/>
            <w:noWrap/>
            <w:hideMark/>
          </w:tcPr>
          <w:p w14:paraId="6935C216" w14:textId="77777777" w:rsidR="003E632A" w:rsidRPr="003E632A" w:rsidRDefault="003E632A" w:rsidP="003E632A">
            <w:pPr>
              <w:jc w:val="both"/>
              <w:rPr>
                <w:rFonts w:ascii="Times New Roman" w:hAnsi="Times New Roman" w:cs="Times New Roman"/>
                <w:sz w:val="13"/>
                <w:szCs w:val="13"/>
              </w:rPr>
            </w:pPr>
            <w:proofErr w:type="spellStart"/>
            <w:r w:rsidRPr="003E632A">
              <w:rPr>
                <w:rFonts w:ascii="Times New Roman" w:hAnsi="Times New Roman" w:cs="Times New Roman"/>
                <w:sz w:val="13"/>
                <w:szCs w:val="13"/>
              </w:rPr>
              <w:t>Premenopause</w:t>
            </w:r>
            <w:proofErr w:type="spellEnd"/>
          </w:p>
        </w:tc>
        <w:tc>
          <w:tcPr>
            <w:tcW w:w="1618" w:type="dxa"/>
            <w:noWrap/>
            <w:hideMark/>
          </w:tcPr>
          <w:p w14:paraId="4E63BAA8" w14:textId="6BABE8C7" w:rsidR="003E632A" w:rsidRPr="003E632A" w:rsidRDefault="002929EE" w:rsidP="003E632A">
            <w:pPr>
              <w:jc w:val="both"/>
              <w:rPr>
                <w:rFonts w:ascii="Times New Roman" w:hAnsi="Times New Roman" w:cs="Times New Roman"/>
                <w:sz w:val="13"/>
                <w:szCs w:val="13"/>
              </w:rPr>
            </w:pPr>
            <w:r w:rsidRPr="003E632A">
              <w:rPr>
                <w:rFonts w:ascii="Times New Roman" w:hAnsi="Times New Roman" w:cs="Times New Roman"/>
                <w:sz w:val="13"/>
                <w:szCs w:val="13"/>
              </w:rPr>
              <w:t>L</w:t>
            </w:r>
            <w:r w:rsidR="003E632A" w:rsidRPr="003E632A">
              <w:rPr>
                <w:rFonts w:ascii="Times New Roman" w:hAnsi="Times New Roman" w:cs="Times New Roman"/>
                <w:sz w:val="13"/>
                <w:szCs w:val="13"/>
              </w:rPr>
              <w:t>og</w:t>
            </w:r>
            <w:r>
              <w:rPr>
                <w:rFonts w:ascii="Times New Roman" w:hAnsi="Times New Roman" w:cs="Times New Roman" w:hint="eastAsia"/>
                <w:sz w:val="13"/>
                <w:szCs w:val="13"/>
              </w:rPr>
              <w:t xml:space="preserve"> </w:t>
            </w:r>
            <w:r w:rsidR="003E632A" w:rsidRPr="003E632A">
              <w:rPr>
                <w:rFonts w:ascii="Times New Roman" w:hAnsi="Times New Roman" w:cs="Times New Roman"/>
                <w:sz w:val="13"/>
                <w:szCs w:val="13"/>
              </w:rPr>
              <w:t>(TT/E2) per 1-SD</w:t>
            </w:r>
          </w:p>
        </w:tc>
        <w:tc>
          <w:tcPr>
            <w:tcW w:w="1440" w:type="dxa"/>
            <w:noWrap/>
            <w:hideMark/>
          </w:tcPr>
          <w:p w14:paraId="62FC91C0"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0.68 (0.46–1.02)</w:t>
            </w:r>
          </w:p>
        </w:tc>
        <w:tc>
          <w:tcPr>
            <w:tcW w:w="842" w:type="dxa"/>
            <w:noWrap/>
            <w:hideMark/>
          </w:tcPr>
          <w:p w14:paraId="0E7060F9"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0.060</w:t>
            </w:r>
          </w:p>
        </w:tc>
        <w:tc>
          <w:tcPr>
            <w:tcW w:w="842" w:type="dxa"/>
            <w:noWrap/>
            <w:hideMark/>
          </w:tcPr>
          <w:p w14:paraId="0844EB5B"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1370</w:t>
            </w:r>
          </w:p>
        </w:tc>
      </w:tr>
      <w:tr w:rsidR="003E632A" w:rsidRPr="003E632A" w14:paraId="5CB3A3CB" w14:textId="77777777" w:rsidTr="003E632A">
        <w:trPr>
          <w:trHeight w:val="300"/>
        </w:trPr>
        <w:tc>
          <w:tcPr>
            <w:tcW w:w="2114" w:type="dxa"/>
            <w:noWrap/>
            <w:hideMark/>
          </w:tcPr>
          <w:p w14:paraId="0FBEE9B5"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Complete-case unweighted</w:t>
            </w:r>
          </w:p>
        </w:tc>
        <w:tc>
          <w:tcPr>
            <w:tcW w:w="1440" w:type="dxa"/>
            <w:noWrap/>
            <w:hideMark/>
          </w:tcPr>
          <w:p w14:paraId="2A186B58" w14:textId="77777777" w:rsidR="003E632A" w:rsidRPr="003E632A" w:rsidRDefault="003E632A" w:rsidP="003E632A">
            <w:pPr>
              <w:jc w:val="both"/>
              <w:rPr>
                <w:rFonts w:ascii="Times New Roman" w:hAnsi="Times New Roman" w:cs="Times New Roman"/>
                <w:sz w:val="13"/>
                <w:szCs w:val="13"/>
              </w:rPr>
            </w:pPr>
            <w:proofErr w:type="spellStart"/>
            <w:r w:rsidRPr="003E632A">
              <w:rPr>
                <w:rFonts w:ascii="Times New Roman" w:hAnsi="Times New Roman" w:cs="Times New Roman"/>
                <w:sz w:val="13"/>
                <w:szCs w:val="13"/>
              </w:rPr>
              <w:t>Postmenopause</w:t>
            </w:r>
            <w:proofErr w:type="spellEnd"/>
          </w:p>
        </w:tc>
        <w:tc>
          <w:tcPr>
            <w:tcW w:w="1618" w:type="dxa"/>
            <w:noWrap/>
            <w:hideMark/>
          </w:tcPr>
          <w:p w14:paraId="05DAD75A" w14:textId="6E71E78B" w:rsidR="003E632A" w:rsidRPr="003E632A" w:rsidRDefault="002929EE" w:rsidP="003E632A">
            <w:pPr>
              <w:jc w:val="both"/>
              <w:rPr>
                <w:rFonts w:ascii="Times New Roman" w:hAnsi="Times New Roman" w:cs="Times New Roman"/>
                <w:sz w:val="13"/>
                <w:szCs w:val="13"/>
              </w:rPr>
            </w:pPr>
            <w:r w:rsidRPr="003E632A">
              <w:rPr>
                <w:rFonts w:ascii="Times New Roman" w:hAnsi="Times New Roman" w:cs="Times New Roman"/>
                <w:sz w:val="13"/>
                <w:szCs w:val="13"/>
              </w:rPr>
              <w:t>L</w:t>
            </w:r>
            <w:r w:rsidR="003E632A" w:rsidRPr="003E632A">
              <w:rPr>
                <w:rFonts w:ascii="Times New Roman" w:hAnsi="Times New Roman" w:cs="Times New Roman"/>
                <w:sz w:val="13"/>
                <w:szCs w:val="13"/>
              </w:rPr>
              <w:t>og</w:t>
            </w:r>
            <w:r>
              <w:rPr>
                <w:rFonts w:ascii="Times New Roman" w:hAnsi="Times New Roman" w:cs="Times New Roman" w:hint="eastAsia"/>
                <w:sz w:val="13"/>
                <w:szCs w:val="13"/>
              </w:rPr>
              <w:t xml:space="preserve"> </w:t>
            </w:r>
            <w:r w:rsidR="003E632A" w:rsidRPr="003E632A">
              <w:rPr>
                <w:rFonts w:ascii="Times New Roman" w:hAnsi="Times New Roman" w:cs="Times New Roman"/>
                <w:sz w:val="13"/>
                <w:szCs w:val="13"/>
              </w:rPr>
              <w:t>(TT/E2) per 1-SD</w:t>
            </w:r>
          </w:p>
        </w:tc>
        <w:tc>
          <w:tcPr>
            <w:tcW w:w="1440" w:type="dxa"/>
            <w:noWrap/>
            <w:hideMark/>
          </w:tcPr>
          <w:p w14:paraId="37845D01"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1.13 (0.95–1.34)</w:t>
            </w:r>
          </w:p>
        </w:tc>
        <w:tc>
          <w:tcPr>
            <w:tcW w:w="842" w:type="dxa"/>
            <w:noWrap/>
            <w:hideMark/>
          </w:tcPr>
          <w:p w14:paraId="6BF0C9E0"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0.178</w:t>
            </w:r>
          </w:p>
        </w:tc>
        <w:tc>
          <w:tcPr>
            <w:tcW w:w="842" w:type="dxa"/>
            <w:noWrap/>
            <w:hideMark/>
          </w:tcPr>
          <w:p w14:paraId="0F7D8067" w14:textId="77777777" w:rsidR="003E632A" w:rsidRPr="003E632A" w:rsidRDefault="003E632A" w:rsidP="003E632A">
            <w:pPr>
              <w:jc w:val="both"/>
              <w:rPr>
                <w:rFonts w:ascii="Times New Roman" w:hAnsi="Times New Roman" w:cs="Times New Roman"/>
                <w:sz w:val="13"/>
                <w:szCs w:val="13"/>
              </w:rPr>
            </w:pPr>
            <w:r w:rsidRPr="003E632A">
              <w:rPr>
                <w:rFonts w:ascii="Times New Roman" w:hAnsi="Times New Roman" w:cs="Times New Roman"/>
                <w:sz w:val="13"/>
                <w:szCs w:val="13"/>
              </w:rPr>
              <w:t>2263</w:t>
            </w:r>
          </w:p>
        </w:tc>
      </w:tr>
    </w:tbl>
    <w:p w14:paraId="7129F9BD" w14:textId="6920918C" w:rsidR="00EF464C" w:rsidRDefault="003E632A" w:rsidP="003E632A">
      <w:pPr>
        <w:spacing w:after="120" w:line="240" w:lineRule="auto"/>
        <w:jc w:val="both"/>
        <w:rPr>
          <w:rFonts w:ascii="Times New Roman" w:hAnsi="Times New Roman" w:cs="Times New Roman"/>
          <w:sz w:val="13"/>
          <w:szCs w:val="13"/>
        </w:rPr>
      </w:pPr>
      <w:r w:rsidRPr="003E632A">
        <w:rPr>
          <w:rFonts w:ascii="Times New Roman" w:hAnsi="Times New Roman" w:cs="Times New Roman"/>
          <w:sz w:val="13"/>
          <w:szCs w:val="13"/>
        </w:rPr>
        <w:t>Odds ratios (ORs) and 95% confidence intervals (CIs) are shown for the association between log</w:t>
      </w:r>
      <w:r w:rsidR="002929EE">
        <w:rPr>
          <w:rFonts w:ascii="Times New Roman" w:hAnsi="Times New Roman" w:cs="Times New Roman" w:hint="eastAsia"/>
          <w:sz w:val="13"/>
          <w:szCs w:val="13"/>
        </w:rPr>
        <w:t xml:space="preserve"> </w:t>
      </w:r>
      <w:r w:rsidRPr="003E632A">
        <w:rPr>
          <w:rFonts w:ascii="Times New Roman" w:hAnsi="Times New Roman" w:cs="Times New Roman"/>
          <w:sz w:val="13"/>
          <w:szCs w:val="13"/>
        </w:rPr>
        <w:t>(TT/E2) and CHD across men, women, premenopausal women, and postmenopausal women. The primary analysis was based on survey-weighted logistic regression with multiple imputation. Sensitivity analyses included complete-case weighted models and complete-case unweighted models. In all models, log</w:t>
      </w:r>
      <w:r w:rsidR="002929EE">
        <w:rPr>
          <w:rFonts w:ascii="Times New Roman" w:hAnsi="Times New Roman" w:cs="Times New Roman" w:hint="eastAsia"/>
          <w:sz w:val="13"/>
          <w:szCs w:val="13"/>
        </w:rPr>
        <w:t xml:space="preserve"> </w:t>
      </w:r>
      <w:r w:rsidRPr="003E632A">
        <w:rPr>
          <w:rFonts w:ascii="Times New Roman" w:hAnsi="Times New Roman" w:cs="Times New Roman"/>
          <w:sz w:val="13"/>
          <w:szCs w:val="13"/>
        </w:rPr>
        <w:t xml:space="preserve">(TT/E2) was standardized, and ORs are reported per 1-standard </w:t>
      </w:r>
      <w:r w:rsidRPr="003E632A">
        <w:rPr>
          <w:rFonts w:ascii="Times New Roman" w:hAnsi="Times New Roman" w:cs="Times New Roman"/>
          <w:sz w:val="13"/>
          <w:szCs w:val="13"/>
        </w:rPr>
        <w:lastRenderedPageBreak/>
        <w:t>deviation (SD) increase. Fully adjusted models included age, race/ethnicity, education level, marital status, poverty–income ratio (PIR), smoking status, alcohol consumption, diabetes, hypertension, and hyperlipidemia. All P values are two-sided.</w:t>
      </w:r>
    </w:p>
    <w:p w14:paraId="633FC89F" w14:textId="77777777" w:rsidR="003E632A" w:rsidRDefault="003E632A" w:rsidP="003E632A">
      <w:pPr>
        <w:spacing w:after="120" w:line="240" w:lineRule="auto"/>
        <w:jc w:val="both"/>
        <w:rPr>
          <w:rFonts w:ascii="Times New Roman" w:hAnsi="Times New Roman" w:cs="Times New Roman"/>
          <w:sz w:val="13"/>
          <w:szCs w:val="13"/>
        </w:rPr>
      </w:pPr>
    </w:p>
    <w:p w14:paraId="29C60E3C" w14:textId="77777777" w:rsidR="003E632A" w:rsidRDefault="003E632A" w:rsidP="003E632A">
      <w:pPr>
        <w:spacing w:after="120" w:line="240" w:lineRule="auto"/>
        <w:jc w:val="both"/>
        <w:rPr>
          <w:rFonts w:ascii="Times New Roman" w:hAnsi="Times New Roman" w:cs="Times New Roman"/>
          <w:sz w:val="13"/>
          <w:szCs w:val="13"/>
        </w:rPr>
      </w:pPr>
    </w:p>
    <w:p w14:paraId="21F5D004" w14:textId="56BE008D" w:rsidR="003E632A" w:rsidRDefault="000D54AE" w:rsidP="003E632A">
      <w:pPr>
        <w:spacing w:after="120" w:line="240" w:lineRule="auto"/>
        <w:jc w:val="both"/>
        <w:rPr>
          <w:rFonts w:ascii="Times New Roman" w:hAnsi="Times New Roman" w:cs="Times New Roman"/>
          <w:sz w:val="13"/>
          <w:szCs w:val="13"/>
        </w:rPr>
      </w:pPr>
      <w:r>
        <w:rPr>
          <w:noProof/>
        </w:rPr>
        <w:drawing>
          <wp:inline distT="0" distB="0" distL="0" distR="0" wp14:anchorId="644B90E7" wp14:editId="58197700">
            <wp:extent cx="5274310" cy="2852725"/>
            <wp:effectExtent l="0" t="0" r="2540" b="5080"/>
            <wp:docPr id="9273315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1565"/>
                    <a:stretch>
                      <a:fillRect/>
                    </a:stretch>
                  </pic:blipFill>
                  <pic:spPr bwMode="auto">
                    <a:xfrm>
                      <a:off x="0" y="0"/>
                      <a:ext cx="5274310" cy="2852725"/>
                    </a:xfrm>
                    <a:prstGeom prst="rect">
                      <a:avLst/>
                    </a:prstGeom>
                    <a:noFill/>
                    <a:ln>
                      <a:noFill/>
                    </a:ln>
                    <a:extLst>
                      <a:ext uri="{53640926-AAD7-44D8-BBD7-CCE9431645EC}">
                        <a14:shadowObscured xmlns:a14="http://schemas.microsoft.com/office/drawing/2010/main"/>
                      </a:ext>
                    </a:extLst>
                  </pic:spPr>
                </pic:pic>
              </a:graphicData>
            </a:graphic>
          </wp:inline>
        </w:drawing>
      </w:r>
    </w:p>
    <w:p w14:paraId="06F09FA0" w14:textId="1F82C15F" w:rsidR="003E632A" w:rsidRDefault="003E632A" w:rsidP="003E632A">
      <w:pPr>
        <w:spacing w:after="120" w:line="240" w:lineRule="auto"/>
        <w:jc w:val="both"/>
        <w:rPr>
          <w:rFonts w:ascii="Times New Roman" w:hAnsi="Times New Roman" w:cs="Times New Roman"/>
          <w:b/>
          <w:bCs/>
          <w:sz w:val="16"/>
          <w:szCs w:val="16"/>
        </w:rPr>
      </w:pPr>
      <w:r w:rsidRPr="003E632A">
        <w:rPr>
          <w:rFonts w:ascii="Times New Roman" w:hAnsi="Times New Roman" w:cs="Times New Roman"/>
          <w:b/>
          <w:bCs/>
          <w:sz w:val="16"/>
          <w:szCs w:val="16"/>
        </w:rPr>
        <w:t xml:space="preserve">Figure S2. Sensitivity analyses for the association between </w:t>
      </w:r>
      <w:proofErr w:type="gramStart"/>
      <w:r w:rsidRPr="003E632A">
        <w:rPr>
          <w:rFonts w:ascii="Times New Roman" w:hAnsi="Times New Roman" w:cs="Times New Roman"/>
          <w:b/>
          <w:bCs/>
          <w:sz w:val="16"/>
          <w:szCs w:val="16"/>
        </w:rPr>
        <w:t>log(</w:t>
      </w:r>
      <w:proofErr w:type="gramEnd"/>
      <w:r w:rsidRPr="003E632A">
        <w:rPr>
          <w:rFonts w:ascii="Times New Roman" w:hAnsi="Times New Roman" w:cs="Times New Roman"/>
          <w:b/>
          <w:bCs/>
          <w:sz w:val="16"/>
          <w:szCs w:val="16"/>
        </w:rPr>
        <w:t>TT/E2) and CHD across sex and menopausal subgroups</w:t>
      </w:r>
    </w:p>
    <w:p w14:paraId="6F32A2C6" w14:textId="53B2CAE5" w:rsidR="000D54AE" w:rsidRDefault="002929EE" w:rsidP="003E632A">
      <w:pPr>
        <w:spacing w:after="120" w:line="240" w:lineRule="auto"/>
        <w:jc w:val="both"/>
        <w:rPr>
          <w:rFonts w:ascii="Times New Roman" w:hAnsi="Times New Roman" w:cs="Times New Roman"/>
          <w:sz w:val="13"/>
          <w:szCs w:val="13"/>
        </w:rPr>
      </w:pPr>
      <w:r w:rsidRPr="002929EE">
        <w:rPr>
          <w:rFonts w:ascii="Times New Roman" w:hAnsi="Times New Roman" w:cs="Times New Roman"/>
          <w:sz w:val="13"/>
          <w:szCs w:val="13"/>
        </w:rPr>
        <w:t>Forest plot comparing the effect estimates from the primary analysis (multiple imputation with survey weighting), complete-case weighted models, and complete-case unweighted models. Odds ratios (ORs) per 1-standard deviation (SD) increase in log</w:t>
      </w:r>
      <w:r>
        <w:rPr>
          <w:rFonts w:ascii="Times New Roman" w:hAnsi="Times New Roman" w:cs="Times New Roman" w:hint="eastAsia"/>
          <w:sz w:val="13"/>
          <w:szCs w:val="13"/>
        </w:rPr>
        <w:t xml:space="preserve"> </w:t>
      </w:r>
      <w:r w:rsidRPr="002929EE">
        <w:rPr>
          <w:rFonts w:ascii="Times New Roman" w:hAnsi="Times New Roman" w:cs="Times New Roman"/>
          <w:sz w:val="13"/>
          <w:szCs w:val="13"/>
        </w:rPr>
        <w:t>(TT/E2) and 95% confidence intervals (CIs) are presented on a logarithmic scale for men, women, premenopausal women, and postmenopausal women. The vertical dashed line indicates OR = 1.0.</w:t>
      </w:r>
    </w:p>
    <w:p w14:paraId="2D9A1EE0" w14:textId="77777777" w:rsidR="002929EE" w:rsidRDefault="002929EE" w:rsidP="003E632A">
      <w:pPr>
        <w:spacing w:after="120" w:line="240" w:lineRule="auto"/>
        <w:jc w:val="both"/>
        <w:rPr>
          <w:rFonts w:ascii="Times New Roman" w:hAnsi="Times New Roman" w:cs="Times New Roman"/>
          <w:sz w:val="13"/>
          <w:szCs w:val="13"/>
        </w:rPr>
      </w:pPr>
    </w:p>
    <w:p w14:paraId="578E160E" w14:textId="77777777" w:rsidR="002929EE" w:rsidRDefault="002929EE" w:rsidP="003E632A">
      <w:pPr>
        <w:spacing w:after="120" w:line="240" w:lineRule="auto"/>
        <w:jc w:val="both"/>
        <w:rPr>
          <w:rFonts w:ascii="Times New Roman" w:hAnsi="Times New Roman" w:cs="Times New Roman" w:hint="eastAsia"/>
          <w:sz w:val="13"/>
          <w:szCs w:val="13"/>
        </w:rPr>
      </w:pPr>
    </w:p>
    <w:p w14:paraId="5AA9D860" w14:textId="04DB3131" w:rsidR="000D54AE" w:rsidRPr="000D54AE" w:rsidRDefault="000D54AE" w:rsidP="003E632A">
      <w:pPr>
        <w:spacing w:after="120" w:line="240" w:lineRule="auto"/>
        <w:jc w:val="both"/>
        <w:rPr>
          <w:rFonts w:ascii="Times New Roman" w:hAnsi="Times New Roman" w:cs="Times New Roman"/>
          <w:b/>
          <w:bCs/>
          <w:sz w:val="16"/>
          <w:szCs w:val="16"/>
        </w:rPr>
      </w:pPr>
      <w:r w:rsidRPr="000D54AE">
        <w:rPr>
          <w:rFonts w:ascii="Times New Roman" w:hAnsi="Times New Roman" w:cs="Times New Roman"/>
          <w:b/>
          <w:bCs/>
          <w:sz w:val="16"/>
          <w:szCs w:val="16"/>
        </w:rPr>
        <w:t>Table S7. Sensitivity analyses for the interaction of log-transformed testosterone-to-estradiol ratio [</w:t>
      </w:r>
      <w:proofErr w:type="gramStart"/>
      <w:r w:rsidRPr="000D54AE">
        <w:rPr>
          <w:rFonts w:ascii="Times New Roman" w:hAnsi="Times New Roman" w:cs="Times New Roman"/>
          <w:b/>
          <w:bCs/>
          <w:sz w:val="16"/>
          <w:szCs w:val="16"/>
        </w:rPr>
        <w:t>log(</w:t>
      </w:r>
      <w:proofErr w:type="gramEnd"/>
      <w:r w:rsidRPr="000D54AE">
        <w:rPr>
          <w:rFonts w:ascii="Times New Roman" w:hAnsi="Times New Roman" w:cs="Times New Roman"/>
          <w:b/>
          <w:bCs/>
          <w:sz w:val="16"/>
          <w:szCs w:val="16"/>
        </w:rPr>
        <w:t>TT/E2)] with sex and menopausal status in relation to coronary heart disease (CHD)</w:t>
      </w:r>
    </w:p>
    <w:tbl>
      <w:tblPr>
        <w:tblStyle w:val="af2"/>
        <w:tblW w:w="0" w:type="auto"/>
        <w:tblLook w:val="04A0" w:firstRow="1" w:lastRow="0" w:firstColumn="1" w:lastColumn="0" w:noHBand="0" w:noVBand="1"/>
      </w:tblPr>
      <w:tblGrid>
        <w:gridCol w:w="1880"/>
        <w:gridCol w:w="2265"/>
        <w:gridCol w:w="2000"/>
        <w:gridCol w:w="1408"/>
        <w:gridCol w:w="743"/>
      </w:tblGrid>
      <w:tr w:rsidR="000D54AE" w:rsidRPr="000D54AE" w14:paraId="2EF71526" w14:textId="77777777" w:rsidTr="000D54AE">
        <w:trPr>
          <w:trHeight w:val="300"/>
        </w:trPr>
        <w:tc>
          <w:tcPr>
            <w:tcW w:w="1887" w:type="dxa"/>
            <w:noWrap/>
            <w:hideMark/>
          </w:tcPr>
          <w:p w14:paraId="7E99F867" w14:textId="77777777" w:rsidR="000D54AE" w:rsidRPr="000D54AE" w:rsidRDefault="000D54AE" w:rsidP="000D54AE">
            <w:pPr>
              <w:spacing w:after="120"/>
              <w:jc w:val="both"/>
              <w:rPr>
                <w:rFonts w:ascii="Times New Roman" w:hAnsi="Times New Roman" w:cs="Times New Roman"/>
                <w:sz w:val="13"/>
                <w:szCs w:val="13"/>
              </w:rPr>
            </w:pPr>
            <w:r w:rsidRPr="000D54AE">
              <w:rPr>
                <w:rFonts w:ascii="Times New Roman" w:hAnsi="Times New Roman" w:cs="Times New Roman"/>
                <w:sz w:val="13"/>
                <w:szCs w:val="13"/>
              </w:rPr>
              <w:t>Analysis</w:t>
            </w:r>
          </w:p>
        </w:tc>
        <w:tc>
          <w:tcPr>
            <w:tcW w:w="2275" w:type="dxa"/>
            <w:noWrap/>
            <w:hideMark/>
          </w:tcPr>
          <w:p w14:paraId="73DB8931" w14:textId="77777777" w:rsidR="000D54AE" w:rsidRPr="000D54AE" w:rsidRDefault="000D54AE" w:rsidP="000D54AE">
            <w:pPr>
              <w:spacing w:after="120"/>
              <w:jc w:val="both"/>
              <w:rPr>
                <w:rFonts w:ascii="Times New Roman" w:hAnsi="Times New Roman" w:cs="Times New Roman"/>
                <w:sz w:val="13"/>
                <w:szCs w:val="13"/>
              </w:rPr>
            </w:pPr>
            <w:r w:rsidRPr="000D54AE">
              <w:rPr>
                <w:rFonts w:ascii="Times New Roman" w:hAnsi="Times New Roman" w:cs="Times New Roman"/>
                <w:sz w:val="13"/>
                <w:szCs w:val="13"/>
              </w:rPr>
              <w:t>Interaction</w:t>
            </w:r>
          </w:p>
        </w:tc>
        <w:tc>
          <w:tcPr>
            <w:tcW w:w="1974" w:type="dxa"/>
            <w:noWrap/>
            <w:hideMark/>
          </w:tcPr>
          <w:p w14:paraId="482B0DB8" w14:textId="77777777" w:rsidR="000D54AE" w:rsidRPr="000D54AE" w:rsidRDefault="000D54AE" w:rsidP="000D54AE">
            <w:pPr>
              <w:spacing w:after="120"/>
              <w:jc w:val="both"/>
              <w:rPr>
                <w:rFonts w:ascii="Times New Roman" w:hAnsi="Times New Roman" w:cs="Times New Roman"/>
                <w:sz w:val="13"/>
                <w:szCs w:val="13"/>
              </w:rPr>
            </w:pPr>
            <w:r w:rsidRPr="000D54AE">
              <w:rPr>
                <w:rFonts w:ascii="Times New Roman" w:hAnsi="Times New Roman" w:cs="Times New Roman"/>
                <w:sz w:val="13"/>
                <w:szCs w:val="13"/>
              </w:rPr>
              <w:t>term</w:t>
            </w:r>
          </w:p>
        </w:tc>
        <w:tc>
          <w:tcPr>
            <w:tcW w:w="1414" w:type="dxa"/>
            <w:noWrap/>
            <w:hideMark/>
          </w:tcPr>
          <w:p w14:paraId="36BA1B7E" w14:textId="77777777" w:rsidR="000D54AE" w:rsidRPr="000D54AE" w:rsidRDefault="000D54AE" w:rsidP="000D54AE">
            <w:pPr>
              <w:spacing w:after="120"/>
              <w:jc w:val="both"/>
              <w:rPr>
                <w:rFonts w:ascii="Times New Roman" w:hAnsi="Times New Roman" w:cs="Times New Roman"/>
                <w:sz w:val="13"/>
                <w:szCs w:val="13"/>
              </w:rPr>
            </w:pPr>
            <w:r w:rsidRPr="000D54AE">
              <w:rPr>
                <w:rFonts w:ascii="Times New Roman" w:hAnsi="Times New Roman" w:cs="Times New Roman"/>
                <w:sz w:val="13"/>
                <w:szCs w:val="13"/>
              </w:rPr>
              <w:t>OR (95% CI)</w:t>
            </w:r>
          </w:p>
        </w:tc>
        <w:tc>
          <w:tcPr>
            <w:tcW w:w="746" w:type="dxa"/>
            <w:noWrap/>
            <w:hideMark/>
          </w:tcPr>
          <w:p w14:paraId="1CBD8DD6" w14:textId="77777777" w:rsidR="000D54AE" w:rsidRPr="000D54AE" w:rsidRDefault="000D54AE" w:rsidP="000D54AE">
            <w:pPr>
              <w:spacing w:after="120"/>
              <w:jc w:val="both"/>
              <w:rPr>
                <w:rFonts w:ascii="Times New Roman" w:hAnsi="Times New Roman" w:cs="Times New Roman"/>
                <w:sz w:val="13"/>
                <w:szCs w:val="13"/>
              </w:rPr>
            </w:pPr>
            <w:r w:rsidRPr="000D54AE">
              <w:rPr>
                <w:rFonts w:ascii="Times New Roman" w:hAnsi="Times New Roman" w:cs="Times New Roman"/>
                <w:sz w:val="13"/>
                <w:szCs w:val="13"/>
              </w:rPr>
              <w:t>P value</w:t>
            </w:r>
          </w:p>
        </w:tc>
      </w:tr>
      <w:tr w:rsidR="000D54AE" w:rsidRPr="000D54AE" w14:paraId="42650AFA" w14:textId="77777777" w:rsidTr="000D54AE">
        <w:trPr>
          <w:trHeight w:val="300"/>
        </w:trPr>
        <w:tc>
          <w:tcPr>
            <w:tcW w:w="1887" w:type="dxa"/>
            <w:noWrap/>
            <w:hideMark/>
          </w:tcPr>
          <w:p w14:paraId="57F31471" w14:textId="77777777" w:rsidR="000D54AE" w:rsidRPr="000D54AE" w:rsidRDefault="000D54AE" w:rsidP="000D54AE">
            <w:pPr>
              <w:spacing w:after="120"/>
              <w:jc w:val="both"/>
              <w:rPr>
                <w:rFonts w:ascii="Times New Roman" w:hAnsi="Times New Roman" w:cs="Times New Roman"/>
                <w:sz w:val="13"/>
                <w:szCs w:val="13"/>
              </w:rPr>
            </w:pPr>
            <w:r w:rsidRPr="000D54AE">
              <w:rPr>
                <w:rFonts w:ascii="Times New Roman" w:hAnsi="Times New Roman" w:cs="Times New Roman"/>
                <w:sz w:val="13"/>
                <w:szCs w:val="13"/>
              </w:rPr>
              <w:t>Main analysis (MI + weighted)</w:t>
            </w:r>
          </w:p>
        </w:tc>
        <w:tc>
          <w:tcPr>
            <w:tcW w:w="2275" w:type="dxa"/>
            <w:noWrap/>
            <w:hideMark/>
          </w:tcPr>
          <w:p w14:paraId="23641163" w14:textId="77777777" w:rsidR="000D54AE" w:rsidRPr="000D54AE" w:rsidRDefault="000D54AE" w:rsidP="000D54AE">
            <w:pPr>
              <w:spacing w:after="120"/>
              <w:jc w:val="both"/>
              <w:rPr>
                <w:rFonts w:ascii="Times New Roman" w:hAnsi="Times New Roman" w:cs="Times New Roman"/>
                <w:sz w:val="13"/>
                <w:szCs w:val="13"/>
              </w:rPr>
            </w:pPr>
            <w:proofErr w:type="gramStart"/>
            <w:r w:rsidRPr="000D54AE">
              <w:rPr>
                <w:rFonts w:ascii="Times New Roman" w:hAnsi="Times New Roman" w:cs="Times New Roman"/>
                <w:sz w:val="13"/>
                <w:szCs w:val="13"/>
              </w:rPr>
              <w:t>log(</w:t>
            </w:r>
            <w:proofErr w:type="gramEnd"/>
            <w:r w:rsidRPr="000D54AE">
              <w:rPr>
                <w:rFonts w:ascii="Times New Roman" w:hAnsi="Times New Roman" w:cs="Times New Roman"/>
                <w:sz w:val="13"/>
                <w:szCs w:val="13"/>
              </w:rPr>
              <w:t>TT/E2) × Gender</w:t>
            </w:r>
          </w:p>
        </w:tc>
        <w:tc>
          <w:tcPr>
            <w:tcW w:w="1974" w:type="dxa"/>
            <w:noWrap/>
            <w:hideMark/>
          </w:tcPr>
          <w:p w14:paraId="50FBD0BD" w14:textId="77777777" w:rsidR="000D54AE" w:rsidRPr="000D54AE" w:rsidRDefault="000D54AE" w:rsidP="000D54AE">
            <w:pPr>
              <w:spacing w:after="120"/>
              <w:jc w:val="both"/>
              <w:rPr>
                <w:rFonts w:ascii="Times New Roman" w:hAnsi="Times New Roman" w:cs="Times New Roman"/>
                <w:sz w:val="13"/>
                <w:szCs w:val="13"/>
              </w:rPr>
            </w:pPr>
            <w:proofErr w:type="gramStart"/>
            <w:r w:rsidRPr="000D54AE">
              <w:rPr>
                <w:rFonts w:ascii="Times New Roman" w:hAnsi="Times New Roman" w:cs="Times New Roman"/>
                <w:sz w:val="13"/>
                <w:szCs w:val="13"/>
              </w:rPr>
              <w:t>log(</w:t>
            </w:r>
            <w:proofErr w:type="gramEnd"/>
            <w:r w:rsidRPr="000D54AE">
              <w:rPr>
                <w:rFonts w:ascii="Times New Roman" w:hAnsi="Times New Roman" w:cs="Times New Roman"/>
                <w:sz w:val="13"/>
                <w:szCs w:val="13"/>
              </w:rPr>
              <w:t>TT_E2</w:t>
            </w:r>
            <w:proofErr w:type="gramStart"/>
            <w:r w:rsidRPr="000D54AE">
              <w:rPr>
                <w:rFonts w:ascii="Times New Roman" w:hAnsi="Times New Roman" w:cs="Times New Roman"/>
                <w:sz w:val="13"/>
                <w:szCs w:val="13"/>
              </w:rPr>
              <w:t>):</w:t>
            </w:r>
            <w:proofErr w:type="spellStart"/>
            <w:r w:rsidRPr="000D54AE">
              <w:rPr>
                <w:rFonts w:ascii="Times New Roman" w:hAnsi="Times New Roman" w:cs="Times New Roman"/>
                <w:sz w:val="13"/>
                <w:szCs w:val="13"/>
              </w:rPr>
              <w:t>GenderWomen</w:t>
            </w:r>
            <w:proofErr w:type="spellEnd"/>
            <w:proofErr w:type="gramEnd"/>
          </w:p>
        </w:tc>
        <w:tc>
          <w:tcPr>
            <w:tcW w:w="1414" w:type="dxa"/>
            <w:noWrap/>
            <w:hideMark/>
          </w:tcPr>
          <w:p w14:paraId="6783D154" w14:textId="77777777" w:rsidR="000D54AE" w:rsidRPr="000D54AE" w:rsidRDefault="000D54AE" w:rsidP="000D54AE">
            <w:pPr>
              <w:spacing w:after="120"/>
              <w:jc w:val="both"/>
              <w:rPr>
                <w:rFonts w:ascii="Times New Roman" w:hAnsi="Times New Roman" w:cs="Times New Roman"/>
                <w:sz w:val="13"/>
                <w:szCs w:val="13"/>
              </w:rPr>
            </w:pPr>
            <w:r w:rsidRPr="000D54AE">
              <w:rPr>
                <w:rFonts w:ascii="Times New Roman" w:hAnsi="Times New Roman" w:cs="Times New Roman"/>
                <w:sz w:val="13"/>
                <w:szCs w:val="13"/>
              </w:rPr>
              <w:t>1.365 (1.058–1.760)</w:t>
            </w:r>
          </w:p>
        </w:tc>
        <w:tc>
          <w:tcPr>
            <w:tcW w:w="746" w:type="dxa"/>
            <w:noWrap/>
            <w:hideMark/>
          </w:tcPr>
          <w:p w14:paraId="47026838" w14:textId="77777777" w:rsidR="000D54AE" w:rsidRPr="000D54AE" w:rsidRDefault="000D54AE" w:rsidP="000D54AE">
            <w:pPr>
              <w:spacing w:after="120"/>
              <w:jc w:val="both"/>
              <w:rPr>
                <w:rFonts w:ascii="Times New Roman" w:hAnsi="Times New Roman" w:cs="Times New Roman"/>
                <w:sz w:val="13"/>
                <w:szCs w:val="13"/>
              </w:rPr>
            </w:pPr>
            <w:r w:rsidRPr="000D54AE">
              <w:rPr>
                <w:rFonts w:ascii="Times New Roman" w:hAnsi="Times New Roman" w:cs="Times New Roman"/>
                <w:sz w:val="13"/>
                <w:szCs w:val="13"/>
              </w:rPr>
              <w:t>0.017</w:t>
            </w:r>
          </w:p>
        </w:tc>
      </w:tr>
      <w:tr w:rsidR="000D54AE" w:rsidRPr="000D54AE" w14:paraId="2C51DCB9" w14:textId="77777777" w:rsidTr="000D54AE">
        <w:trPr>
          <w:trHeight w:val="300"/>
        </w:trPr>
        <w:tc>
          <w:tcPr>
            <w:tcW w:w="1887" w:type="dxa"/>
            <w:noWrap/>
            <w:hideMark/>
          </w:tcPr>
          <w:p w14:paraId="39630278" w14:textId="77777777" w:rsidR="000D54AE" w:rsidRPr="000D54AE" w:rsidRDefault="000D54AE" w:rsidP="000D54AE">
            <w:pPr>
              <w:spacing w:after="120"/>
              <w:jc w:val="both"/>
              <w:rPr>
                <w:rFonts w:ascii="Times New Roman" w:hAnsi="Times New Roman" w:cs="Times New Roman"/>
                <w:sz w:val="13"/>
                <w:szCs w:val="13"/>
              </w:rPr>
            </w:pPr>
            <w:r w:rsidRPr="000D54AE">
              <w:rPr>
                <w:rFonts w:ascii="Times New Roman" w:hAnsi="Times New Roman" w:cs="Times New Roman"/>
                <w:sz w:val="13"/>
                <w:szCs w:val="13"/>
              </w:rPr>
              <w:t>Complete-case weighted</w:t>
            </w:r>
          </w:p>
        </w:tc>
        <w:tc>
          <w:tcPr>
            <w:tcW w:w="2275" w:type="dxa"/>
            <w:noWrap/>
            <w:hideMark/>
          </w:tcPr>
          <w:p w14:paraId="266293C8" w14:textId="77777777" w:rsidR="000D54AE" w:rsidRPr="000D54AE" w:rsidRDefault="000D54AE" w:rsidP="000D54AE">
            <w:pPr>
              <w:spacing w:after="120"/>
              <w:jc w:val="both"/>
              <w:rPr>
                <w:rFonts w:ascii="Times New Roman" w:hAnsi="Times New Roman" w:cs="Times New Roman"/>
                <w:sz w:val="13"/>
                <w:szCs w:val="13"/>
              </w:rPr>
            </w:pPr>
            <w:proofErr w:type="gramStart"/>
            <w:r w:rsidRPr="000D54AE">
              <w:rPr>
                <w:rFonts w:ascii="Times New Roman" w:hAnsi="Times New Roman" w:cs="Times New Roman"/>
                <w:sz w:val="13"/>
                <w:szCs w:val="13"/>
              </w:rPr>
              <w:t>log(</w:t>
            </w:r>
            <w:proofErr w:type="gramEnd"/>
            <w:r w:rsidRPr="000D54AE">
              <w:rPr>
                <w:rFonts w:ascii="Times New Roman" w:hAnsi="Times New Roman" w:cs="Times New Roman"/>
                <w:sz w:val="13"/>
                <w:szCs w:val="13"/>
              </w:rPr>
              <w:t>TT/E2) × Gender</w:t>
            </w:r>
          </w:p>
        </w:tc>
        <w:tc>
          <w:tcPr>
            <w:tcW w:w="1974" w:type="dxa"/>
            <w:noWrap/>
            <w:hideMark/>
          </w:tcPr>
          <w:p w14:paraId="2ECC1F7F" w14:textId="77777777" w:rsidR="000D54AE" w:rsidRPr="000D54AE" w:rsidRDefault="000D54AE" w:rsidP="000D54AE">
            <w:pPr>
              <w:spacing w:after="120"/>
              <w:jc w:val="both"/>
              <w:rPr>
                <w:rFonts w:ascii="Times New Roman" w:hAnsi="Times New Roman" w:cs="Times New Roman"/>
                <w:sz w:val="13"/>
                <w:szCs w:val="13"/>
              </w:rPr>
            </w:pPr>
            <w:proofErr w:type="gramStart"/>
            <w:r w:rsidRPr="000D54AE">
              <w:rPr>
                <w:rFonts w:ascii="Times New Roman" w:hAnsi="Times New Roman" w:cs="Times New Roman"/>
                <w:sz w:val="13"/>
                <w:szCs w:val="13"/>
              </w:rPr>
              <w:t>log(</w:t>
            </w:r>
            <w:proofErr w:type="gramEnd"/>
            <w:r w:rsidRPr="000D54AE">
              <w:rPr>
                <w:rFonts w:ascii="Times New Roman" w:hAnsi="Times New Roman" w:cs="Times New Roman"/>
                <w:sz w:val="13"/>
                <w:szCs w:val="13"/>
              </w:rPr>
              <w:t>TT_E2</w:t>
            </w:r>
            <w:proofErr w:type="gramStart"/>
            <w:r w:rsidRPr="000D54AE">
              <w:rPr>
                <w:rFonts w:ascii="Times New Roman" w:hAnsi="Times New Roman" w:cs="Times New Roman"/>
                <w:sz w:val="13"/>
                <w:szCs w:val="13"/>
              </w:rPr>
              <w:t>):</w:t>
            </w:r>
            <w:proofErr w:type="spellStart"/>
            <w:r w:rsidRPr="000D54AE">
              <w:rPr>
                <w:rFonts w:ascii="Times New Roman" w:hAnsi="Times New Roman" w:cs="Times New Roman"/>
                <w:sz w:val="13"/>
                <w:szCs w:val="13"/>
              </w:rPr>
              <w:t>GenderWomen</w:t>
            </w:r>
            <w:proofErr w:type="spellEnd"/>
            <w:proofErr w:type="gramEnd"/>
          </w:p>
        </w:tc>
        <w:tc>
          <w:tcPr>
            <w:tcW w:w="1414" w:type="dxa"/>
            <w:noWrap/>
            <w:hideMark/>
          </w:tcPr>
          <w:p w14:paraId="67E11BAF" w14:textId="77777777" w:rsidR="000D54AE" w:rsidRPr="000D54AE" w:rsidRDefault="000D54AE" w:rsidP="000D54AE">
            <w:pPr>
              <w:spacing w:after="120"/>
              <w:jc w:val="both"/>
              <w:rPr>
                <w:rFonts w:ascii="Times New Roman" w:hAnsi="Times New Roman" w:cs="Times New Roman"/>
                <w:sz w:val="13"/>
                <w:szCs w:val="13"/>
              </w:rPr>
            </w:pPr>
            <w:r w:rsidRPr="000D54AE">
              <w:rPr>
                <w:rFonts w:ascii="Times New Roman" w:hAnsi="Times New Roman" w:cs="Times New Roman"/>
                <w:sz w:val="13"/>
                <w:szCs w:val="13"/>
              </w:rPr>
              <w:t>1.378 (1.047–1.814)</w:t>
            </w:r>
          </w:p>
        </w:tc>
        <w:tc>
          <w:tcPr>
            <w:tcW w:w="746" w:type="dxa"/>
            <w:noWrap/>
            <w:hideMark/>
          </w:tcPr>
          <w:p w14:paraId="41EFEC87" w14:textId="77777777" w:rsidR="000D54AE" w:rsidRPr="000D54AE" w:rsidRDefault="000D54AE" w:rsidP="000D54AE">
            <w:pPr>
              <w:spacing w:after="120"/>
              <w:jc w:val="both"/>
              <w:rPr>
                <w:rFonts w:ascii="Times New Roman" w:hAnsi="Times New Roman" w:cs="Times New Roman"/>
                <w:sz w:val="13"/>
                <w:szCs w:val="13"/>
              </w:rPr>
            </w:pPr>
            <w:r w:rsidRPr="000D54AE">
              <w:rPr>
                <w:rFonts w:ascii="Times New Roman" w:hAnsi="Times New Roman" w:cs="Times New Roman"/>
                <w:sz w:val="13"/>
                <w:szCs w:val="13"/>
              </w:rPr>
              <w:t>0.022</w:t>
            </w:r>
          </w:p>
        </w:tc>
      </w:tr>
      <w:tr w:rsidR="000D54AE" w:rsidRPr="000D54AE" w14:paraId="0DC0A6B9" w14:textId="77777777" w:rsidTr="000D54AE">
        <w:trPr>
          <w:trHeight w:val="300"/>
        </w:trPr>
        <w:tc>
          <w:tcPr>
            <w:tcW w:w="1887" w:type="dxa"/>
            <w:noWrap/>
            <w:hideMark/>
          </w:tcPr>
          <w:p w14:paraId="5B8D6B57" w14:textId="77777777" w:rsidR="000D54AE" w:rsidRPr="000D54AE" w:rsidRDefault="000D54AE" w:rsidP="000D54AE">
            <w:pPr>
              <w:spacing w:after="120"/>
              <w:jc w:val="both"/>
              <w:rPr>
                <w:rFonts w:ascii="Times New Roman" w:hAnsi="Times New Roman" w:cs="Times New Roman"/>
                <w:sz w:val="13"/>
                <w:szCs w:val="13"/>
              </w:rPr>
            </w:pPr>
            <w:r w:rsidRPr="000D54AE">
              <w:rPr>
                <w:rFonts w:ascii="Times New Roman" w:hAnsi="Times New Roman" w:cs="Times New Roman"/>
                <w:sz w:val="13"/>
                <w:szCs w:val="13"/>
              </w:rPr>
              <w:t>Main analysis (MI + weighted)</w:t>
            </w:r>
          </w:p>
        </w:tc>
        <w:tc>
          <w:tcPr>
            <w:tcW w:w="2275" w:type="dxa"/>
            <w:noWrap/>
            <w:hideMark/>
          </w:tcPr>
          <w:p w14:paraId="5B5BC30B" w14:textId="77777777" w:rsidR="000D54AE" w:rsidRPr="000D54AE" w:rsidRDefault="000D54AE" w:rsidP="000D54AE">
            <w:pPr>
              <w:spacing w:after="120"/>
              <w:jc w:val="both"/>
              <w:rPr>
                <w:rFonts w:ascii="Times New Roman" w:hAnsi="Times New Roman" w:cs="Times New Roman"/>
                <w:sz w:val="13"/>
                <w:szCs w:val="13"/>
              </w:rPr>
            </w:pPr>
            <w:proofErr w:type="gramStart"/>
            <w:r w:rsidRPr="000D54AE">
              <w:rPr>
                <w:rFonts w:ascii="Times New Roman" w:hAnsi="Times New Roman" w:cs="Times New Roman"/>
                <w:sz w:val="13"/>
                <w:szCs w:val="13"/>
              </w:rPr>
              <w:t>log(</w:t>
            </w:r>
            <w:proofErr w:type="gramEnd"/>
            <w:r w:rsidRPr="000D54AE">
              <w:rPr>
                <w:rFonts w:ascii="Times New Roman" w:hAnsi="Times New Roman" w:cs="Times New Roman"/>
                <w:sz w:val="13"/>
                <w:szCs w:val="13"/>
              </w:rPr>
              <w:t>TT/E2) × Menopause status</w:t>
            </w:r>
          </w:p>
        </w:tc>
        <w:tc>
          <w:tcPr>
            <w:tcW w:w="1974" w:type="dxa"/>
            <w:noWrap/>
            <w:hideMark/>
          </w:tcPr>
          <w:p w14:paraId="6A56600D" w14:textId="77777777" w:rsidR="000D54AE" w:rsidRPr="000D54AE" w:rsidRDefault="000D54AE" w:rsidP="000D54AE">
            <w:pPr>
              <w:spacing w:after="120"/>
              <w:jc w:val="both"/>
              <w:rPr>
                <w:rFonts w:ascii="Times New Roman" w:hAnsi="Times New Roman" w:cs="Times New Roman"/>
                <w:sz w:val="13"/>
                <w:szCs w:val="13"/>
              </w:rPr>
            </w:pPr>
            <w:proofErr w:type="gramStart"/>
            <w:r w:rsidRPr="000D54AE">
              <w:rPr>
                <w:rFonts w:ascii="Times New Roman" w:hAnsi="Times New Roman" w:cs="Times New Roman"/>
                <w:sz w:val="13"/>
                <w:szCs w:val="13"/>
              </w:rPr>
              <w:t>log(</w:t>
            </w:r>
            <w:proofErr w:type="gramEnd"/>
            <w:r w:rsidRPr="000D54AE">
              <w:rPr>
                <w:rFonts w:ascii="Times New Roman" w:hAnsi="Times New Roman" w:cs="Times New Roman"/>
                <w:sz w:val="13"/>
                <w:szCs w:val="13"/>
              </w:rPr>
              <w:t>TT_E2</w:t>
            </w:r>
            <w:proofErr w:type="gramStart"/>
            <w:r w:rsidRPr="000D54AE">
              <w:rPr>
                <w:rFonts w:ascii="Times New Roman" w:hAnsi="Times New Roman" w:cs="Times New Roman"/>
                <w:sz w:val="13"/>
                <w:szCs w:val="13"/>
              </w:rPr>
              <w:t>):</w:t>
            </w:r>
            <w:proofErr w:type="spellStart"/>
            <w:r w:rsidRPr="000D54AE">
              <w:rPr>
                <w:rFonts w:ascii="Times New Roman" w:hAnsi="Times New Roman" w:cs="Times New Roman"/>
                <w:sz w:val="13"/>
                <w:szCs w:val="13"/>
              </w:rPr>
              <w:t>menopause</w:t>
            </w:r>
            <w:proofErr w:type="gramEnd"/>
            <w:r w:rsidRPr="000D54AE">
              <w:rPr>
                <w:rFonts w:ascii="Times New Roman" w:hAnsi="Times New Roman" w:cs="Times New Roman"/>
                <w:sz w:val="13"/>
                <w:szCs w:val="13"/>
              </w:rPr>
              <w:t>_statusYes</w:t>
            </w:r>
            <w:proofErr w:type="spellEnd"/>
          </w:p>
        </w:tc>
        <w:tc>
          <w:tcPr>
            <w:tcW w:w="1414" w:type="dxa"/>
            <w:noWrap/>
            <w:hideMark/>
          </w:tcPr>
          <w:p w14:paraId="0EAFB183" w14:textId="77777777" w:rsidR="000D54AE" w:rsidRPr="000D54AE" w:rsidRDefault="000D54AE" w:rsidP="000D54AE">
            <w:pPr>
              <w:spacing w:after="120"/>
              <w:jc w:val="both"/>
              <w:rPr>
                <w:rFonts w:ascii="Times New Roman" w:hAnsi="Times New Roman" w:cs="Times New Roman"/>
                <w:sz w:val="13"/>
                <w:szCs w:val="13"/>
              </w:rPr>
            </w:pPr>
            <w:r w:rsidRPr="000D54AE">
              <w:rPr>
                <w:rFonts w:ascii="Times New Roman" w:hAnsi="Times New Roman" w:cs="Times New Roman"/>
                <w:sz w:val="13"/>
                <w:szCs w:val="13"/>
              </w:rPr>
              <w:t>1.424 (1.093–1.855)</w:t>
            </w:r>
          </w:p>
        </w:tc>
        <w:tc>
          <w:tcPr>
            <w:tcW w:w="746" w:type="dxa"/>
            <w:noWrap/>
            <w:hideMark/>
          </w:tcPr>
          <w:p w14:paraId="05399974" w14:textId="77777777" w:rsidR="000D54AE" w:rsidRPr="000D54AE" w:rsidRDefault="000D54AE" w:rsidP="000D54AE">
            <w:pPr>
              <w:spacing w:after="120"/>
              <w:jc w:val="both"/>
              <w:rPr>
                <w:rFonts w:ascii="Times New Roman" w:hAnsi="Times New Roman" w:cs="Times New Roman"/>
                <w:sz w:val="13"/>
                <w:szCs w:val="13"/>
              </w:rPr>
            </w:pPr>
            <w:r w:rsidRPr="000D54AE">
              <w:rPr>
                <w:rFonts w:ascii="Times New Roman" w:hAnsi="Times New Roman" w:cs="Times New Roman"/>
                <w:sz w:val="13"/>
                <w:szCs w:val="13"/>
              </w:rPr>
              <w:t>0.009</w:t>
            </w:r>
          </w:p>
        </w:tc>
      </w:tr>
      <w:tr w:rsidR="000D54AE" w:rsidRPr="000D54AE" w14:paraId="1A25E997" w14:textId="77777777" w:rsidTr="000D54AE">
        <w:trPr>
          <w:trHeight w:val="300"/>
        </w:trPr>
        <w:tc>
          <w:tcPr>
            <w:tcW w:w="1887" w:type="dxa"/>
            <w:noWrap/>
            <w:hideMark/>
          </w:tcPr>
          <w:p w14:paraId="32C8C7CC" w14:textId="77777777" w:rsidR="000D54AE" w:rsidRPr="000D54AE" w:rsidRDefault="000D54AE" w:rsidP="000D54AE">
            <w:pPr>
              <w:spacing w:after="120"/>
              <w:jc w:val="both"/>
              <w:rPr>
                <w:rFonts w:ascii="Times New Roman" w:hAnsi="Times New Roman" w:cs="Times New Roman"/>
                <w:sz w:val="13"/>
                <w:szCs w:val="13"/>
              </w:rPr>
            </w:pPr>
            <w:r w:rsidRPr="000D54AE">
              <w:rPr>
                <w:rFonts w:ascii="Times New Roman" w:hAnsi="Times New Roman" w:cs="Times New Roman"/>
                <w:sz w:val="13"/>
                <w:szCs w:val="13"/>
              </w:rPr>
              <w:t>Complete-case weighted</w:t>
            </w:r>
          </w:p>
        </w:tc>
        <w:tc>
          <w:tcPr>
            <w:tcW w:w="2275" w:type="dxa"/>
            <w:noWrap/>
            <w:hideMark/>
          </w:tcPr>
          <w:p w14:paraId="5BA5A69D" w14:textId="77777777" w:rsidR="000D54AE" w:rsidRPr="000D54AE" w:rsidRDefault="000D54AE" w:rsidP="000D54AE">
            <w:pPr>
              <w:spacing w:after="120"/>
              <w:jc w:val="both"/>
              <w:rPr>
                <w:rFonts w:ascii="Times New Roman" w:hAnsi="Times New Roman" w:cs="Times New Roman"/>
                <w:sz w:val="13"/>
                <w:szCs w:val="13"/>
              </w:rPr>
            </w:pPr>
            <w:proofErr w:type="gramStart"/>
            <w:r w:rsidRPr="000D54AE">
              <w:rPr>
                <w:rFonts w:ascii="Times New Roman" w:hAnsi="Times New Roman" w:cs="Times New Roman"/>
                <w:sz w:val="13"/>
                <w:szCs w:val="13"/>
              </w:rPr>
              <w:t>log(</w:t>
            </w:r>
            <w:proofErr w:type="gramEnd"/>
            <w:r w:rsidRPr="000D54AE">
              <w:rPr>
                <w:rFonts w:ascii="Times New Roman" w:hAnsi="Times New Roman" w:cs="Times New Roman"/>
                <w:sz w:val="13"/>
                <w:szCs w:val="13"/>
              </w:rPr>
              <w:t>TT/E2) × Menopause status</w:t>
            </w:r>
          </w:p>
        </w:tc>
        <w:tc>
          <w:tcPr>
            <w:tcW w:w="1974" w:type="dxa"/>
            <w:noWrap/>
            <w:hideMark/>
          </w:tcPr>
          <w:p w14:paraId="7CF5B624" w14:textId="77777777" w:rsidR="000D54AE" w:rsidRPr="000D54AE" w:rsidRDefault="000D54AE" w:rsidP="000D54AE">
            <w:pPr>
              <w:spacing w:after="120"/>
              <w:jc w:val="both"/>
              <w:rPr>
                <w:rFonts w:ascii="Times New Roman" w:hAnsi="Times New Roman" w:cs="Times New Roman"/>
                <w:sz w:val="13"/>
                <w:szCs w:val="13"/>
              </w:rPr>
            </w:pPr>
            <w:proofErr w:type="gramStart"/>
            <w:r w:rsidRPr="000D54AE">
              <w:rPr>
                <w:rFonts w:ascii="Times New Roman" w:hAnsi="Times New Roman" w:cs="Times New Roman"/>
                <w:sz w:val="13"/>
                <w:szCs w:val="13"/>
              </w:rPr>
              <w:t>log(</w:t>
            </w:r>
            <w:proofErr w:type="gramEnd"/>
            <w:r w:rsidRPr="000D54AE">
              <w:rPr>
                <w:rFonts w:ascii="Times New Roman" w:hAnsi="Times New Roman" w:cs="Times New Roman"/>
                <w:sz w:val="13"/>
                <w:szCs w:val="13"/>
              </w:rPr>
              <w:t>TT_E2</w:t>
            </w:r>
            <w:proofErr w:type="gramStart"/>
            <w:r w:rsidRPr="000D54AE">
              <w:rPr>
                <w:rFonts w:ascii="Times New Roman" w:hAnsi="Times New Roman" w:cs="Times New Roman"/>
                <w:sz w:val="13"/>
                <w:szCs w:val="13"/>
              </w:rPr>
              <w:t>):</w:t>
            </w:r>
            <w:proofErr w:type="spellStart"/>
            <w:r w:rsidRPr="000D54AE">
              <w:rPr>
                <w:rFonts w:ascii="Times New Roman" w:hAnsi="Times New Roman" w:cs="Times New Roman"/>
                <w:sz w:val="13"/>
                <w:szCs w:val="13"/>
              </w:rPr>
              <w:t>menopause</w:t>
            </w:r>
            <w:proofErr w:type="gramEnd"/>
            <w:r w:rsidRPr="000D54AE">
              <w:rPr>
                <w:rFonts w:ascii="Times New Roman" w:hAnsi="Times New Roman" w:cs="Times New Roman"/>
                <w:sz w:val="13"/>
                <w:szCs w:val="13"/>
              </w:rPr>
              <w:t>_statusYes</w:t>
            </w:r>
            <w:proofErr w:type="spellEnd"/>
          </w:p>
        </w:tc>
        <w:tc>
          <w:tcPr>
            <w:tcW w:w="1414" w:type="dxa"/>
            <w:noWrap/>
            <w:hideMark/>
          </w:tcPr>
          <w:p w14:paraId="79596C80" w14:textId="77777777" w:rsidR="000D54AE" w:rsidRPr="000D54AE" w:rsidRDefault="000D54AE" w:rsidP="000D54AE">
            <w:pPr>
              <w:spacing w:after="120"/>
              <w:jc w:val="both"/>
              <w:rPr>
                <w:rFonts w:ascii="Times New Roman" w:hAnsi="Times New Roman" w:cs="Times New Roman"/>
                <w:sz w:val="13"/>
                <w:szCs w:val="13"/>
              </w:rPr>
            </w:pPr>
            <w:r w:rsidRPr="000D54AE">
              <w:rPr>
                <w:rFonts w:ascii="Times New Roman" w:hAnsi="Times New Roman" w:cs="Times New Roman"/>
                <w:sz w:val="13"/>
                <w:szCs w:val="13"/>
              </w:rPr>
              <w:t>1.497 (1.087–2.061)</w:t>
            </w:r>
          </w:p>
        </w:tc>
        <w:tc>
          <w:tcPr>
            <w:tcW w:w="746" w:type="dxa"/>
            <w:noWrap/>
            <w:hideMark/>
          </w:tcPr>
          <w:p w14:paraId="76A45A37" w14:textId="77777777" w:rsidR="000D54AE" w:rsidRPr="000D54AE" w:rsidRDefault="000D54AE" w:rsidP="000D54AE">
            <w:pPr>
              <w:spacing w:after="120"/>
              <w:jc w:val="both"/>
              <w:rPr>
                <w:rFonts w:ascii="Times New Roman" w:hAnsi="Times New Roman" w:cs="Times New Roman"/>
                <w:sz w:val="13"/>
                <w:szCs w:val="13"/>
              </w:rPr>
            </w:pPr>
            <w:r w:rsidRPr="000D54AE">
              <w:rPr>
                <w:rFonts w:ascii="Times New Roman" w:hAnsi="Times New Roman" w:cs="Times New Roman"/>
                <w:sz w:val="13"/>
                <w:szCs w:val="13"/>
              </w:rPr>
              <w:t>0.014</w:t>
            </w:r>
          </w:p>
        </w:tc>
      </w:tr>
    </w:tbl>
    <w:p w14:paraId="3B5A3B8F" w14:textId="1E4EE4F8" w:rsidR="000D54AE" w:rsidRDefault="000D54AE" w:rsidP="003E632A">
      <w:pPr>
        <w:spacing w:after="120" w:line="240" w:lineRule="auto"/>
        <w:jc w:val="both"/>
        <w:rPr>
          <w:rFonts w:ascii="Times New Roman" w:hAnsi="Times New Roman" w:cs="Times New Roman"/>
          <w:sz w:val="13"/>
          <w:szCs w:val="13"/>
        </w:rPr>
      </w:pPr>
      <w:r w:rsidRPr="000D54AE">
        <w:rPr>
          <w:rFonts w:ascii="Times New Roman" w:hAnsi="Times New Roman" w:cs="Times New Roman"/>
          <w:sz w:val="13"/>
          <w:szCs w:val="13"/>
        </w:rPr>
        <w:t>Interaction ORs and 95% confidence intervals (CIs) are shown for the interaction between log</w:t>
      </w:r>
      <w:r w:rsidR="002929EE">
        <w:rPr>
          <w:rFonts w:ascii="Times New Roman" w:hAnsi="Times New Roman" w:cs="Times New Roman" w:hint="eastAsia"/>
          <w:sz w:val="13"/>
          <w:szCs w:val="13"/>
        </w:rPr>
        <w:t xml:space="preserve"> </w:t>
      </w:r>
      <w:r w:rsidRPr="000D54AE">
        <w:rPr>
          <w:rFonts w:ascii="Times New Roman" w:hAnsi="Times New Roman" w:cs="Times New Roman"/>
          <w:sz w:val="13"/>
          <w:szCs w:val="13"/>
        </w:rPr>
        <w:t>(TT/E2) and sex and for the interaction between log</w:t>
      </w:r>
      <w:r w:rsidR="002929EE">
        <w:rPr>
          <w:rFonts w:ascii="Times New Roman" w:hAnsi="Times New Roman" w:cs="Times New Roman" w:hint="eastAsia"/>
          <w:sz w:val="13"/>
          <w:szCs w:val="13"/>
        </w:rPr>
        <w:t xml:space="preserve"> </w:t>
      </w:r>
      <w:r w:rsidRPr="000D54AE">
        <w:rPr>
          <w:rFonts w:ascii="Times New Roman" w:hAnsi="Times New Roman" w:cs="Times New Roman"/>
          <w:sz w:val="13"/>
          <w:szCs w:val="13"/>
        </w:rPr>
        <w:t>(TT/E2) and menopausal status. The primary analysis was based on survey-weighted logistic regression with multiple imputation. Sensitivity analyses were performed using complete-case weighted models. Fully adjusted models included age, race/ethnicity, education level, marital status, poverty–income ratio (PIR), smoking status, alcohol consumption, diabetes, hypertension, and hyperlipidemia. All P values are two-sided.</w:t>
      </w:r>
    </w:p>
    <w:p w14:paraId="591D5BD7" w14:textId="3434E3A4" w:rsidR="000D54AE" w:rsidRDefault="000D54AE" w:rsidP="003E632A">
      <w:pPr>
        <w:spacing w:after="120" w:line="240" w:lineRule="auto"/>
        <w:jc w:val="both"/>
        <w:rPr>
          <w:rFonts w:ascii="Times New Roman" w:hAnsi="Times New Roman" w:cs="Times New Roman"/>
          <w:sz w:val="13"/>
          <w:szCs w:val="13"/>
        </w:rPr>
      </w:pPr>
      <w:r>
        <w:rPr>
          <w:noProof/>
        </w:rPr>
        <w:lastRenderedPageBreak/>
        <w:drawing>
          <wp:inline distT="0" distB="0" distL="0" distR="0" wp14:anchorId="5B4F77CD" wp14:editId="1CCCC0E7">
            <wp:extent cx="5274310" cy="2501849"/>
            <wp:effectExtent l="0" t="0" r="2540" b="0"/>
            <wp:docPr id="22544160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636"/>
                    <a:stretch>
                      <a:fillRect/>
                    </a:stretch>
                  </pic:blipFill>
                  <pic:spPr bwMode="auto">
                    <a:xfrm>
                      <a:off x="0" y="0"/>
                      <a:ext cx="5274310" cy="2501849"/>
                    </a:xfrm>
                    <a:prstGeom prst="rect">
                      <a:avLst/>
                    </a:prstGeom>
                    <a:noFill/>
                    <a:ln>
                      <a:noFill/>
                    </a:ln>
                    <a:extLst>
                      <a:ext uri="{53640926-AAD7-44D8-BBD7-CCE9431645EC}">
                        <a14:shadowObscured xmlns:a14="http://schemas.microsoft.com/office/drawing/2010/main"/>
                      </a:ext>
                    </a:extLst>
                  </pic:spPr>
                </pic:pic>
              </a:graphicData>
            </a:graphic>
          </wp:inline>
        </w:drawing>
      </w:r>
    </w:p>
    <w:p w14:paraId="13675D6A" w14:textId="15D0EE05" w:rsidR="000D54AE" w:rsidRDefault="000D54AE" w:rsidP="003E632A">
      <w:pPr>
        <w:spacing w:after="120" w:line="240" w:lineRule="auto"/>
        <w:jc w:val="both"/>
        <w:rPr>
          <w:rFonts w:ascii="Times New Roman" w:hAnsi="Times New Roman" w:cs="Times New Roman"/>
          <w:b/>
          <w:bCs/>
          <w:sz w:val="16"/>
          <w:szCs w:val="16"/>
        </w:rPr>
      </w:pPr>
      <w:r w:rsidRPr="000D54AE">
        <w:rPr>
          <w:rFonts w:ascii="Times New Roman" w:hAnsi="Times New Roman" w:cs="Times New Roman"/>
          <w:b/>
          <w:bCs/>
          <w:sz w:val="16"/>
          <w:szCs w:val="16"/>
        </w:rPr>
        <w:t xml:space="preserve">Figure S3. Sensitivity analyses for interaction terms between </w:t>
      </w:r>
      <w:proofErr w:type="gramStart"/>
      <w:r w:rsidRPr="000D54AE">
        <w:rPr>
          <w:rFonts w:ascii="Times New Roman" w:hAnsi="Times New Roman" w:cs="Times New Roman"/>
          <w:b/>
          <w:bCs/>
          <w:sz w:val="16"/>
          <w:szCs w:val="16"/>
        </w:rPr>
        <w:t>log(</w:t>
      </w:r>
      <w:proofErr w:type="gramEnd"/>
      <w:r w:rsidRPr="000D54AE">
        <w:rPr>
          <w:rFonts w:ascii="Times New Roman" w:hAnsi="Times New Roman" w:cs="Times New Roman"/>
          <w:b/>
          <w:bCs/>
          <w:sz w:val="16"/>
          <w:szCs w:val="16"/>
        </w:rPr>
        <w:t xml:space="preserve">TT/E2) and sex and between </w:t>
      </w:r>
      <w:proofErr w:type="gramStart"/>
      <w:r w:rsidRPr="000D54AE">
        <w:rPr>
          <w:rFonts w:ascii="Times New Roman" w:hAnsi="Times New Roman" w:cs="Times New Roman"/>
          <w:b/>
          <w:bCs/>
          <w:sz w:val="16"/>
          <w:szCs w:val="16"/>
        </w:rPr>
        <w:t>log(</w:t>
      </w:r>
      <w:proofErr w:type="gramEnd"/>
      <w:r w:rsidRPr="000D54AE">
        <w:rPr>
          <w:rFonts w:ascii="Times New Roman" w:hAnsi="Times New Roman" w:cs="Times New Roman"/>
          <w:b/>
          <w:bCs/>
          <w:sz w:val="16"/>
          <w:szCs w:val="16"/>
        </w:rPr>
        <w:t>TT/E2) and menopausal status</w:t>
      </w:r>
    </w:p>
    <w:p w14:paraId="0CADDF6F" w14:textId="56164391" w:rsidR="000D54AE" w:rsidRPr="000D54AE" w:rsidRDefault="002929EE" w:rsidP="002929EE">
      <w:pPr>
        <w:spacing w:after="120" w:line="240" w:lineRule="auto"/>
        <w:jc w:val="both"/>
        <w:rPr>
          <w:rFonts w:ascii="Times New Roman" w:hAnsi="Times New Roman" w:cs="Times New Roman" w:hint="eastAsia"/>
          <w:sz w:val="13"/>
          <w:szCs w:val="13"/>
        </w:rPr>
      </w:pPr>
      <w:r w:rsidRPr="002929EE">
        <w:rPr>
          <w:rFonts w:ascii="Times New Roman" w:hAnsi="Times New Roman" w:cs="Times New Roman"/>
          <w:sz w:val="13"/>
          <w:szCs w:val="13"/>
        </w:rPr>
        <w:t>Forest plot comparing the interaction effect estimates from the primary analysis (multiple imputation with survey weighting) and complete-case weighted models. Interaction odds ratios (ORs) represent the multiplicative interaction effects between log</w:t>
      </w:r>
      <w:r>
        <w:rPr>
          <w:rFonts w:ascii="Times New Roman" w:hAnsi="Times New Roman" w:cs="Times New Roman" w:hint="eastAsia"/>
          <w:sz w:val="13"/>
          <w:szCs w:val="13"/>
        </w:rPr>
        <w:t xml:space="preserve"> </w:t>
      </w:r>
      <w:r w:rsidRPr="002929EE">
        <w:rPr>
          <w:rFonts w:ascii="Times New Roman" w:hAnsi="Times New Roman" w:cs="Times New Roman"/>
          <w:sz w:val="13"/>
          <w:szCs w:val="13"/>
        </w:rPr>
        <w:t>(TT/E2) and sex or menopausal status. Estimates and 95% confidence intervals (CIs) are presented on a logarithmic scale. The vertical dashed line indicates OR = 1.0.</w:t>
      </w:r>
    </w:p>
    <w:sectPr w:rsidR="000D54AE" w:rsidRPr="000D54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77377" w14:textId="77777777" w:rsidR="004F7AF3" w:rsidRDefault="004F7AF3" w:rsidP="00EA1204">
      <w:pPr>
        <w:spacing w:after="0" w:line="240" w:lineRule="auto"/>
      </w:pPr>
      <w:r>
        <w:separator/>
      </w:r>
    </w:p>
  </w:endnote>
  <w:endnote w:type="continuationSeparator" w:id="0">
    <w:p w14:paraId="764522E6" w14:textId="77777777" w:rsidR="004F7AF3" w:rsidRDefault="004F7AF3" w:rsidP="00EA1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514F" w14:textId="77777777" w:rsidR="004F7AF3" w:rsidRDefault="004F7AF3" w:rsidP="00EA1204">
      <w:pPr>
        <w:spacing w:after="0" w:line="240" w:lineRule="auto"/>
      </w:pPr>
      <w:r>
        <w:separator/>
      </w:r>
    </w:p>
  </w:footnote>
  <w:footnote w:type="continuationSeparator" w:id="0">
    <w:p w14:paraId="00B3F92D" w14:textId="77777777" w:rsidR="004F7AF3" w:rsidRDefault="004F7AF3" w:rsidP="00EA12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DD"/>
    <w:rsid w:val="000275ED"/>
    <w:rsid w:val="00051168"/>
    <w:rsid w:val="00075E3E"/>
    <w:rsid w:val="0009583B"/>
    <w:rsid w:val="000D2834"/>
    <w:rsid w:val="000D54AE"/>
    <w:rsid w:val="00141480"/>
    <w:rsid w:val="00146EDE"/>
    <w:rsid w:val="001E1B84"/>
    <w:rsid w:val="0021798C"/>
    <w:rsid w:val="0027551D"/>
    <w:rsid w:val="002929EE"/>
    <w:rsid w:val="0033179F"/>
    <w:rsid w:val="003A6617"/>
    <w:rsid w:val="003E632A"/>
    <w:rsid w:val="004B287F"/>
    <w:rsid w:val="004D0DFD"/>
    <w:rsid w:val="004F7AF3"/>
    <w:rsid w:val="00513490"/>
    <w:rsid w:val="007266BD"/>
    <w:rsid w:val="00741652"/>
    <w:rsid w:val="009634D7"/>
    <w:rsid w:val="009C12E3"/>
    <w:rsid w:val="00A37E0D"/>
    <w:rsid w:val="00A83CA7"/>
    <w:rsid w:val="00B04FF9"/>
    <w:rsid w:val="00B22FBC"/>
    <w:rsid w:val="00D408CC"/>
    <w:rsid w:val="00D450AE"/>
    <w:rsid w:val="00DF1009"/>
    <w:rsid w:val="00E77385"/>
    <w:rsid w:val="00EA1204"/>
    <w:rsid w:val="00EF0BB8"/>
    <w:rsid w:val="00EF464C"/>
    <w:rsid w:val="00FA6CDD"/>
    <w:rsid w:val="00FF5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5477F"/>
  <w15:chartTrackingRefBased/>
  <w15:docId w15:val="{6E077663-A4B1-4862-8C49-CE3632A8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87F"/>
    <w:pPr>
      <w:widowControl w:val="0"/>
    </w:pPr>
  </w:style>
  <w:style w:type="paragraph" w:styleId="1">
    <w:name w:val="heading 1"/>
    <w:basedOn w:val="a"/>
    <w:next w:val="a"/>
    <w:link w:val="10"/>
    <w:uiPriority w:val="9"/>
    <w:qFormat/>
    <w:rsid w:val="00FA6C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6C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6C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6C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6C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6C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6C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6C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6C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6C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6C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6C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6CDD"/>
    <w:rPr>
      <w:rFonts w:cstheme="majorBidi"/>
      <w:color w:val="2F5496" w:themeColor="accent1" w:themeShade="BF"/>
      <w:sz w:val="28"/>
      <w:szCs w:val="28"/>
    </w:rPr>
  </w:style>
  <w:style w:type="character" w:customStyle="1" w:styleId="50">
    <w:name w:val="标题 5 字符"/>
    <w:basedOn w:val="a0"/>
    <w:link w:val="5"/>
    <w:uiPriority w:val="9"/>
    <w:semiHidden/>
    <w:rsid w:val="00FA6CDD"/>
    <w:rPr>
      <w:rFonts w:cstheme="majorBidi"/>
      <w:color w:val="2F5496" w:themeColor="accent1" w:themeShade="BF"/>
      <w:sz w:val="24"/>
    </w:rPr>
  </w:style>
  <w:style w:type="character" w:customStyle="1" w:styleId="60">
    <w:name w:val="标题 6 字符"/>
    <w:basedOn w:val="a0"/>
    <w:link w:val="6"/>
    <w:uiPriority w:val="9"/>
    <w:semiHidden/>
    <w:rsid w:val="00FA6CDD"/>
    <w:rPr>
      <w:rFonts w:cstheme="majorBidi"/>
      <w:b/>
      <w:bCs/>
      <w:color w:val="2F5496" w:themeColor="accent1" w:themeShade="BF"/>
    </w:rPr>
  </w:style>
  <w:style w:type="character" w:customStyle="1" w:styleId="70">
    <w:name w:val="标题 7 字符"/>
    <w:basedOn w:val="a0"/>
    <w:link w:val="7"/>
    <w:uiPriority w:val="9"/>
    <w:semiHidden/>
    <w:rsid w:val="00FA6CDD"/>
    <w:rPr>
      <w:rFonts w:cstheme="majorBidi"/>
      <w:b/>
      <w:bCs/>
      <w:color w:val="595959" w:themeColor="text1" w:themeTint="A6"/>
    </w:rPr>
  </w:style>
  <w:style w:type="character" w:customStyle="1" w:styleId="80">
    <w:name w:val="标题 8 字符"/>
    <w:basedOn w:val="a0"/>
    <w:link w:val="8"/>
    <w:uiPriority w:val="9"/>
    <w:semiHidden/>
    <w:rsid w:val="00FA6CDD"/>
    <w:rPr>
      <w:rFonts w:cstheme="majorBidi"/>
      <w:color w:val="595959" w:themeColor="text1" w:themeTint="A6"/>
    </w:rPr>
  </w:style>
  <w:style w:type="character" w:customStyle="1" w:styleId="90">
    <w:name w:val="标题 9 字符"/>
    <w:basedOn w:val="a0"/>
    <w:link w:val="9"/>
    <w:uiPriority w:val="9"/>
    <w:semiHidden/>
    <w:rsid w:val="00FA6CDD"/>
    <w:rPr>
      <w:rFonts w:eastAsiaTheme="majorEastAsia" w:cstheme="majorBidi"/>
      <w:color w:val="595959" w:themeColor="text1" w:themeTint="A6"/>
    </w:rPr>
  </w:style>
  <w:style w:type="paragraph" w:styleId="a3">
    <w:name w:val="Title"/>
    <w:basedOn w:val="a"/>
    <w:next w:val="a"/>
    <w:link w:val="a4"/>
    <w:uiPriority w:val="10"/>
    <w:qFormat/>
    <w:rsid w:val="00FA6C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6C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C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6C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6CDD"/>
    <w:pPr>
      <w:spacing w:before="160"/>
      <w:jc w:val="center"/>
    </w:pPr>
    <w:rPr>
      <w:i/>
      <w:iCs/>
      <w:color w:val="404040" w:themeColor="text1" w:themeTint="BF"/>
    </w:rPr>
  </w:style>
  <w:style w:type="character" w:customStyle="1" w:styleId="a8">
    <w:name w:val="引用 字符"/>
    <w:basedOn w:val="a0"/>
    <w:link w:val="a7"/>
    <w:uiPriority w:val="29"/>
    <w:rsid w:val="00FA6CDD"/>
    <w:rPr>
      <w:i/>
      <w:iCs/>
      <w:color w:val="404040" w:themeColor="text1" w:themeTint="BF"/>
    </w:rPr>
  </w:style>
  <w:style w:type="paragraph" w:styleId="a9">
    <w:name w:val="List Paragraph"/>
    <w:basedOn w:val="a"/>
    <w:uiPriority w:val="34"/>
    <w:qFormat/>
    <w:rsid w:val="00FA6CDD"/>
    <w:pPr>
      <w:ind w:left="720"/>
      <w:contextualSpacing/>
    </w:pPr>
  </w:style>
  <w:style w:type="character" w:styleId="aa">
    <w:name w:val="Intense Emphasis"/>
    <w:basedOn w:val="a0"/>
    <w:uiPriority w:val="21"/>
    <w:qFormat/>
    <w:rsid w:val="00FA6CDD"/>
    <w:rPr>
      <w:i/>
      <w:iCs/>
      <w:color w:val="2F5496" w:themeColor="accent1" w:themeShade="BF"/>
    </w:rPr>
  </w:style>
  <w:style w:type="paragraph" w:styleId="ab">
    <w:name w:val="Intense Quote"/>
    <w:basedOn w:val="a"/>
    <w:next w:val="a"/>
    <w:link w:val="ac"/>
    <w:uiPriority w:val="30"/>
    <w:qFormat/>
    <w:rsid w:val="00FA6C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6CDD"/>
    <w:rPr>
      <w:i/>
      <w:iCs/>
      <w:color w:val="2F5496" w:themeColor="accent1" w:themeShade="BF"/>
    </w:rPr>
  </w:style>
  <w:style w:type="character" w:styleId="ad">
    <w:name w:val="Intense Reference"/>
    <w:basedOn w:val="a0"/>
    <w:uiPriority w:val="32"/>
    <w:qFormat/>
    <w:rsid w:val="00FA6CDD"/>
    <w:rPr>
      <w:b/>
      <w:bCs/>
      <w:smallCaps/>
      <w:color w:val="2F5496" w:themeColor="accent1" w:themeShade="BF"/>
      <w:spacing w:val="5"/>
    </w:rPr>
  </w:style>
  <w:style w:type="paragraph" w:styleId="ae">
    <w:name w:val="header"/>
    <w:basedOn w:val="a"/>
    <w:link w:val="af"/>
    <w:uiPriority w:val="99"/>
    <w:unhideWhenUsed/>
    <w:rsid w:val="00EA1204"/>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A1204"/>
    <w:rPr>
      <w:sz w:val="18"/>
      <w:szCs w:val="18"/>
    </w:rPr>
  </w:style>
  <w:style w:type="paragraph" w:styleId="af0">
    <w:name w:val="footer"/>
    <w:basedOn w:val="a"/>
    <w:link w:val="af1"/>
    <w:uiPriority w:val="99"/>
    <w:unhideWhenUsed/>
    <w:rsid w:val="00EA1204"/>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A1204"/>
    <w:rPr>
      <w:sz w:val="18"/>
      <w:szCs w:val="18"/>
    </w:rPr>
  </w:style>
  <w:style w:type="table" w:styleId="af2">
    <w:name w:val="Table Grid"/>
    <w:basedOn w:val="a1"/>
    <w:uiPriority w:val="39"/>
    <w:rsid w:val="00075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75E3E"/>
    <w:rPr>
      <w:sz w:val="21"/>
      <w:szCs w:val="21"/>
    </w:rPr>
  </w:style>
  <w:style w:type="paragraph" w:styleId="af4">
    <w:name w:val="annotation text"/>
    <w:basedOn w:val="a"/>
    <w:link w:val="af5"/>
    <w:uiPriority w:val="99"/>
    <w:semiHidden/>
    <w:unhideWhenUsed/>
    <w:rsid w:val="00075E3E"/>
  </w:style>
  <w:style w:type="character" w:customStyle="1" w:styleId="af5">
    <w:name w:val="批注文字 字符"/>
    <w:basedOn w:val="a0"/>
    <w:link w:val="af4"/>
    <w:uiPriority w:val="99"/>
    <w:semiHidden/>
    <w:rsid w:val="00075E3E"/>
  </w:style>
  <w:style w:type="paragraph" w:styleId="af6">
    <w:name w:val="annotation subject"/>
    <w:basedOn w:val="af4"/>
    <w:next w:val="af4"/>
    <w:link w:val="af7"/>
    <w:uiPriority w:val="99"/>
    <w:semiHidden/>
    <w:unhideWhenUsed/>
    <w:rsid w:val="00075E3E"/>
    <w:rPr>
      <w:b/>
      <w:bCs/>
    </w:rPr>
  </w:style>
  <w:style w:type="character" w:customStyle="1" w:styleId="af7">
    <w:name w:val="批注主题 字符"/>
    <w:basedOn w:val="af5"/>
    <w:link w:val="af6"/>
    <w:uiPriority w:val="99"/>
    <w:semiHidden/>
    <w:rsid w:val="00075E3E"/>
    <w:rPr>
      <w:b/>
      <w:bCs/>
    </w:rPr>
  </w:style>
  <w:style w:type="paragraph" w:styleId="af8">
    <w:name w:val="Revision"/>
    <w:hidden/>
    <w:uiPriority w:val="99"/>
    <w:semiHidden/>
    <w:rsid w:val="00075E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5</Pages>
  <Words>1754</Words>
  <Characters>10458</Characters>
  <Application>Microsoft Office Word</Application>
  <DocSecurity>0</DocSecurity>
  <Lines>201</Lines>
  <Paragraphs>88</Paragraphs>
  <ScaleCrop>false</ScaleCrop>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一凡 李</dc:creator>
  <cp:keywords/>
  <dc:description/>
  <cp:lastModifiedBy>一凡 李</cp:lastModifiedBy>
  <cp:revision>11</cp:revision>
  <dcterms:created xsi:type="dcterms:W3CDTF">2026-01-05T13:03:00Z</dcterms:created>
  <dcterms:modified xsi:type="dcterms:W3CDTF">2026-03-22T16:43:00Z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e75c290e-fd7b-429b-ad58-2c6cabab6844</vt:lpwstr>
  </property>
</Properties>
</file>