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8.png" ContentType="image/png"/>
  <Override PartName="/word/media/image1.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rPr>
          <w:i/>
          <w:iCs/>
        </w:rPr>
        <w:t xml:space="preserve">Supplement</w:t>
      </w:r>
      <w:r>
        <w:t xml:space="preserve"> </w:t>
      </w:r>
      <w:r>
        <w:t xml:space="preserve">Managing the unmanageable: Understanding the competing effects of salinity and nutrient loading on estuarine water quality</w:t>
      </w:r>
    </w:p>
    <w:p>
      <w:pPr>
        <w:pStyle w:val="Author"/>
      </w:pPr>
      <w:r>
        <w:t xml:space="preserve">Marcus W Beck</w:t>
      </w:r>
      <w:r>
        <w:rPr>
          <w:vertAlign w:val="superscript"/>
        </w:rPr>
        <w:t xml:space="preserve">1,✉</w:t>
      </w:r>
      <w:r>
        <w:t xml:space="preserve"> </w:t>
      </w:r>
      <w:r>
        <w:t xml:space="preserve">(</w:t>
      </w:r>
      <w:hyperlink r:id="rId20">
        <w:r>
          <w:rPr>
            <w:rStyle w:val="Hyperlink"/>
          </w:rPr>
          <w:t xml:space="preserve">0000-0002-4996-0059</w:t>
        </w:r>
      </w:hyperlink>
      <w:r>
        <w:t xml:space="preserve">), Edward T Sherwood</w:t>
      </w:r>
      <w:r>
        <w:rPr>
          <w:vertAlign w:val="superscript"/>
        </w:rPr>
        <w:t xml:space="preserve">1</w:t>
      </w:r>
      <w:r>
        <w:t xml:space="preserve"> </w:t>
      </w:r>
      <w:r>
        <w:t xml:space="preserve">(</w:t>
      </w:r>
      <w:hyperlink r:id="rId21">
        <w:r>
          <w:rPr>
            <w:rStyle w:val="Hyperlink"/>
          </w:rPr>
          <w:t xml:space="preserve">0000-0001-5330-302X</w:t>
        </w:r>
      </w:hyperlink>
      <w:r>
        <w:t xml:space="preserve">), Rebecca R Murphy</w:t>
      </w:r>
      <w:r>
        <w:rPr>
          <w:vertAlign w:val="superscript"/>
        </w:rPr>
        <w:t xml:space="preserve">2</w:t>
      </w:r>
      <w:r>
        <w:t xml:space="preserve"> </w:t>
      </w:r>
      <w:r>
        <w:t xml:space="preserve">(</w:t>
      </w:r>
      <w:hyperlink r:id="rId22">
        <w:r>
          <w:rPr>
            <w:rStyle w:val="Hyperlink"/>
          </w:rPr>
          <w:t xml:space="preserve">0000-0003-3391-1823</w:t>
        </w:r>
      </w:hyperlink>
      <w:r>
        <w:t xml:space="preserve">), Kerry Flaherty-Walia</w:t>
      </w:r>
      <w:r>
        <w:rPr>
          <w:vertAlign w:val="superscript"/>
        </w:rPr>
        <w:t xml:space="preserve">1</w:t>
      </w:r>
      <w:r>
        <w:t xml:space="preserve"> </w:t>
      </w:r>
      <w:r>
        <w:t xml:space="preserve">(</w:t>
      </w:r>
      <w:hyperlink r:id="rId23">
        <w:r>
          <w:rPr>
            <w:rStyle w:val="Hyperlink"/>
          </w:rPr>
          <w:t xml:space="preserve">0000-0002-6032-0570</w:t>
        </w:r>
      </w:hyperlink>
      <w:r>
        <w:t xml:space="preserve">), Qian Zhang</w:t>
      </w:r>
      <w:r>
        <w:rPr>
          <w:vertAlign w:val="superscript"/>
        </w:rPr>
        <w:t xml:space="preserve">2</w:t>
      </w:r>
      <w:r>
        <w:t xml:space="preserve"> </w:t>
      </w:r>
      <w:r>
        <w:t xml:space="preserve">(</w:t>
      </w:r>
      <w:hyperlink r:id="rId24">
        <w:r>
          <w:rPr>
            <w:rStyle w:val="Hyperlink"/>
          </w:rPr>
          <w:t xml:space="preserve">0000-0003-0500-5655</w:t>
        </w:r>
      </w:hyperlink>
      <w:r>
        <w:t xml:space="preserve">), Blake A Simmons</w:t>
      </w:r>
      <w:r>
        <w:rPr>
          <w:vertAlign w:val="superscript"/>
        </w:rPr>
        <w:t xml:space="preserve">1</w:t>
      </w:r>
      <w:r>
        <w:t xml:space="preserve"> </w:t>
      </w:r>
      <w:r>
        <w:t xml:space="preserve">(</w:t>
      </w:r>
      <w:hyperlink r:id="rId25">
        <w:r>
          <w:rPr>
            <w:rStyle w:val="Hyperlink"/>
          </w:rPr>
          <w:t xml:space="preserve">0000-0002-1918-3463</w:t>
        </w:r>
      </w:hyperlink>
      <w:r>
        <w:t xml:space="preserve">), and Maya C Burke</w:t>
      </w:r>
      <w:r>
        <w:rPr>
          <w:vertAlign w:val="superscript"/>
        </w:rPr>
        <w:t xml:space="preserve">1</w:t>
      </w:r>
      <w:r>
        <w:t xml:space="preserve"> </w:t>
      </w:r>
      <w:r>
        <w:t xml:space="preserve">(</w:t>
      </w:r>
      <w:hyperlink r:id="rId26">
        <w:r>
          <w:rPr>
            <w:rStyle w:val="Hyperlink"/>
          </w:rPr>
          <w:t xml:space="preserve">0000-0002-3847-6501</w:t>
        </w:r>
      </w:hyperlink>
      <w:r>
        <w:t xml:space="preserve">)</w:t>
      </w:r>
    </w:p>
    <w:p>
      <w:pPr>
        <w:pStyle w:val="FirstParagraph"/>
      </w:pPr>
      <w:r>
        <w:rPr>
          <w:vertAlign w:val="superscript"/>
        </w:rPr>
        <w:t xml:space="preserve">1</w:t>
      </w:r>
      <w:r>
        <w:t xml:space="preserve"> </w:t>
      </w:r>
      <w:r>
        <w:t xml:space="preserve">Tampa Bay Estuary Program, 263 13th Ave S., Suite 350, St. Petersburg, Florida 33701 USA</w:t>
      </w:r>
      <w:r>
        <w:br/>
      </w:r>
      <w:r>
        <w:rPr>
          <w:vertAlign w:val="superscript"/>
        </w:rPr>
        <w:t xml:space="preserve">2</w:t>
      </w:r>
      <w:r>
        <w:t xml:space="preserve"> </w:t>
      </w:r>
      <w:r>
        <w:t xml:space="preserve">University of Maryland Center for Environmental Science/U.S. Environmental Protection Agency Chesapeake Bay Program, 1750 Forest Drive, Annapolis, Maryland 21401 USA</w:t>
      </w:r>
    </w:p>
    <w:p>
      <w:pPr>
        <w:pStyle w:val="BodyText"/>
      </w:pPr>
      <w:r>
        <w:rPr>
          <w:vertAlign w:val="superscript"/>
        </w:rPr>
        <w:t xml:space="preserve">✉</w:t>
      </w:r>
      <w:r>
        <w:t xml:space="preserve"> </w:t>
      </w:r>
      <w:r>
        <w:t xml:space="preserve">Correspondence:</w:t>
      </w:r>
      <w:r>
        <w:t xml:space="preserve"> </w:t>
      </w:r>
      <w:hyperlink r:id="rId27">
        <w:r>
          <w:rPr>
            <w:rStyle w:val="Hyperlink"/>
          </w:rPr>
          <w:t xml:space="preserve">Marcus W Beck &lt;mbeck@tbep.org&gt;</w:t>
        </w:r>
      </w:hyperlink>
    </w:p>
    <w:bookmarkStart w:id="32" w:name="figures"/>
    <w:p>
      <w:pPr>
        <w:pStyle w:val="Heading2"/>
      </w:pPr>
      <w:r>
        <w:t xml:space="preserve">Figures</w:t>
      </w:r>
    </w:p>
    <w:tbl>
      <w:tblPr>
        <w:tblStyle w:val="Table"/>
        <w:tblW w:type="pct" w:w="5000"/>
        <w:tblLayout w:type="fixed"/>
        <w:tblLook w:firstRow="0" w:lastRow="0" w:firstColumn="0" w:lastColumn="0" w:noHBand="0" w:noVBand="0" w:val="0000"/>
      </w:tblPr>
      <w:tblGrid>
        <w:gridCol w:w="7920"/>
      </w:tblGrid>
      <w:tr>
        <w:tc>
          <w:tcPr/>
          <w:bookmarkStart w:id="31" w:name="fig-suppnorm"/>
          <w:p>
            <w:pPr>
              <w:pStyle w:val="Compact"/>
              <w:jc w:val="center"/>
            </w:pPr>
            <w:r>
              <w:drawing>
                <wp:inline>
                  <wp:extent cx="5504749" cy="7339665"/>
                  <wp:effectExtent b="0" l="0" r="0" t="0"/>
                  <wp:docPr descr="" title="" id="29" name="Picture"/>
                  <a:graphic>
                    <a:graphicData uri="http://schemas.openxmlformats.org/drawingml/2006/picture">
                      <pic:pic>
                        <pic:nvPicPr>
                          <pic:cNvPr descr="figs/suppnorm.png" id="30" name="Picture"/>
                          <pic:cNvPicPr>
                            <a:picLocks noChangeArrowheads="1" noChangeAspect="1"/>
                          </pic:cNvPicPr>
                        </pic:nvPicPr>
                        <pic:blipFill>
                          <a:blip r:embed="rId28"/>
                          <a:stretch>
                            <a:fillRect/>
                          </a:stretch>
                        </pic:blipFill>
                        <pic:spPr bwMode="auto">
                          <a:xfrm>
                            <a:off x="0" y="0"/>
                            <a:ext cx="5504749" cy="7339665"/>
                          </a:xfrm>
                          <a:prstGeom prst="rect">
                            <a:avLst/>
                          </a:prstGeom>
                          <a:noFill/>
                          <a:ln w="9525">
                            <a:noFill/>
                            <a:headEnd/>
                            <a:tailEnd/>
                          </a:ln>
                        </pic:spPr>
                      </pic:pic>
                    </a:graphicData>
                  </a:graphic>
                </wp:inline>
              </w:drawing>
            </w:r>
          </w:p>
          <w:p>
            <w:pPr>
              <w:jc w:val="center"/>
            </w:pPr>
            <w:pPr>
              <w:jc w:val="left"/>
              <w:spacing w:before="200"/>
              <w:pStyle w:val="ImageCaption"/>
            </w:pPr>
            <w:r>
              <w:t xml:space="preserve">Fig. 1: Examples demonstrating the salinity normalization method (a), the salinity normalization method at mean loading (b), and the final results (c). Results are obtained by predicting chlorophyll-a concentrations from a fitted GAM across a range of salinities and estimating the average (a) or doing the same but using mean loading (b). The bottom plot (c) shows the normalized curves where the red line is the mean curve from (a), the blue dashed line is the mean curve from (b), and the points are the actual model predictions.</w:t>
            </w:r>
          </w:p>
          <w:bookmarkEnd w:id="31"/>
        </w:tc>
      </w:tr>
    </w:tbl>
    <w:p>
      <w:r>
        <w:br w:type="page"/>
      </w:r>
    </w:p>
    <w:bookmarkEnd w:id="32"/>
    <w:bookmarkStart w:id="38" w:name="tables"/>
    <w:p>
      <w:pPr>
        <w:pStyle w:val="Heading2"/>
      </w:pPr>
      <w:r>
        <w:t xml:space="preserve">Tables</w:t>
      </w:r>
    </w:p>
    <w:tbl>
      <w:tblPr>
        <w:tblStyle w:val="Table"/>
        <w:tblW w:type="pct" w:w="5000"/>
        <w:tblLayout w:type="fixed"/>
        <w:tblLook w:firstRow="0" w:lastRow="0" w:firstColumn="0" w:lastColumn="0" w:noHBand="0" w:noVBand="0" w:val="0000"/>
      </w:tblPr>
      <w:tblGrid>
        <w:gridCol w:w="7920"/>
      </w:tblGrid>
      <w:tr>
        <w:tc>
          <w:tcPr/>
          <w:bookmarkStart w:id="33" w:name="tbl-supgamtab"/>
          <w:p>
            <w:pPr>
              <w:jc w:val="center"/>
            </w:pPr>
            <w:pPr>
              <w:jc w:val="left"/>
              <w:spacing w:before="200"/>
              <w:pStyle w:val="ImageCaption"/>
            </w:pPr>
            <w:r>
              <w:t xml:space="preserve">Table 1: Generalized Additive Model (GAM) summary statistics for chlorophyll-a predictions by bay segment in Tampa Bay (n = 480 for each). Results are shown for models with different total nitrogen loading lags, whether salinity or loading were corrected for seasonality, and constraints on the number of smoothers (K) for time, loading, and salinity (flexible or fixed). Loads were evaluated as cumulative sums for the current month up to a three month lag. Results for the overall model fit are shown with the Generalized Cross-Validation (GCV) scores in the top rows and deviance explained (Dev. Expl.) in the bottom rows. OTB: Old Tampa Bay; HB: Hillsborough Bay; MTB: Middle Tampa Bay; LTB: Lower Tampa Bay.</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1091"/>
              <w:gridCol w:w="1323"/>
              <w:gridCol w:w="1341"/>
              <w:gridCol w:w="1079"/>
              <w:gridCol w:w="859"/>
              <w:gridCol w:w="1079"/>
              <w:gridCol w:w="859"/>
            </w:tblGrid>
            <w:tr>
              <w:trPr>
                <w:trHeight w:val="300"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gridSpan w:val="2"/>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 Seasonal Correction</w:t>
                  </w:r>
                </w:p>
              </w:tc>
              <w:tc>
                <w:tcPr>
                  <w:gridSpan w:val="2"/>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Seasonal Correction</w:t>
                  </w:r>
                </w:p>
              </w:tc>
            </w:tr>
            <w:tr>
              <w:trPr>
                <w:trHeight w:val="344"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Summary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Bay Segment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TN Load Lag</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Flexible 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Fixed 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Flexible 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Fixed K</w:t>
                  </w:r>
                </w:p>
              </w:tc>
            </w:tr>
            <w:tr>
              <w:trPr>
                <w:trHeight w:val="296" w:hRule="auto"/>
              </w:trPr>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GCV</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OTB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1161</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1162</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1162</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1157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1161</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HB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1356</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1356</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1352</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1357</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MTB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973</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970</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965</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960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959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959</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LTB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840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840</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837</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839</w:t>
                  </w:r>
                </w:p>
              </w:tc>
            </w:tr>
            <w:tr>
              <w:trPr>
                <w:trHeight w:val="295"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832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828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828</w:t>
                  </w:r>
                </w:p>
              </w:tc>
            </w:tr>
            <w:tr>
              <w:trPr>
                <w:trHeight w:val="344"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Dev. Expl.</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OTB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0.74</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HB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0.67</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0.70</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0.68</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MTB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r>
            <w:tr>
              <w:trPr>
                <w:trHeight w:val="296"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0.77</w:t>
                  </w:r>
                </w:p>
              </w:tc>
            </w:tr>
            <w:tr>
              <w:trPr>
                <w:trHeight w:val="296"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LTB</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0.52</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0.55</w:t>
                  </w:r>
                </w:p>
              </w:tc>
            </w:tr>
            <w:tr>
              <w:trPr>
                <w:trHeight w:val="296"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0.53</w:t>
                  </w:r>
                </w:p>
              </w:tc>
            </w:tr>
            <w:tr>
              <w:trPr>
                <w:trHeight w:val="296" w:hRule="auto"/>
              </w:trPr>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0.61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22"/>
                      <w:szCs w:val="22"/>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22"/>
                      <w:szCs w:val="22"/>
                      <w:color w:val="000000"/>
                    </w:rPr>
                    <w:t xml:space="preserve">0.57</w:t>
                  </w:r>
                </w:p>
              </w:tc>
            </w:tr>
          </w:tbl>
          <w:bookmarkEnd w:id="33"/>
        </w:tc>
      </w:tr>
    </w:tbl>
    <w:p>
      <w:r>
        <w:br w:type="page"/>
      </w:r>
    </w:p>
    <w:tbl>
      <w:tblPr>
        <w:tblStyle w:val="Table"/>
        <w:tblW w:type="pct" w:w="5000"/>
        <w:tblLayout w:type="fixed"/>
        <w:tblLook w:firstRow="0" w:lastRow="0" w:firstColumn="0" w:lastColumn="0" w:noHBand="0" w:noVBand="0" w:val="0000"/>
      </w:tblPr>
      <w:tblGrid>
        <w:gridCol w:w="7920"/>
      </w:tblGrid>
      <w:tr>
        <w:tc>
          <w:tcPr/>
          <w:bookmarkStart w:id="34" w:name="tbl-supconcurvotbtab"/>
          <w:p>
            <w:pPr>
              <w:jc w:val="center"/>
            </w:pPr>
            <w:pPr>
              <w:jc w:val="left"/>
              <w:spacing w:before="200"/>
              <w:pStyle w:val="ImageCaption"/>
            </w:pPr>
            <w:r>
              <w:t xml:space="preserve">Table 2: Concurvity estimates for the</w:t>
            </w:r>
            <w:r>
              <w:t xml:space="preserve"> </w:t>
            </w:r>
            <w:r>
              <w:rPr>
                <w:b/>
                <w:bCs/>
              </w:rPr>
              <w:t xml:space="preserve">Old Tampa Bay</w:t>
            </w:r>
            <w:r>
              <w:t xml:space="preserve"> </w:t>
            </w:r>
            <w:r>
              <w:t xml:space="preserve">Generalized Additive Models. Values range from 0 to 1 and assess the degree of multicollinearity among predictors. Results are shown for models with different total nitrogen loading lags, whether salinity or loading were corrected for seasonality, and constraints on the number of smoothers (K) for time, loading, and salinity (flexible or fixed). Loads were evaluated as cumulative sums for the current month up to a three month lag. Font size and shading are proportional among cells to emphasize differences.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720"/>
              <w:gridCol w:w="720"/>
              <w:gridCol w:w="720"/>
              <w:gridCol w:w="720"/>
              <w:gridCol w:w="720"/>
              <w:gridCol w:w="720"/>
              <w:gridCol w:w="720"/>
              <w:gridCol w:w="720"/>
              <w:gridCol w:w="720"/>
              <w:gridCol w:w="720"/>
              <w:gridCol w:w="720"/>
              <w:gridCol w:w="720"/>
              <w:gridCol w:w="720"/>
            </w:tblGrid>
            <w:tr>
              <w:trPr>
                <w:trHeight w:val="360"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Seasonal</w:t>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br/>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Correction</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TN Load Lag</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s(dec_time)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ti(sal,doy)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ti(tn_load,sal)</w:t>
                  </w:r>
                </w:p>
              </w:tc>
            </w:tr>
            <w:tr>
              <w:trPr>
                <w:trHeight w:val="360" w:hRule="auto"/>
              </w:trPr>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D1D1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D1D1D"/>
                    </w:rPr>
                    <w:t xml:space="preserve">0.87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E6E6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E6E6E"/>
                    </w:rPr>
                    <w:t xml:space="preserve">0.57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9393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93939"/>
                    </w:rPr>
                    <w:t xml:space="preserve">0.78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5252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52525"/>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9292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92929"/>
                    </w:rPr>
                    <w:t xml:space="preserve">0.83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3232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32323"/>
                    </w:rPr>
                    <w:t xml:space="preserve">0.85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2626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26262"/>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2626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26262"/>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5252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52525"/>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D1D1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D1D1D"/>
                    </w:rPr>
                    <w:t xml:space="preserve">0.87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5555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55555"/>
                    </w:rPr>
                    <w:t xml:space="preserve">0.69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9494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94949"/>
                    </w:rPr>
                    <w:t xml:space="preserve">0.72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5757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57575"/>
                    </w:rPr>
                    <w:t xml:space="preserve">0.54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6161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61616"/>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A1A1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A1A1A"/>
                    </w:rPr>
                    <w:t xml:space="preserve">0.88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6666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66666"/>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3232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32323"/>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r>
            <w:tr>
              <w:trPr>
                <w:trHeight w:val="360"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C1C1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C1C1C"/>
                    </w:rPr>
                    <w:t xml:space="preserve">0.87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2626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26262"/>
                    </w:rPr>
                    <w:t xml:space="preserve">0.63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9494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94949"/>
                    </w:rPr>
                    <w:t xml:space="preserve">0.72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0.70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5252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52525"/>
                    </w:rPr>
                    <w:t xml:space="preserve">0.84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9393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93939"/>
                    </w:rPr>
                    <w:t xml:space="preserve">0.77</w:t>
                  </w:r>
                </w:p>
              </w:tc>
            </w:tr>
            <w:tr>
              <w:trPr>
                <w:trHeight w:val="360"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Yes</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6969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69696"/>
                    </w:rPr>
                    <w:t xml:space="preserve">0.41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6767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67676"/>
                    </w:rPr>
                    <w:t xml:space="preserve">0.53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3131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31313"/>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3333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33333"/>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C7C7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C7C7C"/>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0303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03030"/>
                    </w:rPr>
                    <w:t xml:space="preserve">0.81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E6E6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E6E6E"/>
                    </w:rPr>
                    <w:t xml:space="preserve">0.57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E2E2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E2E2E"/>
                    </w:rPr>
                    <w:t xml:space="preserve">0.81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A1A1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A1A1A"/>
                    </w:rPr>
                    <w:t xml:space="preserve">0.88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6767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67676"/>
                    </w:rPr>
                    <w:t xml:space="preserve">0.53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0.60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6666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66666"/>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D8D8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D8D8D"/>
                    </w:rPr>
                    <w:t xml:space="preserve">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5757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57575"/>
                    </w:rPr>
                    <w:t xml:space="preserve">0.54</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6868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68686"/>
                    </w:rPr>
                    <w:t xml:space="preserve">0.47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7171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71717"/>
                    </w:rPr>
                    <w:t xml:space="preserve">0.89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A8A8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A8A8A"/>
                    </w:rPr>
                    <w:t xml:space="preserve">0.46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0.57</w:t>
                  </w:r>
                </w:p>
              </w:tc>
            </w:tr>
            <w:tr>
              <w:trPr>
                <w:trHeight w:val="360" w:hRule="auto"/>
              </w:trPr>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0202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02020"/>
                    </w:rPr>
                    <w:t xml:space="preserve">0.85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5858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58585"/>
                    </w:rPr>
                    <w:t xml:space="preserve">0.48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A8A8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A8A8A"/>
                    </w:rPr>
                    <w:t xml:space="preserve">0.46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6767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67676"/>
                    </w:rPr>
                    <w:t xml:space="preserve">0.53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5757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57575"/>
                    </w:rPr>
                    <w:t xml:space="preserve">0.54</w:t>
                  </w:r>
                </w:p>
              </w:tc>
            </w:tr>
          </w:tbl>
          <w:bookmarkEnd w:id="34"/>
        </w:tc>
      </w:tr>
    </w:tbl>
    <w:p>
      <w:r>
        <w:br w:type="page"/>
      </w:r>
    </w:p>
    <w:tbl>
      <w:tblPr>
        <w:tblStyle w:val="Table"/>
        <w:tblW w:type="pct" w:w="5000"/>
        <w:tblLayout w:type="fixed"/>
        <w:tblLook w:firstRow="0" w:lastRow="0" w:firstColumn="0" w:lastColumn="0" w:noHBand="0" w:noVBand="0" w:val="0000"/>
      </w:tblPr>
      <w:tblGrid>
        <w:gridCol w:w="7920"/>
      </w:tblGrid>
      <w:tr>
        <w:tc>
          <w:tcPr/>
          <w:bookmarkStart w:id="35" w:name="tbl-supconcurvhbtab"/>
          <w:p>
            <w:pPr>
              <w:jc w:val="center"/>
            </w:pPr>
            <w:pPr>
              <w:jc w:val="left"/>
              <w:spacing w:before="200"/>
              <w:pStyle w:val="ImageCaption"/>
            </w:pPr>
            <w:r>
              <w:t xml:space="preserve">Table 3: Concurvity estimates for the</w:t>
            </w:r>
            <w:r>
              <w:t xml:space="preserve"> </w:t>
            </w:r>
            <w:r>
              <w:rPr>
                <w:b/>
                <w:bCs/>
              </w:rPr>
              <w:t xml:space="preserve">Hillsborough Bay</w:t>
            </w:r>
            <w:r>
              <w:t xml:space="preserve"> </w:t>
            </w:r>
            <w:r>
              <w:t xml:space="preserve">Generalized Additive Models. Values range from 0 to 1 and assess the degree of multicollinearity among predictors. Results are shown for models with different total nitrogen loading lags, whether salinity or loading were corrected for seasonality, and constraints on the number of smoothers (K) for time, loading, and salinity (flexible or fixed). Loads were evaluated as cumulative sums for the current month up to a three month lag. Font size and shading are proportional among cells to emphasize differences.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720"/>
              <w:gridCol w:w="720"/>
              <w:gridCol w:w="720"/>
              <w:gridCol w:w="720"/>
              <w:gridCol w:w="720"/>
              <w:gridCol w:w="720"/>
              <w:gridCol w:w="720"/>
              <w:gridCol w:w="720"/>
              <w:gridCol w:w="720"/>
              <w:gridCol w:w="720"/>
              <w:gridCol w:w="720"/>
              <w:gridCol w:w="720"/>
              <w:gridCol w:w="720"/>
            </w:tblGrid>
            <w:tr>
              <w:trPr>
                <w:trHeight w:val="360"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Seasonal</w:t>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br/>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Correction</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TN Load Lag</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s(dec_time)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ti(sal,doy)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ti(tn_load,sal)</w:t>
                  </w:r>
                </w:p>
              </w:tc>
            </w:tr>
            <w:tr>
              <w:trPr>
                <w:trHeight w:val="360" w:hRule="auto"/>
              </w:trPr>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D1D1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D1D1D"/>
                    </w:rPr>
                    <w:t xml:space="preserve">0.88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D8D8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D8D8D"/>
                    </w:rPr>
                    <w:t xml:space="preserve">0.45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0.71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2222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22222"/>
                    </w:rPr>
                    <w:t xml:space="preserve">0.85</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9191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91919"/>
                    </w:rPr>
                    <w:t xml:space="preserve">0.89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6868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68686"/>
                    </w:rPr>
                    <w:t xml:space="preserve">0.48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B3B3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B3B3B"/>
                    </w:rPr>
                    <w:t xml:space="preserve">0.77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F1F1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F1F1F"/>
                    </w:rPr>
                    <w:t xml:space="preserve">0.87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C7C7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C7C7C"/>
                    </w:rPr>
                    <w:t xml:space="preserve">0.51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9393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93939"/>
                    </w:rPr>
                    <w:t xml:space="preserve">0.78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E2E2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E2E2E"/>
                    </w:rPr>
                    <w:t xml:space="preserve">0.82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3232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32323"/>
                    </w:rPr>
                    <w:t xml:space="preserve">0.85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2323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23232"/>
                    </w:rPr>
                    <w:t xml:space="preserve">0.80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9191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91919"/>
                    </w:rPr>
                    <w:t xml:space="preserve">0.89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C8C8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C8C8C"/>
                    </w:rPr>
                    <w:t xml:space="preserve">0.45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D5D5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D5D5D"/>
                    </w:rPr>
                    <w:t xml:space="preserve">0.65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3232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32323"/>
                    </w:rPr>
                    <w:t xml:space="preserve">0.85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C1C1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C1C1C"/>
                    </w:rPr>
                    <w:t xml:space="preserve">0.88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9393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93939"/>
                    </w:rPr>
                    <w:t xml:space="preserve">0.78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2222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22222"/>
                    </w:rPr>
                    <w:t xml:space="preserve">0.86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C1C1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C1C1C"/>
                    </w:rPr>
                    <w:t xml:space="preserve">0.88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0202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02020"/>
                    </w:rPr>
                    <w:t xml:space="preserve">0.86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0.93</w:t>
                  </w:r>
                </w:p>
              </w:tc>
            </w:tr>
            <w:tr>
              <w:trPr>
                <w:trHeight w:val="360"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0.60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3333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33333"/>
                    </w:rPr>
                    <w:t xml:space="preserve">0.80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3232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32323"/>
                    </w:rPr>
                    <w:t xml:space="preserve">0.85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0.91</w:t>
                  </w:r>
                </w:p>
              </w:tc>
            </w:tr>
            <w:tr>
              <w:trPr>
                <w:trHeight w:val="360"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Yes</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0.52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6969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69696"/>
                    </w:rPr>
                    <w:t xml:space="preserve">0.41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9494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94949"/>
                    </w:rPr>
                    <w:t xml:space="preserve">0.73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0808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08080"/>
                    </w:rPr>
                    <w:t xml:space="preserve">0.50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5757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57575"/>
                    </w:rPr>
                    <w:t xml:space="preserve">0.55</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3131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31313"/>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F7F7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F7F7F"/>
                    </w:rPr>
                    <w:t xml:space="preserve">0.50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0909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09090"/>
                    </w:rPr>
                    <w:t xml:space="preserve">0.44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0808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08080"/>
                    </w:rPr>
                    <w:t xml:space="preserve">0.50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0808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08080"/>
                    </w:rPr>
                    <w:t xml:space="preserve">0.50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0808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08080"/>
                    </w:rPr>
                    <w:t xml:space="preserve">0.50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D3D3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D3D3D"/>
                    </w:rPr>
                    <w:t xml:space="preserve">0.77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0.70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0.72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0.72</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0.52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0.43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5858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58585"/>
                    </w:rPr>
                    <w:t xml:space="preserve">0.48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F7F7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F7F7F"/>
                    </w:rPr>
                    <w:t xml:space="preserve">0.50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0.71</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0.70</w:t>
                  </w:r>
                </w:p>
              </w:tc>
            </w:tr>
            <w:tr>
              <w:trPr>
                <w:trHeight w:val="360" w:hRule="auto"/>
              </w:trPr>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F7F7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F7F7F"/>
                    </w:rPr>
                    <w:t xml:space="preserve">0.50</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F7F7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F7F7F"/>
                    </w:rPr>
                    <w:t xml:space="preserve">0.51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0.61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0.70</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9494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94949"/>
                    </w:rPr>
                    <w:t xml:space="preserve">0.72</w:t>
                  </w:r>
                </w:p>
              </w:tc>
            </w:tr>
          </w:tbl>
          <w:bookmarkEnd w:id="35"/>
        </w:tc>
      </w:tr>
    </w:tbl>
    <w:p>
      <w:r>
        <w:br w:type="page"/>
      </w:r>
    </w:p>
    <w:tbl>
      <w:tblPr>
        <w:tblStyle w:val="Table"/>
        <w:tblW w:type="pct" w:w="5000"/>
        <w:tblLayout w:type="fixed"/>
        <w:tblLook w:firstRow="0" w:lastRow="0" w:firstColumn="0" w:lastColumn="0" w:noHBand="0" w:noVBand="0" w:val="0000"/>
      </w:tblPr>
      <w:tblGrid>
        <w:gridCol w:w="7920"/>
      </w:tblGrid>
      <w:tr>
        <w:tc>
          <w:tcPr/>
          <w:bookmarkStart w:id="36" w:name="tbl-supconcurvmtbtab"/>
          <w:p>
            <w:pPr>
              <w:jc w:val="center"/>
            </w:pPr>
            <w:pPr>
              <w:jc w:val="left"/>
              <w:spacing w:before="200"/>
              <w:pStyle w:val="ImageCaption"/>
            </w:pPr>
            <w:r>
              <w:t xml:space="preserve">Table 4: Concurvity estimates for the</w:t>
            </w:r>
            <w:r>
              <w:t xml:space="preserve"> </w:t>
            </w:r>
            <w:r>
              <w:rPr>
                <w:b/>
                <w:bCs/>
              </w:rPr>
              <w:t xml:space="preserve">Middle Tampa Bay</w:t>
            </w:r>
            <w:r>
              <w:t xml:space="preserve"> </w:t>
            </w:r>
            <w:r>
              <w:t xml:space="preserve">Generalized Additive Models. Values range from 0 to 1 and assess the degree of multicollinearity among predictors. Results are shown for models with different total nitrogen loading lags, whether salinity or loading were corrected for seasonality, and constraints on the number of smoothers (K) for time, loading, and salinity (flexible or fixed). Loads were evaluated as cumulative sums for the current month up to a three month lag. Font size and shading are proportional among cells to emphasize differences.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720"/>
              <w:gridCol w:w="720"/>
              <w:gridCol w:w="720"/>
              <w:gridCol w:w="720"/>
              <w:gridCol w:w="720"/>
              <w:gridCol w:w="720"/>
              <w:gridCol w:w="720"/>
              <w:gridCol w:w="720"/>
              <w:gridCol w:w="720"/>
              <w:gridCol w:w="720"/>
              <w:gridCol w:w="720"/>
              <w:gridCol w:w="720"/>
              <w:gridCol w:w="720"/>
            </w:tblGrid>
            <w:tr>
              <w:trPr>
                <w:trHeight w:val="360"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Seasonal</w:t>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br/>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Correction</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TN Load Lag</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s(dec_time)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ti(sal,doy)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ti(tn_load,sal)</w:t>
                  </w:r>
                </w:p>
              </w:tc>
            </w:tr>
            <w:tr>
              <w:trPr>
                <w:trHeight w:val="360" w:hRule="auto"/>
              </w:trPr>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6666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66666"/>
                    </w:rPr>
                    <w:t xml:space="preserve">0.60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A2A2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A2A2A"/>
                    </w:rPr>
                    <w:t xml:space="preserve">0.82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0.75</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3131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31313"/>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2222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22222"/>
                    </w:rPr>
                    <w:t xml:space="preserve">0.85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2323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23232"/>
                    </w:rPr>
                    <w:t xml:space="preserve">0.80</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C1C1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C1C1C"/>
                    </w:rPr>
                    <w:t xml:space="preserve">0.87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B3B3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B3B3B"/>
                    </w:rPr>
                    <w:t xml:space="preserve">0.76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F1F1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F1F1F"/>
                    </w:rPr>
                    <w:t xml:space="preserve">0.86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D3D3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D3D3D"/>
                    </w:rPr>
                    <w:t xml:space="preserve">0.76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0.69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D5D5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D5D5D"/>
                    </w:rPr>
                    <w:t xml:space="preserve">0.64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D3D3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D3D3D"/>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F1F1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F1F1F"/>
                    </w:rPr>
                    <w:t xml:space="preserve">0.86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E2E2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E2E2E"/>
                    </w:rPr>
                    <w:t xml:space="preserve">0.81</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7272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72727"/>
                    </w:rPr>
                    <w:t xml:space="preserve">0.83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B3B3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B3B3B"/>
                    </w:rPr>
                    <w:t xml:space="preserve">0.76</w:t>
                  </w:r>
                </w:p>
              </w:tc>
            </w:tr>
            <w:tr>
              <w:trPr>
                <w:trHeight w:val="360"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6161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61616"/>
                    </w:rPr>
                    <w:t xml:space="preserve">0.90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0.71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0.71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5555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55555"/>
                    </w:rPr>
                    <w:t xml:space="preserve">0.68</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0303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03030"/>
                    </w:rPr>
                    <w:t xml:space="preserve">0.80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D3D3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D3D3D"/>
                    </w:rPr>
                    <w:t xml:space="preserve">0.76</w:t>
                  </w:r>
                </w:p>
              </w:tc>
            </w:tr>
            <w:tr>
              <w:trPr>
                <w:trHeight w:val="360"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Yes</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6969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69696"/>
                    </w:rPr>
                    <w:t xml:space="preserve">0.39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B3B3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B3B3B"/>
                    </w:rPr>
                    <w:t xml:space="preserve">0.76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F7F7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F7F7F"/>
                    </w:rPr>
                    <w:t xml:space="preserve">0.49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0.55</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4949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49494"/>
                    </w:rPr>
                    <w:t xml:space="preserve">0.40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B3B3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B3B3B"/>
                    </w:rPr>
                    <w:t xml:space="preserve">0.77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D6D6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D6D6D"/>
                    </w:rPr>
                    <w:t xml:space="preserve">0.57</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8787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87878"/>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0909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09090"/>
                    </w:rPr>
                    <w:t xml:space="preserve">0.42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6767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67676"/>
                    </w:rPr>
                    <w:t xml:space="preserve">0.53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D5D5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D5D5D"/>
                    </w:rPr>
                    <w:t xml:space="preserve">0.64</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5252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52525"/>
                    </w:rPr>
                    <w:t xml:space="preserve">0.84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7070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70707"/>
                    </w:rPr>
                    <w:t xml:space="preserve">0.96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D8D8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D8D8D"/>
                    </w:rPr>
                    <w:t xml:space="preserve">0.43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2323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23232"/>
                    </w:rPr>
                    <w:t xml:space="preserve">0.79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0707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07070"/>
                    </w:rPr>
                    <w:t xml:space="preserve">0.56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D8D8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D8D8D"/>
                    </w:rPr>
                    <w:t xml:space="preserve">0.43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0.50</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6767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67676"/>
                    </w:rPr>
                    <w:t xml:space="preserve">0.53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4646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46464"/>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8787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87878"/>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A6A6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A6A6A"/>
                    </w:rPr>
                    <w:t xml:space="preserve">0.58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A8A8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A8A8A"/>
                    </w:rPr>
                    <w:t xml:space="preserve">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8787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87878"/>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5656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56565"/>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0.59</w:t>
                  </w:r>
                </w:p>
              </w:tc>
            </w:tr>
            <w:tr>
              <w:trPr>
                <w:trHeight w:val="360" w:hRule="auto"/>
              </w:trPr>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A1A1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A1A1A"/>
                    </w:rPr>
                    <w:t xml:space="preserve">0.88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6868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68686"/>
                    </w:rPr>
                    <w:t xml:space="preserve">0.46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1616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16161"/>
                    </w:rPr>
                    <w:t xml:space="preserve">0.62</w:t>
                  </w:r>
                </w:p>
              </w:tc>
            </w:tr>
          </w:tbl>
          <w:bookmarkEnd w:id="36"/>
        </w:tc>
      </w:tr>
    </w:tbl>
    <w:p>
      <w:r>
        <w:br w:type="page"/>
      </w:r>
    </w:p>
    <w:tbl>
      <w:tblPr>
        <w:tblStyle w:val="Table"/>
        <w:tblW w:type="pct" w:w="5000"/>
        <w:tblLayout w:type="fixed"/>
        <w:tblLook w:firstRow="0" w:lastRow="0" w:firstColumn="0" w:lastColumn="0" w:noHBand="0" w:noVBand="0" w:val="0000"/>
      </w:tblPr>
      <w:tblGrid>
        <w:gridCol w:w="7920"/>
      </w:tblGrid>
      <w:tr>
        <w:tc>
          <w:tcPr/>
          <w:bookmarkStart w:id="37" w:name="tbl-supconcurvltbtab"/>
          <w:p>
            <w:pPr>
              <w:jc w:val="center"/>
            </w:pPr>
            <w:pPr>
              <w:jc w:val="left"/>
              <w:spacing w:before="200"/>
              <w:pStyle w:val="ImageCaption"/>
            </w:pPr>
            <w:r>
              <w:t xml:space="preserve">Table 5: Concurvity estimates for the</w:t>
            </w:r>
            <w:r>
              <w:t xml:space="preserve"> </w:t>
            </w:r>
            <w:r>
              <w:rPr>
                <w:b/>
                <w:bCs/>
              </w:rPr>
              <w:t xml:space="preserve">Lower Tampa Bay</w:t>
            </w:r>
            <w:r>
              <w:t xml:space="preserve"> </w:t>
            </w:r>
            <w:r>
              <w:t xml:space="preserve">Generalized Additive Models. Values range from 0 to 1 and assess the degree of multicollinearity among predictors. Results are shown for models with different total nitrogen loading lags, whether salinity or loading were corrected for seasonality, and constraints on the number of smoothers (K) for time, loading, and salinity (flexible or fixed). Loads were evaluated as cumulative sums for the current month up to a three month lag. Font size and shading are proportional among cells to emphasize differences.</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720"/>
              <w:gridCol w:w="720"/>
              <w:gridCol w:w="720"/>
              <w:gridCol w:w="720"/>
              <w:gridCol w:w="720"/>
              <w:gridCol w:w="720"/>
              <w:gridCol w:w="720"/>
              <w:gridCol w:w="720"/>
              <w:gridCol w:w="720"/>
              <w:gridCol w:w="720"/>
              <w:gridCol w:w="720"/>
              <w:gridCol w:w="720"/>
              <w:gridCol w:w="720"/>
            </w:tblGrid>
            <w:tr>
              <w:trPr>
                <w:trHeight w:val="360" w:hRule="auto"/>
                <w:tblHeader/>
              </w:trPr>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Seasonal</w:t>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br/>
                  </w: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Correction</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K</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TN Load Lag</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s(dec_time)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s(tn_load)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ti(dec_time,sal)</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ti(sal,doy)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ti(dec_time,tn_load)</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ti(tn_load,doy)</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ti(tn_load,sal)</w:t>
                  </w:r>
                </w:p>
              </w:tc>
            </w:tr>
            <w:tr>
              <w:trPr>
                <w:trHeight w:val="360" w:hRule="auto"/>
              </w:trPr>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2727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27272"/>
                    </w:rPr>
                    <w:t xml:space="preserve">0.53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0.69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2222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22222"/>
                    </w:rPr>
                    <w:t xml:space="preserve">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0303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03030"/>
                    </w:rPr>
                    <w:t xml:space="preserve">0.79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0.67</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C2C2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C2C2C"/>
                    </w:rPr>
                    <w:t xml:space="preserve">0.80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D3D3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D3D3D"/>
                    </w:rPr>
                    <w:t xml:space="preserve">0.74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9393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93939"/>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5555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55555"/>
                    </w:rPr>
                    <w:t xml:space="preserve">0.66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0101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01010"/>
                    </w:rPr>
                    <w:t xml:space="preserve">0.91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3333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33333"/>
                    </w:rPr>
                    <w:t xml:space="preserve">0.77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0.68</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1717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17171"/>
                    </w:rPr>
                    <w:t xml:space="preserve">0.53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0303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03030"/>
                    </w:rPr>
                    <w:t xml:space="preserve">0.79</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0.70</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E0E0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E0E0E"/>
                    </w:rPr>
                    <w:t xml:space="preserve">0.91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D0D0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D0D0D"/>
                    </w:rPr>
                    <w:t xml:space="preserve">0.92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C2C2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C2C2C"/>
                    </w:rPr>
                    <w:t xml:space="preserve">0.80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0.69</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F1F1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F1F1F"/>
                    </w:rPr>
                    <w:t xml:space="preserve">0.85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B4B4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B4B4B"/>
                    </w:rPr>
                    <w:t xml:space="preserve">0.70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7373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73737"/>
                    </w:rPr>
                    <w:t xml:space="preserve">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0.66</w:t>
                  </w:r>
                </w:p>
              </w:tc>
            </w:tr>
            <w:tr>
              <w:trPr>
                <w:trHeight w:val="360" w:hRule="auto"/>
              </w:trPr>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25252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252525"/>
                    </w:rPr>
                    <w:t xml:space="preserve">0.82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3131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31313"/>
                    </w:rPr>
                    <w:t xml:space="preserve">0.90</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D5D5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D5D5D"/>
                    </w:rPr>
                    <w:t xml:space="preserve">0.62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8484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84848"/>
                    </w:rPr>
                    <w:t xml:space="preserve">0.71</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35353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353535"/>
                    </w:rPr>
                    <w:t xml:space="preserve">0.77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9494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94949"/>
                    </w:rPr>
                    <w:t xml:space="preserve">0.70</w:t>
                  </w:r>
                </w:p>
              </w:tc>
            </w:tr>
            <w:tr>
              <w:trPr>
                <w:trHeight w:val="360" w:hRule="auto"/>
              </w:trPr>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Yes</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Flexible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B0B0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B0B0B"/>
                    </w:rPr>
                    <w:t xml:space="preserve">0.93</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0.57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6969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69696"/>
                    </w:rPr>
                    <w:t xml:space="preserve">0.37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0.72</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2828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28282"/>
                    </w:rPr>
                    <w:t xml:space="preserve">0.46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8686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86868"/>
                    </w:rPr>
                    <w:t xml:space="preserve">0.57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9696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96969"/>
                    </w:rPr>
                    <w:t xml:space="preserve">0.57</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3131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31313"/>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1919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19191"/>
                    </w:rPr>
                    <w:t xml:space="preserve">0.39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0404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04040"/>
                    </w:rPr>
                    <w:t xml:space="preserve">0.73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C7C7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C7C7C"/>
                    </w:rPr>
                    <w:t xml:space="preserve">0.48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E5E5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E5E5E"/>
                    </w:rPr>
                    <w:t xml:space="preserve">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0.61</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11111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111111"/>
                    </w:rPr>
                    <w:t xml:space="preserve">0.90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9797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97979"/>
                    </w:rPr>
                    <w:t xml:space="preserve">0.49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90909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909090"/>
                    </w:rPr>
                    <w:t xml:space="preserve">0.39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2424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24242"/>
                    </w:rPr>
                    <w:t xml:space="preserve">0.73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38383"/>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38383"/>
                    </w:rPr>
                    <w:t xml:space="preserve">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A0A0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A0A0A"/>
                    </w:rPr>
                    <w:t xml:space="preserve">0.93</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0.47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4141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41414"/>
                    </w:rPr>
                    <w:t xml:space="preserve">0.89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A8A8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A8A8A"/>
                    </w:rPr>
                    <w:t xml:space="preserve">0.42</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3E3E3E"/>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3E3E3E"/>
                    </w:rPr>
                    <w:t xml:space="preserve">0.74</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0808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08080"/>
                    </w:rPr>
                    <w:t xml:space="preserve">0.46</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1515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15151"/>
                    </w:rPr>
                    <w:t xml:space="preserve">0.67</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0.69</w:t>
                  </w:r>
                </w:p>
              </w:tc>
              <w:tc>
                <w:tcPr>
                  <w:tcBorders>
                    <w:bottom w:val="single" w:sz="8"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8585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85858"/>
                    </w:rPr>
                    <w:t xml:space="preserve">0.65</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Fixed</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None</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00000"/>
                    </w:rPr>
                    <w:t xml:space="preserve">0.98</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6C6C6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6C6C6C"/>
                    </w:rPr>
                    <w:t xml:space="preserve">0.55</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80808"/>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80808"/>
                    </w:rPr>
                    <w:t xml:space="preserve">0.94</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0.96</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D8D8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D8D8D"/>
                    </w:rPr>
                    <w:t xml:space="preserve">0.41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60606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606060"/>
                    </w:rPr>
                    <w:t xml:space="preserve">0.61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0.47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0.67</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6464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64646"/>
                    </w:rPr>
                    <w:t xml:space="preserve">0.71</w:t>
                  </w:r>
                </w:p>
              </w:tc>
              <w:tc>
                <w:tcPr>
                  <w:tcBorders>
                    <w:bottom w:val="none" w:sz="0" w:space="0" w:color="000000"/>
                    <w:top w:val="single" w:sz="8"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0.63</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2020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20202"/>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4747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47474"/>
                    </w:rPr>
                    <w:t xml:space="preserve">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4040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40404"/>
                    </w:rPr>
                    <w:t xml:space="preserve">0.96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A5A5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A5A5A"/>
                    </w:rPr>
                    <w:t xml:space="preserve">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D4D4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D4D4D"/>
                    </w:rPr>
                    <w:t xml:space="preserve">0.69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0.66</w:t>
                  </w:r>
                </w:p>
              </w:tc>
            </w:tr>
            <w:tr>
              <w:trPr>
                <w:trHeight w:val="360" w:hRule="auto"/>
              </w:trPr>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A1A1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A1A1A"/>
                    </w:rPr>
                    <w:t xml:space="preserve">0.87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9898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98989"/>
                    </w:rPr>
                    <w:t xml:space="preserve">0.42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4545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45454"/>
                    </w:rPr>
                    <w:t xml:space="preserve">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82828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828282"/>
                    </w:rPr>
                    <w:t xml:space="preserve">0.46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95959"/>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95959"/>
                    </w:rPr>
                    <w:t xml:space="preserve">0.64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44444"/>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44444"/>
                    </w:rPr>
                    <w:t xml:space="preserve">0.72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C5C5C"/>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C5C5C"/>
                    </w:rPr>
                    <w:t xml:space="preserve">0.63</w:t>
                  </w:r>
                </w:p>
              </w:tc>
            </w:tr>
            <w:tr>
              <w:trPr>
                <w:trHeight w:val="360" w:hRule="auto"/>
              </w:trPr>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left"/>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false"/>
                      <w:u w:val="none"/>
                      <w:strike w:val="false"/>
                      <w:sz w:val="18"/>
                      <w:szCs w:val="18"/>
                      <w:color w:val="000000"/>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false"/>
                      <w:u w:val="none"/>
                      <w:strike w:val="false"/>
                      <w:sz w:val="18"/>
                      <w:szCs w:val="18"/>
                      <w:color w:val="000000"/>
                    </w:rPr>
                    <w:t xml:space="preserve">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50505"/>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50505"/>
                    </w:rPr>
                    <w:t xml:space="preserve">0.95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B7B7B"/>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B7B7B"/>
                    </w:rPr>
                    <w:t xml:space="preserve">0.49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7"/>
                      <w:szCs w:val="17"/>
                      <w:color w:val="1A1A1A"/>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7"/>
                      <w:szCs w:val="17"/>
                      <w:color w:val="1A1A1A"/>
                    </w:rPr>
                    <w:t xml:space="preserve">0.87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8"/>
                      <w:szCs w:val="18"/>
                      <w:color w:val="010101"/>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8"/>
                      <w:szCs w:val="18"/>
                      <w:color w:val="010101"/>
                    </w:rPr>
                    <w:t xml:space="preserve">0.97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4"/>
                      <w:szCs w:val="14"/>
                      <w:color w:val="878787"/>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4"/>
                      <w:szCs w:val="14"/>
                      <w:color w:val="878787"/>
                    </w:rPr>
                    <w:t xml:space="preserve">0.43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25252"/>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25252"/>
                    </w:rPr>
                    <w:t xml:space="preserve">0.67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5"/>
                      <w:szCs w:val="15"/>
                      <w:color w:val="7D7D7D"/>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5"/>
                      <w:szCs w:val="15"/>
                      <w:color w:val="7D7D7D"/>
                    </w:rPr>
                    <w:t xml:space="preserve">0.47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4F4F4F"/>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4F4F4F"/>
                    </w:rPr>
                    <w:t xml:space="preserve">0.68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jc w:val="center"/>
                    <w:pBdr>
                      <w:bottom w:val="none" w:sz="0" w:space="0" w:color="000000"/>
                      <w:top w:val="none" w:sz="0" w:space="0" w:color="000000"/>
                      <w:left w:val="none" w:sz="0" w:space="0" w:color="000000"/>
                      <w:right w:val="none" w:sz="0" w:space="0" w:color="000000"/>
                    </w:pBdr>
                    <w:spacing w:after="0" w:before="0" w:line="240"/>
                    <w:ind w:left="0" w:right="0" w:firstLine="0" w:firstLineChars="0"/>
                    <w:rPr>
                      <w:rFonts w:ascii="Times New Roman" w:hAnsi="Times New Roman" w:eastAsia="Times New Roman" w:cs="Times New Roman"/>
                      <w:i w:val="false"/>
                      <w:b w:val="true"/>
                      <w:u w:val="none"/>
                      <w:strike w:val="false"/>
                      <w:sz w:val="16"/>
                      <w:szCs w:val="16"/>
                      <w:color w:val="565656"/>
                    </w:rPr>
                  </w:pPr>
                  <w:r xmlns:w="http://schemas.openxmlformats.org/wordprocessingml/2006/main" xmlns:wp="http://schemas.openxmlformats.org/drawingml/2006/wordprocessingDrawing" xmlns:r="http://schemas.openxmlformats.org/officeDocument/2006/relationships" xmlns:w14="http://schemas.microsoft.com/office/word/2010/wordml">
                    <w:rPr>
                      <w:rFonts w:ascii="Times New Roman" w:hAnsi="Times New Roman" w:eastAsia="Times New Roman" w:cs="Times New Roman"/>
                      <w:i w:val="false"/>
                      <w:b w:val="true"/>
                      <w:u w:val="none"/>
                      <w:strike w:val="false"/>
                      <w:sz w:val="16"/>
                      <w:szCs w:val="16"/>
                      <w:color w:val="565656"/>
                    </w:rPr>
                    <w:t xml:space="preserve">0.65</w:t>
                  </w:r>
                </w:p>
              </w:tc>
            </w:tr>
          </w:tbl>
          <w:bookmarkEnd w:id="37"/>
        </w:tc>
      </w:tr>
    </w:tbl>
    <w:bookmarkEnd w:id="38"/>
    <w:sectPr w:rsidR="00452488" w:rsidRPr="00452488" w:rsidSect="003C73CD">
      <w:footerReference r:id="rId9" w:type="default"/>
      <w:pgSz w:h="15840" w:w="12240"/>
      <w:pgMar w:bottom="1440" w:footer="720" w:gutter="0" w:header="720" w:left="1440" w:right="1440" w:top="1440"/>
      <w:lnNumType w:countBy="1" w:restart="continuous"/>
      <w:cols w:space="720"/>
      <w:docGrid w:linePitch="3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8962650"/>
      <w:docPartObj>
        <w:docPartGallery w:val="Page Numbers (Bottom of Page)"/>
        <w:docPartUnique/>
      </w:docPartObj>
    </w:sdtPr>
    <w:sdtEndPr>
      <w:rPr>
        <w:noProof/>
      </w:rPr>
    </w:sdtEndPr>
    <w:sdtContent>
      <w:p w14:paraId="741E02C2" w14:textId="09757D57" w:rsidR="003C73CD" w:rsidRDefault="003C73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0D778D" w14:textId="77777777" w:rsidR="003C73CD" w:rsidRDefault="003C73CD">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A6F42C1D"/>
    <w:multiLevelType w:val="multilevel"/>
    <w:tmpl w:val="45FC37EC"/>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decimal"/>
      <w:lvlText w:val=""/>
      <w:lvlJc w:val="left"/>
    </w:lvl>
    <w:lvl w:ilvl="8">
      <w:numFmt w:val="decimal"/>
      <w:lvlText w:val=""/>
      <w:lvlJc w:val="left"/>
    </w:lvl>
  </w:abstractNum>
  <w:abstractNum w15:restartNumberingAfterBreak="0" w:abstractNumId="1">
    <w:nsid w:val="E17F69BA"/>
    <w:multiLevelType w:val="multilevel"/>
    <w:tmpl w:val="0BBEBA28"/>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decimal"/>
      <w:lvlText w:val=""/>
      <w:lvlJc w:val="left"/>
    </w:lvl>
    <w:lvl w:ilvl="8">
      <w:numFmt w:val="decimal"/>
      <w:lvlText w:val=""/>
      <w:lvlJc w:val="left"/>
    </w:lvl>
  </w:abstractNum>
  <w:abstractNum w15:restartNumberingAfterBreak="0" w:abstractNumId="2">
    <w:nsid w:val="FFFFFF7C"/>
    <w:multiLevelType w:val="singleLevel"/>
    <w:tmpl w:val="3ACC0CC6"/>
    <w:lvl w:ilvl="0">
      <w:start w:val="1"/>
      <w:numFmt w:val="decimal"/>
      <w:lvlText w:val="%1."/>
      <w:lvlJc w:val="left"/>
      <w:pPr>
        <w:tabs>
          <w:tab w:pos="1800" w:val="num"/>
        </w:tabs>
        <w:ind w:hanging="360" w:left="1800"/>
      </w:pPr>
    </w:lvl>
  </w:abstractNum>
  <w:abstractNum w15:restartNumberingAfterBreak="0" w:abstractNumId="3">
    <w:nsid w:val="FFFFFF7D"/>
    <w:multiLevelType w:val="singleLevel"/>
    <w:tmpl w:val="5C746208"/>
    <w:lvl w:ilvl="0">
      <w:start w:val="1"/>
      <w:numFmt w:val="decimal"/>
      <w:lvlText w:val="%1."/>
      <w:lvlJc w:val="left"/>
      <w:pPr>
        <w:tabs>
          <w:tab w:pos="1440" w:val="num"/>
        </w:tabs>
        <w:ind w:hanging="360" w:left="1440"/>
      </w:pPr>
    </w:lvl>
  </w:abstractNum>
  <w:abstractNum w15:restartNumberingAfterBreak="0" w:abstractNumId="4">
    <w:nsid w:val="FFFFFF7E"/>
    <w:multiLevelType w:val="singleLevel"/>
    <w:tmpl w:val="4C9A394A"/>
    <w:lvl w:ilvl="0">
      <w:start w:val="1"/>
      <w:numFmt w:val="decimal"/>
      <w:lvlText w:val="%1."/>
      <w:lvlJc w:val="left"/>
      <w:pPr>
        <w:tabs>
          <w:tab w:pos="1080" w:val="num"/>
        </w:tabs>
        <w:ind w:hanging="360" w:left="1080"/>
      </w:pPr>
    </w:lvl>
  </w:abstractNum>
  <w:abstractNum w15:restartNumberingAfterBreak="0" w:abstractNumId="5">
    <w:nsid w:val="FFFFFF7F"/>
    <w:multiLevelType w:val="singleLevel"/>
    <w:tmpl w:val="2C728B4C"/>
    <w:lvl w:ilvl="0">
      <w:start w:val="1"/>
      <w:numFmt w:val="decimal"/>
      <w:lvlText w:val="%1."/>
      <w:lvlJc w:val="left"/>
      <w:pPr>
        <w:tabs>
          <w:tab w:pos="720" w:val="num"/>
        </w:tabs>
        <w:ind w:hanging="360" w:left="720"/>
      </w:pPr>
    </w:lvl>
  </w:abstractNum>
  <w:abstractNum w15:restartNumberingAfterBreak="0" w:abstractNumId="6">
    <w:nsid w:val="FFFFFF80"/>
    <w:multiLevelType w:val="singleLevel"/>
    <w:tmpl w:val="E646BB8C"/>
    <w:lvl w:ilvl="0">
      <w:start w:val="1"/>
      <w:numFmt w:val="bullet"/>
      <w:pStyle w:val="ListBullet5"/>
      <w:lvlText w:val=""/>
      <w:lvlJc w:val="left"/>
      <w:pPr>
        <w:tabs>
          <w:tab w:pos="1800" w:val="num"/>
        </w:tabs>
        <w:ind w:hanging="360" w:left="1800"/>
      </w:pPr>
      <w:rPr>
        <w:rFonts w:ascii="Symbol" w:hAnsi="Symbol" w:hint="default"/>
      </w:rPr>
    </w:lvl>
  </w:abstractNum>
  <w:abstractNum w15:restartNumberingAfterBreak="0" w:abstractNumId="7">
    <w:nsid w:val="FFFFFF81"/>
    <w:multiLevelType w:val="singleLevel"/>
    <w:tmpl w:val="BBB8F250"/>
    <w:lvl w:ilvl="0">
      <w:start w:val="1"/>
      <w:numFmt w:val="bullet"/>
      <w:pStyle w:val="ListBullet4"/>
      <w:lvlText w:val=""/>
      <w:lvlJc w:val="left"/>
      <w:pPr>
        <w:tabs>
          <w:tab w:pos="1440" w:val="num"/>
        </w:tabs>
        <w:ind w:hanging="360" w:left="1440"/>
      </w:pPr>
      <w:rPr>
        <w:rFonts w:ascii="Symbol" w:hAnsi="Symbol" w:hint="default"/>
      </w:rPr>
    </w:lvl>
  </w:abstractNum>
  <w:abstractNum w15:restartNumberingAfterBreak="0" w:abstractNumId="8">
    <w:nsid w:val="FFFFFF82"/>
    <w:multiLevelType w:val="singleLevel"/>
    <w:tmpl w:val="A8D46850"/>
    <w:lvl w:ilvl="0">
      <w:start w:val="1"/>
      <w:numFmt w:val="bullet"/>
      <w:pStyle w:val="ListBullet3"/>
      <w:lvlText w:val=""/>
      <w:lvlJc w:val="left"/>
      <w:pPr>
        <w:tabs>
          <w:tab w:pos="1080" w:val="num"/>
        </w:tabs>
        <w:ind w:hanging="360" w:left="1080"/>
      </w:pPr>
      <w:rPr>
        <w:rFonts w:ascii="Symbol" w:hAnsi="Symbol" w:hint="default"/>
      </w:rPr>
    </w:lvl>
  </w:abstractNum>
  <w:abstractNum w15:restartNumberingAfterBreak="0" w:abstractNumId="9">
    <w:nsid w:val="FFFFFF83"/>
    <w:multiLevelType w:val="singleLevel"/>
    <w:tmpl w:val="F23C9B0A"/>
    <w:lvl w:ilvl="0">
      <w:start w:val="1"/>
      <w:numFmt w:val="bullet"/>
      <w:pStyle w:val="ListBullet2"/>
      <w:lvlText w:val=""/>
      <w:lvlJc w:val="left"/>
      <w:pPr>
        <w:tabs>
          <w:tab w:pos="720" w:val="num"/>
        </w:tabs>
        <w:ind w:hanging="360" w:left="720"/>
      </w:pPr>
      <w:rPr>
        <w:rFonts w:ascii="Symbol" w:hAnsi="Symbol" w:hint="default"/>
      </w:rPr>
    </w:lvl>
  </w:abstractNum>
  <w:abstractNum w15:restartNumberingAfterBreak="0" w:abstractNumId="10">
    <w:nsid w:val="FFFFFF88"/>
    <w:multiLevelType w:val="singleLevel"/>
    <w:tmpl w:val="83247984"/>
    <w:lvl w:ilvl="0">
      <w:start w:val="1"/>
      <w:numFmt w:val="decimal"/>
      <w:lvlText w:val="%1."/>
      <w:lvlJc w:val="left"/>
      <w:pPr>
        <w:tabs>
          <w:tab w:pos="360" w:val="num"/>
        </w:tabs>
        <w:ind w:hanging="360" w:left="360"/>
      </w:pPr>
    </w:lvl>
  </w:abstractNum>
  <w:abstractNum w15:restartNumberingAfterBreak="0" w:abstractNumId="11">
    <w:nsid w:val="FFFFFF89"/>
    <w:multiLevelType w:val="singleLevel"/>
    <w:tmpl w:val="1700DEAA"/>
    <w:lvl w:ilvl="0">
      <w:start w:val="1"/>
      <w:numFmt w:val="bullet"/>
      <w:pStyle w:val="ListBullet"/>
      <w:lvlText w:val=""/>
      <w:lvlJc w:val="left"/>
      <w:pPr>
        <w:tabs>
          <w:tab w:pos="360" w:val="num"/>
        </w:tabs>
        <w:ind w:hanging="360" w:left="360"/>
      </w:pPr>
      <w:rPr>
        <w:rFonts w:ascii="Symbol" w:hAnsi="Symbol" w:hint="default"/>
      </w:rPr>
    </w:lvl>
  </w:abstractNum>
  <w:abstractNum w15:restartNumberingAfterBreak="0" w:abstractNumId="12">
    <w:nsid w:val="21725581"/>
    <w:multiLevelType w:val="hybridMultilevel"/>
    <w:tmpl w:val="DE3A0DD4"/>
    <w:lvl w:ilvl="0" w:tplc="04090001">
      <w:start w:val="1"/>
      <w:numFmt w:val="bullet"/>
      <w:lvlText w:val=""/>
      <w:lvlJc w:val="left"/>
      <w:pPr>
        <w:ind w:hanging="360" w:left="360"/>
      </w:pPr>
      <w:rPr>
        <w:rFonts w:ascii="Symbol" w:hAnsi="Symbol" w:hint="default"/>
      </w:rPr>
    </w:lvl>
    <w:lvl w:ilvl="1" w:tplc="04090003">
      <w:start w:val="1"/>
      <w:numFmt w:val="bullet"/>
      <w:lvlText w:val="o"/>
      <w:lvlJc w:val="left"/>
      <w:pPr>
        <w:ind w:hanging="360" w:left="1080"/>
      </w:pPr>
      <w:rPr>
        <w:rFonts w:ascii="Courier New" w:cs="Courier New" w:hAnsi="Courier New" w:hint="default"/>
      </w:rPr>
    </w:lvl>
    <w:lvl w:ilvl="2" w:tplc="04090005">
      <w:start w:val="1"/>
      <w:numFmt w:val="bullet"/>
      <w:lvlText w:val=""/>
      <w:lvlJc w:val="left"/>
      <w:pPr>
        <w:ind w:hanging="360" w:left="1800"/>
      </w:pPr>
      <w:rPr>
        <w:rFonts w:ascii="Wingdings" w:hAnsi="Wingdings" w:hint="default"/>
      </w:rPr>
    </w:lvl>
    <w:lvl w:ilvl="3" w:tplc="04090001">
      <w:start w:val="1"/>
      <w:numFmt w:val="bullet"/>
      <w:lvlText w:val=""/>
      <w:lvlJc w:val="left"/>
      <w:pPr>
        <w:ind w:hanging="360" w:left="2520"/>
      </w:pPr>
      <w:rPr>
        <w:rFonts w:ascii="Symbol" w:hAnsi="Symbol" w:hint="default"/>
      </w:rPr>
    </w:lvl>
    <w:lvl w:ilvl="4" w:tentative="1" w:tplc="04090003">
      <w:start w:val="1"/>
      <w:numFmt w:val="bullet"/>
      <w:lvlText w:val="o"/>
      <w:lvlJc w:val="left"/>
      <w:pPr>
        <w:ind w:hanging="360" w:left="3240"/>
      </w:pPr>
      <w:rPr>
        <w:rFonts w:ascii="Courier New" w:cs="Courier New" w:hAnsi="Courier New" w:hint="default"/>
      </w:rPr>
    </w:lvl>
    <w:lvl w:ilvl="5" w:tentative="1" w:tplc="04090005">
      <w:start w:val="1"/>
      <w:numFmt w:val="bullet"/>
      <w:lvlText w:val=""/>
      <w:lvlJc w:val="left"/>
      <w:pPr>
        <w:ind w:hanging="360" w:left="3960"/>
      </w:pPr>
      <w:rPr>
        <w:rFonts w:ascii="Wingdings" w:hAnsi="Wingdings" w:hint="default"/>
      </w:rPr>
    </w:lvl>
    <w:lvl w:ilvl="6" w:tentative="1" w:tplc="04090001">
      <w:start w:val="1"/>
      <w:numFmt w:val="bullet"/>
      <w:lvlText w:val=""/>
      <w:lvlJc w:val="left"/>
      <w:pPr>
        <w:ind w:hanging="360" w:left="4680"/>
      </w:pPr>
      <w:rPr>
        <w:rFonts w:ascii="Symbol" w:hAnsi="Symbol" w:hint="default"/>
      </w:rPr>
    </w:lvl>
    <w:lvl w:ilvl="7" w:tentative="1" w:tplc="04090003">
      <w:start w:val="1"/>
      <w:numFmt w:val="bullet"/>
      <w:lvlText w:val="o"/>
      <w:lvlJc w:val="left"/>
      <w:pPr>
        <w:ind w:hanging="360" w:left="5400"/>
      </w:pPr>
      <w:rPr>
        <w:rFonts w:ascii="Courier New" w:cs="Courier New" w:hAnsi="Courier New" w:hint="default"/>
      </w:rPr>
    </w:lvl>
    <w:lvl w:ilvl="8" w:tentative="1" w:tplc="04090005">
      <w:start w:val="1"/>
      <w:numFmt w:val="bullet"/>
      <w:lvlText w:val=""/>
      <w:lvlJc w:val="left"/>
      <w:pPr>
        <w:ind w:hanging="360" w:left="6120"/>
      </w:pPr>
      <w:rPr>
        <w:rFonts w:ascii="Wingdings" w:hAnsi="Wingdings" w:hint="default"/>
      </w:r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16cid:durableId="1044401467" w:numId="1">
    <w:abstractNumId w:val="1"/>
  </w:num>
  <w:num w16cid:durableId="684594278" w:numId="2">
    <w:abstractNumId w:val="0"/>
  </w:num>
  <w:num w16cid:durableId="2135755371" w:numId="3">
    <w:abstractNumId w:val="11"/>
  </w:num>
  <w:num w16cid:durableId="521864421" w:numId="4">
    <w:abstractNumId w:val="9"/>
  </w:num>
  <w:num w16cid:durableId="1294285200" w:numId="5">
    <w:abstractNumId w:val="8"/>
  </w:num>
  <w:num w16cid:durableId="1525821760" w:numId="6">
    <w:abstractNumId w:val="7"/>
  </w:num>
  <w:num w16cid:durableId="1834224836" w:numId="7">
    <w:abstractNumId w:val="6"/>
  </w:num>
  <w:num w16cid:durableId="672300852" w:numId="8">
    <w:abstractNumId w:val="10"/>
  </w:num>
  <w:num w16cid:durableId="708917550" w:numId="9">
    <w:abstractNumId w:val="5"/>
  </w:num>
  <w:num w16cid:durableId="1329821261" w:numId="10">
    <w:abstractNumId w:val="4"/>
  </w:num>
  <w:num w16cid:durableId="634485812" w:numId="11">
    <w:abstractNumId w:val="3"/>
  </w:num>
  <w:num w16cid:durableId="1296912930" w:numId="12">
    <w:abstractNumId w:val="2"/>
  </w:num>
  <w:num w16cid:durableId="1406682967" w:numId="13">
    <w:abstractNumId w:val="12"/>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al="0004" w:visibleStyles="0"/>
  <w:stylePaneSortMethod w:val="0002"/>
  <w:doNotTrackMoves/>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590D07"/>
    <w:rsid w:val="00011C8B"/>
    <w:rsid w:val="0006425B"/>
    <w:rsid w:val="000E00B6"/>
    <w:rsid w:val="00112C98"/>
    <w:rsid w:val="003C73CD"/>
    <w:rsid w:val="004015EC"/>
    <w:rsid w:val="004324DB"/>
    <w:rsid w:val="00452488"/>
    <w:rsid w:val="00473C8F"/>
    <w:rsid w:val="004E29B3"/>
    <w:rsid w:val="00537D25"/>
    <w:rsid w:val="00590D07"/>
    <w:rsid w:val="00612AF7"/>
    <w:rsid w:val="006E0FFF"/>
    <w:rsid w:val="0073059C"/>
    <w:rsid w:val="007504EE"/>
    <w:rsid w:val="00752863"/>
    <w:rsid w:val="007747C2"/>
    <w:rsid w:val="00784D58"/>
    <w:rsid w:val="008D6863"/>
    <w:rsid w:val="008E7A52"/>
    <w:rsid w:val="00957057"/>
    <w:rsid w:val="009A4565"/>
    <w:rsid w:val="009D268C"/>
    <w:rsid w:val="00B04FBE"/>
    <w:rsid w:val="00B4354F"/>
    <w:rsid w:val="00B86B75"/>
    <w:rsid w:val="00BA6E48"/>
    <w:rsid w:val="00BC48D5"/>
    <w:rsid w:val="00BD3235"/>
    <w:rsid w:val="00C06FC4"/>
    <w:rsid w:val="00C242C7"/>
    <w:rsid w:val="00C36279"/>
    <w:rsid w:val="00C80801"/>
    <w:rsid w:val="00D20E66"/>
    <w:rsid w:val="00D40009"/>
    <w:rsid w:val="00DB2749"/>
    <w:rsid w:val="00E315A3"/>
    <w:rsid w:val="00F63F6A"/>
    <w:rsid w:val="00F9205D"/>
    <w:rsid w:val="00FC21B1"/>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sid w:val="00C80801"/>
    <w:rPr>
      <w:rFonts w:ascii="Times New Roman" w:hAnsi="Times New Roman"/>
    </w:rPr>
  </w:style>
  <w:style w:styleId="Heading1" w:type="paragraph">
    <w:name w:val="heading 1"/>
    <w:basedOn w:val="Normal"/>
    <w:next w:val="BodyText"/>
    <w:uiPriority w:val="9"/>
    <w:qFormat/>
    <w:rsid w:val="00D40009"/>
    <w:pPr>
      <w:keepNext/>
      <w:keepLines/>
      <w:spacing w:after="0" w:before="480"/>
      <w:outlineLvl w:val="0"/>
    </w:pPr>
    <w:rPr>
      <w:rFonts w:cstheme="majorBidi" w:eastAsiaTheme="majorEastAsia"/>
      <w:b/>
      <w:bCs/>
      <w:color w:themeColor="text1" w:val="000000"/>
      <w:sz w:val="32"/>
      <w:szCs w:val="32"/>
    </w:rPr>
  </w:style>
  <w:style w:styleId="Heading2" w:type="paragraph">
    <w:name w:val="heading 2"/>
    <w:basedOn w:val="Normal"/>
    <w:next w:val="BodyText"/>
    <w:uiPriority w:val="9"/>
    <w:unhideWhenUsed/>
    <w:qFormat/>
    <w:rsid w:val="00957057"/>
    <w:pPr>
      <w:keepNext/>
      <w:keepLines/>
      <w:spacing w:after="0"/>
      <w:outlineLvl w:val="1"/>
    </w:pPr>
    <w:rPr>
      <w:rFonts w:cstheme="majorBidi" w:eastAsiaTheme="majorEastAsia"/>
      <w:b/>
      <w:bCs/>
      <w:color w:themeColor="text1" w:val="000000"/>
      <w:sz w:val="32"/>
      <w:szCs w:val="32"/>
    </w:rPr>
  </w:style>
  <w:style w:styleId="Heading3" w:type="paragraph">
    <w:name w:val="heading 3"/>
    <w:basedOn w:val="Normal"/>
    <w:next w:val="BodyText"/>
    <w:uiPriority w:val="9"/>
    <w:unhideWhenUsed/>
    <w:qFormat/>
    <w:rsid w:val="00752863"/>
    <w:pPr>
      <w:keepNext/>
      <w:keepLines/>
      <w:spacing w:before="200"/>
      <w:outlineLvl w:val="2"/>
    </w:pPr>
    <w:rPr>
      <w:rFonts w:cstheme="majorBidi" w:eastAsiaTheme="majorEastAsia"/>
      <w:b/>
      <w:bCs/>
      <w:color w:themeColor="text1" w:val="000000"/>
      <w:sz w:val="28"/>
      <w:szCs w:val="28"/>
    </w:rPr>
  </w:style>
  <w:style w:styleId="Heading4" w:type="paragraph">
    <w:name w:val="heading 4"/>
    <w:basedOn w:val="Normal"/>
    <w:next w:val="BodyText"/>
    <w:uiPriority w:val="9"/>
    <w:unhideWhenUsed/>
    <w:qFormat/>
    <w:rsid w:val="00D40009"/>
    <w:pPr>
      <w:keepNext/>
      <w:keepLines/>
      <w:spacing w:after="0" w:before="200"/>
      <w:outlineLvl w:val="3"/>
    </w:pPr>
    <w:rPr>
      <w:rFonts w:cstheme="majorBidi" w:eastAsiaTheme="majorEastAsia"/>
      <w:b/>
      <w:bCs/>
      <w:color w:themeColor="text1" w:val="000000"/>
    </w:rPr>
  </w:style>
  <w:style w:styleId="Heading5" w:type="paragraph">
    <w:name w:val="heading 5"/>
    <w:basedOn w:val="Normal"/>
    <w:next w:val="BodyText"/>
    <w:uiPriority w:val="9"/>
    <w:unhideWhenUsed/>
    <w:qFormat/>
    <w:rsid w:val="00D40009"/>
    <w:pPr>
      <w:keepNext/>
      <w:keepLines/>
      <w:spacing w:after="0" w:before="200"/>
      <w:outlineLvl w:val="4"/>
    </w:pPr>
    <w:rPr>
      <w:rFonts w:cstheme="majorBidi" w:eastAsiaTheme="majorEastAsia"/>
      <w:i/>
      <w:iCs/>
      <w:color w:themeColor="text1" w:val="000000"/>
    </w:rPr>
  </w:style>
  <w:style w:styleId="Heading6" w:type="paragraph">
    <w:name w:val="heading 6"/>
    <w:basedOn w:val="Normal"/>
    <w:next w:val="BodyText"/>
    <w:uiPriority w:val="9"/>
    <w:unhideWhenUsed/>
    <w:qFormat/>
    <w:rsid w:val="00D40009"/>
    <w:pPr>
      <w:keepNext/>
      <w:keepLines/>
      <w:spacing w:after="0" w:before="200"/>
      <w:outlineLvl w:val="5"/>
    </w:pPr>
    <w:rPr>
      <w:rFonts w:cstheme="majorBidi" w:eastAsiaTheme="majorEastAsia"/>
      <w:color w:themeColor="text1" w:val="000000"/>
    </w:rPr>
  </w:style>
  <w:style w:styleId="Heading8" w:type="paragraph">
    <w:name w:val="heading 8"/>
    <w:basedOn w:val="Normal"/>
    <w:next w:val="Normal"/>
    <w:link w:val="Heading8Char"/>
    <w:rsid w:val="00C80801"/>
    <w:pPr>
      <w:keepNext/>
      <w:keepLines/>
      <w:spacing w:after="0" w:before="40"/>
      <w:outlineLvl w:val="7"/>
    </w:pPr>
    <w:rPr>
      <w:rFonts w:asciiTheme="majorHAnsi" w:cstheme="majorBidi" w:eastAsiaTheme="majorEastAsia" w:hAnsiTheme="majorHAnsi"/>
      <w:color w:themeColor="text1" w:themeTint="D8" w:val="272727"/>
      <w:sz w:val="21"/>
      <w:szCs w:val="21"/>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qFormat/>
    <w:rsid w:val="00B04FBE"/>
    <w:pPr>
      <w:spacing w:after="180" w:before="180" w:line="480" w:lineRule="auto"/>
    </w:pPr>
  </w:style>
  <w:style w:customStyle="1" w:styleId="FirstParagraph" w:type="paragraph">
    <w:name w:val="First Paragraph"/>
    <w:basedOn w:val="BodyText"/>
    <w:next w:val="BodyText"/>
    <w:qFormat/>
    <w:rsid w:val="00D20E66"/>
  </w:style>
  <w:style w:customStyle="1" w:styleId="Compact" w:type="paragraph">
    <w:name w:val="Compact"/>
    <w:basedOn w:val="BodyText"/>
    <w:qFormat/>
    <w:rsid w:val="00452488"/>
    <w:pPr>
      <w:spacing w:after="0" w:before="0" w:line="240" w:lineRule="auto"/>
    </w:pPr>
  </w:style>
  <w:style w:styleId="Title" w:type="paragraph">
    <w:name w:val="Title"/>
    <w:basedOn w:val="Normal"/>
    <w:next w:val="BodyText"/>
    <w:qFormat/>
    <w:rsid w:val="00D40009"/>
    <w:pPr>
      <w:keepNext/>
      <w:keepLines/>
      <w:spacing w:after="240" w:before="480"/>
      <w:jc w:val="center"/>
    </w:pPr>
    <w:rPr>
      <w:rFonts w:cstheme="majorBidi" w:eastAsiaTheme="majorEastAsia"/>
      <w:b/>
      <w:bCs/>
      <w:color w:themeColor="text1" w:val="000000"/>
      <w:sz w:val="36"/>
      <w:szCs w:val="36"/>
    </w:rPr>
  </w:style>
  <w:style w:styleId="Subtitle" w:type="paragraph">
    <w:name w:val="Subtitle"/>
    <w:basedOn w:val="Title"/>
    <w:next w:val="BodyText"/>
    <w:qFormat/>
    <w:pPr>
      <w:spacing w:before="240"/>
    </w:pPr>
    <w:rPr>
      <w:sz w:val="30"/>
      <w:szCs w:val="30"/>
    </w:rPr>
  </w:style>
  <w:style w:customStyle="1" w:styleId="Author" w:type="paragraph">
    <w:name w:val="Author"/>
    <w:next w:val="BodyText"/>
    <w:qFormat/>
    <w:rsid w:val="00F9205D"/>
    <w:pPr>
      <w:keepNext/>
      <w:keepLines/>
      <w:jc w:val="center"/>
    </w:pPr>
    <w:rPr>
      <w:rFonts w:ascii="Times New Roman" w:hAnsi="Times New Roman"/>
    </w:rPr>
  </w:style>
  <w:style w:styleId="Date" w:type="paragraph">
    <w:name w:val="Date"/>
    <w:next w:val="BodyText"/>
    <w:qFormat/>
    <w:rsid w:val="00F9205D"/>
    <w:pPr>
      <w:keepNext/>
      <w:keepLines/>
      <w:jc w:val="center"/>
    </w:pPr>
    <w:rPr>
      <w:rFonts w:ascii="Times New Roman" w:hAnsi="Times New Roman"/>
    </w:r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qFormat/>
    <w:rsid w:val="007747C2"/>
  </w:style>
  <w:style w:styleId="BlockText" w:type="paragraph">
    <w:name w:val="Block Text"/>
    <w:basedOn w:val="BodyText"/>
    <w:next w:val="BodyText"/>
    <w:uiPriority w:val="9"/>
    <w:unhideWhenUsed/>
    <w:qFormat/>
    <w:pPr>
      <w:spacing w:after="100" w:before="100"/>
    </w:pPr>
    <w:rPr>
      <w:rFonts w:asciiTheme="majorHAnsi" w:cstheme="majorBidi" w:eastAsiaTheme="majorEastAsia" w:hAnsiTheme="majorHAnsi"/>
      <w:bCs/>
      <w:sz w:val="20"/>
      <w:szCs w:val="20"/>
    </w:rPr>
  </w:style>
  <w:style w:styleId="FootnoteText" w:type="paragraph">
    <w:name w:val="footnote text"/>
    <w:basedOn w:val="Normal"/>
    <w:uiPriority w:val="9"/>
    <w:unhideWhenUsed/>
    <w:qFormat/>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CaptionChar"/>
    <w:pPr>
      <w:spacing w:after="12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FigurewithCaption" w:type="paragraph">
    <w:name w:val="Figure with Caption"/>
    <w:basedOn w:val="Figure"/>
    <w:pPr>
      <w:keepNext/>
    </w:pPr>
  </w:style>
  <w:style w:customStyle="1" w:styleId="CaptionChar" w:type="character">
    <w:name w:val="Caption Char"/>
    <w:basedOn w:val="DefaultParagraphFont"/>
    <w:link w:val="Caption"/>
  </w:style>
  <w:style w:customStyle="1" w:styleId="VerbatimChar" w:type="character">
    <w:name w:val="Verbatim Char"/>
    <w:basedOn w:val="CaptionChar"/>
    <w:link w:val="SourceCode"/>
    <w:rPr>
      <w:rFonts w:ascii="Consolas" w:hAnsi="Consolas"/>
      <w:sz w:val="22"/>
    </w:rPr>
  </w:style>
  <w:style w:styleId="FootnoteReference" w:type="character">
    <w:name w:val="footnote reference"/>
    <w:basedOn w:val="CaptionChar"/>
    <w:rPr>
      <w:vertAlign w:val="superscript"/>
    </w:rPr>
  </w:style>
  <w:style w:styleId="Hyperlink" w:type="character">
    <w:name w:val="Hyperlink"/>
    <w:basedOn w:val="Caption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hAnsiTheme="majorHAnsi"/>
      <w:b w:val="0"/>
      <w:bCs w:val="0"/>
      <w:color w:themeColor="accent1" w:themeShade="BF" w:val="365F91"/>
    </w:rPr>
  </w:style>
  <w:style w:customStyle="1" w:styleId="SourceCode" w:type="paragraph">
    <w:name w:val="Source Code"/>
    <w:basedOn w:val="Normal"/>
    <w:link w:val="VerbatimChar"/>
    <w:pPr>
      <w:shd w:color="auto" w:fill="F8F8F8" w:val="clear"/>
      <w:wordWrap w:val="0"/>
    </w:pPr>
  </w:style>
  <w:style w:customStyle="1" w:styleId="KeywordTok" w:type="character">
    <w:name w:val="KeywordTok"/>
    <w:basedOn w:val="VerbatimChar"/>
    <w:rPr>
      <w:rFonts w:ascii="Consolas" w:hAnsi="Consolas"/>
      <w:b/>
      <w:color w:val="204A87"/>
      <w:sz w:val="22"/>
      <w:shd w:color="auto" w:fill="F8F8F8" w:val="clear"/>
    </w:rPr>
  </w:style>
  <w:style w:customStyle="1" w:styleId="DataTypeTok" w:type="character">
    <w:name w:val="DataTypeTok"/>
    <w:basedOn w:val="VerbatimChar"/>
    <w:rPr>
      <w:rFonts w:ascii="Consolas" w:hAnsi="Consolas"/>
      <w:color w:val="204A87"/>
      <w:sz w:val="22"/>
      <w:shd w:color="auto" w:fill="F8F8F8" w:val="clear"/>
    </w:rPr>
  </w:style>
  <w:style w:customStyle="1" w:styleId="DecValTok" w:type="character">
    <w:name w:val="DecValTok"/>
    <w:basedOn w:val="VerbatimChar"/>
    <w:rPr>
      <w:rFonts w:ascii="Consolas" w:hAnsi="Consolas"/>
      <w:color w:val="0000CF"/>
      <w:sz w:val="22"/>
      <w:shd w:color="auto" w:fill="F8F8F8" w:val="clear"/>
    </w:rPr>
  </w:style>
  <w:style w:customStyle="1" w:styleId="BaseNTok" w:type="character">
    <w:name w:val="BaseNTok"/>
    <w:basedOn w:val="VerbatimChar"/>
    <w:rPr>
      <w:rFonts w:ascii="Consolas" w:hAnsi="Consolas"/>
      <w:color w:val="0000CF"/>
      <w:sz w:val="22"/>
      <w:shd w:color="auto" w:fill="F8F8F8" w:val="clear"/>
    </w:rPr>
  </w:style>
  <w:style w:customStyle="1" w:styleId="FloatTok" w:type="character">
    <w:name w:val="FloatTok"/>
    <w:basedOn w:val="VerbatimChar"/>
    <w:rPr>
      <w:rFonts w:ascii="Consolas" w:hAnsi="Consolas"/>
      <w:color w:val="0000CF"/>
      <w:sz w:val="22"/>
      <w:shd w:color="auto" w:fill="F8F8F8" w:val="clear"/>
    </w:rPr>
  </w:style>
  <w:style w:customStyle="1" w:styleId="ConstantTok" w:type="character">
    <w:name w:val="ConstantTok"/>
    <w:basedOn w:val="VerbatimChar"/>
    <w:rPr>
      <w:rFonts w:ascii="Consolas" w:hAnsi="Consolas"/>
      <w:color w:val="000000"/>
      <w:sz w:val="22"/>
      <w:shd w:color="auto" w:fill="F8F8F8" w:val="clear"/>
    </w:rPr>
  </w:style>
  <w:style w:customStyle="1" w:styleId="CharTok" w:type="character">
    <w:name w:val="CharTok"/>
    <w:basedOn w:val="VerbatimChar"/>
    <w:rPr>
      <w:rFonts w:ascii="Consolas" w:hAnsi="Consolas"/>
      <w:color w:val="4E9A06"/>
      <w:sz w:val="22"/>
      <w:shd w:color="auto" w:fill="F8F8F8" w:val="clear"/>
    </w:rPr>
  </w:style>
  <w:style w:customStyle="1" w:styleId="SpecialCharTok" w:type="character">
    <w:name w:val="SpecialCharTok"/>
    <w:basedOn w:val="VerbatimChar"/>
    <w:rPr>
      <w:rFonts w:ascii="Consolas" w:hAnsi="Consolas"/>
      <w:color w:val="000000"/>
      <w:sz w:val="22"/>
      <w:shd w:color="auto" w:fill="F8F8F8" w:val="clear"/>
    </w:rPr>
  </w:style>
  <w:style w:customStyle="1" w:styleId="StringTok" w:type="character">
    <w:name w:val="StringTok"/>
    <w:basedOn w:val="VerbatimChar"/>
    <w:rPr>
      <w:rFonts w:ascii="Consolas" w:hAnsi="Consolas"/>
      <w:color w:val="4E9A06"/>
      <w:sz w:val="22"/>
      <w:shd w:color="auto" w:fill="F8F8F8" w:val="clear"/>
    </w:rPr>
  </w:style>
  <w:style w:customStyle="1" w:styleId="VerbatimStringTok" w:type="character">
    <w:name w:val="VerbatimStringTok"/>
    <w:basedOn w:val="VerbatimChar"/>
    <w:rPr>
      <w:rFonts w:ascii="Consolas" w:hAnsi="Consolas"/>
      <w:color w:val="4E9A06"/>
      <w:sz w:val="22"/>
      <w:shd w:color="auto" w:fill="F8F8F8" w:val="clear"/>
    </w:rPr>
  </w:style>
  <w:style w:customStyle="1" w:styleId="SpecialStringTok" w:type="character">
    <w:name w:val="SpecialStringTok"/>
    <w:basedOn w:val="VerbatimChar"/>
    <w:rPr>
      <w:rFonts w:ascii="Consolas" w:hAnsi="Consolas"/>
      <w:color w:val="4E9A06"/>
      <w:sz w:val="22"/>
      <w:shd w:color="auto" w:fill="F8F8F8" w:val="clear"/>
    </w:rPr>
  </w:style>
  <w:style w:customStyle="1" w:styleId="ImportTok" w:type="character">
    <w:name w:val="ImportTok"/>
    <w:basedOn w:val="VerbatimChar"/>
    <w:rPr>
      <w:rFonts w:ascii="Consolas" w:hAnsi="Consolas"/>
      <w:sz w:val="22"/>
      <w:shd w:color="auto" w:fill="F8F8F8" w:val="clear"/>
    </w:rPr>
  </w:style>
  <w:style w:customStyle="1" w:styleId="CommentTok" w:type="character">
    <w:name w:val="CommentTok"/>
    <w:basedOn w:val="VerbatimChar"/>
    <w:rPr>
      <w:rFonts w:ascii="Consolas" w:hAnsi="Consolas"/>
      <w:i/>
      <w:color w:val="8F5902"/>
      <w:sz w:val="22"/>
      <w:shd w:color="auto" w:fill="F8F8F8" w:val="clear"/>
    </w:rPr>
  </w:style>
  <w:style w:customStyle="1" w:styleId="DocumentationTok" w:type="character">
    <w:name w:val="DocumentationTok"/>
    <w:basedOn w:val="VerbatimChar"/>
    <w:rPr>
      <w:rFonts w:ascii="Consolas" w:hAnsi="Consolas"/>
      <w:b/>
      <w:i/>
      <w:color w:val="8F5902"/>
      <w:sz w:val="22"/>
      <w:shd w:color="auto" w:fill="F8F8F8" w:val="clear"/>
    </w:rPr>
  </w:style>
  <w:style w:customStyle="1" w:styleId="AnnotationTok" w:type="character">
    <w:name w:val="AnnotationTok"/>
    <w:basedOn w:val="VerbatimChar"/>
    <w:rPr>
      <w:rFonts w:ascii="Consolas" w:hAnsi="Consolas"/>
      <w:b/>
      <w:i/>
      <w:color w:val="8F5902"/>
      <w:sz w:val="22"/>
      <w:shd w:color="auto" w:fill="F8F8F8" w:val="clear"/>
    </w:rPr>
  </w:style>
  <w:style w:customStyle="1" w:styleId="CommentVarTok" w:type="character">
    <w:name w:val="CommentVarTok"/>
    <w:basedOn w:val="VerbatimChar"/>
    <w:rPr>
      <w:rFonts w:ascii="Consolas" w:hAnsi="Consolas"/>
      <w:b/>
      <w:i/>
      <w:color w:val="8F5902"/>
      <w:sz w:val="22"/>
      <w:shd w:color="auto" w:fill="F8F8F8" w:val="clear"/>
    </w:rPr>
  </w:style>
  <w:style w:customStyle="1" w:styleId="OtherTok" w:type="character">
    <w:name w:val="OtherTok"/>
    <w:basedOn w:val="VerbatimChar"/>
    <w:rPr>
      <w:rFonts w:ascii="Consolas" w:hAnsi="Consolas"/>
      <w:color w:val="8F5902"/>
      <w:sz w:val="22"/>
      <w:shd w:color="auto" w:fill="F8F8F8" w:val="clear"/>
    </w:rPr>
  </w:style>
  <w:style w:customStyle="1" w:styleId="FunctionTok" w:type="character">
    <w:name w:val="FunctionTok"/>
    <w:basedOn w:val="VerbatimChar"/>
    <w:rPr>
      <w:rFonts w:ascii="Consolas" w:hAnsi="Consolas"/>
      <w:color w:val="000000"/>
      <w:sz w:val="22"/>
      <w:shd w:color="auto" w:fill="F8F8F8" w:val="clear"/>
    </w:rPr>
  </w:style>
  <w:style w:customStyle="1" w:styleId="VariableTok" w:type="character">
    <w:name w:val="VariableTok"/>
    <w:basedOn w:val="VerbatimChar"/>
    <w:rPr>
      <w:rFonts w:ascii="Consolas" w:hAnsi="Consolas"/>
      <w:color w:val="000000"/>
      <w:sz w:val="22"/>
      <w:shd w:color="auto" w:fill="F8F8F8" w:val="clear"/>
    </w:rPr>
  </w:style>
  <w:style w:customStyle="1" w:styleId="ControlFlowTok" w:type="character">
    <w:name w:val="ControlFlowTok"/>
    <w:basedOn w:val="VerbatimChar"/>
    <w:rPr>
      <w:rFonts w:ascii="Consolas" w:hAnsi="Consolas"/>
      <w:b/>
      <w:color w:val="204A87"/>
      <w:sz w:val="22"/>
      <w:shd w:color="auto" w:fill="F8F8F8" w:val="clear"/>
    </w:rPr>
  </w:style>
  <w:style w:customStyle="1" w:styleId="OperatorTok" w:type="character">
    <w:name w:val="OperatorTok"/>
    <w:basedOn w:val="VerbatimChar"/>
    <w:rPr>
      <w:rFonts w:ascii="Consolas" w:hAnsi="Consolas"/>
      <w:b/>
      <w:color w:val="CE5C00"/>
      <w:sz w:val="22"/>
      <w:shd w:color="auto" w:fill="F8F8F8" w:val="clear"/>
    </w:rPr>
  </w:style>
  <w:style w:customStyle="1" w:styleId="BuiltInTok" w:type="character">
    <w:name w:val="BuiltInTok"/>
    <w:basedOn w:val="VerbatimChar"/>
    <w:rPr>
      <w:rFonts w:ascii="Consolas" w:hAnsi="Consolas"/>
      <w:sz w:val="22"/>
      <w:shd w:color="auto" w:fill="F8F8F8" w:val="clear"/>
    </w:rPr>
  </w:style>
  <w:style w:customStyle="1" w:styleId="ExtensionTok" w:type="character">
    <w:name w:val="ExtensionTok"/>
    <w:basedOn w:val="VerbatimChar"/>
    <w:rPr>
      <w:rFonts w:ascii="Consolas" w:hAnsi="Consolas"/>
      <w:sz w:val="22"/>
      <w:shd w:color="auto" w:fill="F8F8F8" w:val="clear"/>
    </w:rPr>
  </w:style>
  <w:style w:customStyle="1" w:styleId="PreprocessorTok" w:type="character">
    <w:name w:val="PreprocessorTok"/>
    <w:basedOn w:val="VerbatimChar"/>
    <w:rPr>
      <w:rFonts w:ascii="Consolas" w:hAnsi="Consolas"/>
      <w:i/>
      <w:color w:val="8F5902"/>
      <w:sz w:val="22"/>
      <w:shd w:color="auto" w:fill="F8F8F8" w:val="clear"/>
    </w:rPr>
  </w:style>
  <w:style w:customStyle="1" w:styleId="AttributeTok" w:type="character">
    <w:name w:val="AttributeTok"/>
    <w:basedOn w:val="VerbatimChar"/>
    <w:rPr>
      <w:rFonts w:ascii="Consolas" w:hAnsi="Consolas"/>
      <w:color w:val="C4A000"/>
      <w:sz w:val="22"/>
      <w:shd w:color="auto" w:fill="F8F8F8" w:val="clear"/>
    </w:rPr>
  </w:style>
  <w:style w:customStyle="1" w:styleId="RegionMarkerTok" w:type="character">
    <w:name w:val="RegionMarkerTok"/>
    <w:basedOn w:val="VerbatimChar"/>
    <w:rPr>
      <w:rFonts w:ascii="Consolas" w:hAnsi="Consolas"/>
      <w:sz w:val="22"/>
      <w:shd w:color="auto" w:fill="F8F8F8" w:val="clear"/>
    </w:rPr>
  </w:style>
  <w:style w:customStyle="1" w:styleId="InformationTok" w:type="character">
    <w:name w:val="InformationTok"/>
    <w:basedOn w:val="VerbatimChar"/>
    <w:rPr>
      <w:rFonts w:ascii="Consolas" w:hAnsi="Consolas"/>
      <w:b/>
      <w:i/>
      <w:color w:val="8F5902"/>
      <w:sz w:val="22"/>
      <w:shd w:color="auto" w:fill="F8F8F8" w:val="clear"/>
    </w:rPr>
  </w:style>
  <w:style w:customStyle="1" w:styleId="WarningTok" w:type="character">
    <w:name w:val="WarningTok"/>
    <w:basedOn w:val="VerbatimChar"/>
    <w:rPr>
      <w:rFonts w:ascii="Consolas" w:hAnsi="Consolas"/>
      <w:b/>
      <w:i/>
      <w:color w:val="8F5902"/>
      <w:sz w:val="22"/>
      <w:shd w:color="auto" w:fill="F8F8F8" w:val="clear"/>
    </w:rPr>
  </w:style>
  <w:style w:customStyle="1" w:styleId="AlertTok" w:type="character">
    <w:name w:val="AlertTok"/>
    <w:basedOn w:val="VerbatimChar"/>
    <w:rPr>
      <w:rFonts w:ascii="Consolas" w:hAnsi="Consolas"/>
      <w:color w:val="EF2929"/>
      <w:sz w:val="22"/>
      <w:shd w:color="auto" w:fill="F8F8F8" w:val="clear"/>
    </w:rPr>
  </w:style>
  <w:style w:customStyle="1" w:styleId="ErrorTok" w:type="character">
    <w:name w:val="ErrorTok"/>
    <w:basedOn w:val="VerbatimChar"/>
    <w:rPr>
      <w:rFonts w:ascii="Consolas" w:hAnsi="Consolas"/>
      <w:b/>
      <w:color w:val="A40000"/>
      <w:sz w:val="22"/>
      <w:shd w:color="auto" w:fill="F8F8F8" w:val="clear"/>
    </w:rPr>
  </w:style>
  <w:style w:customStyle="1" w:styleId="NormalTok" w:type="character">
    <w:name w:val="NormalTok"/>
    <w:basedOn w:val="VerbatimChar"/>
    <w:rPr>
      <w:rFonts w:ascii="Consolas" w:hAnsi="Consolas"/>
      <w:sz w:val="22"/>
      <w:shd w:color="auto" w:fill="F8F8F8" w:val="clear"/>
    </w:rPr>
  </w:style>
  <w:style w:customStyle="1" w:styleId="BodyTextChar" w:type="character">
    <w:name w:val="Body Text Char"/>
    <w:basedOn w:val="DefaultParagraphFont"/>
    <w:link w:val="BodyText"/>
    <w:rsid w:val="00B04FBE"/>
    <w:rPr>
      <w:rFonts w:ascii="Times New Roman" w:hAnsi="Times New Roman"/>
    </w:rPr>
  </w:style>
  <w:style w:styleId="ListContinue" w:type="paragraph">
    <w:name w:val="List Continue"/>
    <w:basedOn w:val="Normal"/>
    <w:semiHidden/>
    <w:unhideWhenUsed/>
    <w:rsid w:val="007747C2"/>
    <w:pPr>
      <w:spacing w:after="120"/>
      <w:ind w:left="360"/>
      <w:contextualSpacing/>
    </w:pPr>
  </w:style>
  <w:style w:styleId="ListParagraph" w:type="paragraph">
    <w:name w:val="List Paragraph"/>
    <w:basedOn w:val="Normal"/>
    <w:rsid w:val="007747C2"/>
    <w:pPr>
      <w:ind w:left="720"/>
      <w:contextualSpacing/>
    </w:pPr>
  </w:style>
  <w:style w:styleId="List" w:type="paragraph">
    <w:name w:val="List"/>
    <w:basedOn w:val="Normal"/>
    <w:semiHidden/>
    <w:unhideWhenUsed/>
    <w:rsid w:val="00BD3235"/>
    <w:pPr>
      <w:ind w:hanging="360" w:left="360"/>
      <w:contextualSpacing/>
    </w:pPr>
  </w:style>
  <w:style w:styleId="List2" w:type="paragraph">
    <w:name w:val="List 2"/>
    <w:basedOn w:val="Normal"/>
    <w:semiHidden/>
    <w:unhideWhenUsed/>
    <w:rsid w:val="00BD3235"/>
    <w:pPr>
      <w:ind w:hanging="360" w:left="720"/>
      <w:contextualSpacing/>
    </w:pPr>
  </w:style>
  <w:style w:styleId="List3" w:type="paragraph">
    <w:name w:val="List 3"/>
    <w:basedOn w:val="Normal"/>
    <w:semiHidden/>
    <w:unhideWhenUsed/>
    <w:rsid w:val="00BD3235"/>
    <w:pPr>
      <w:ind w:hanging="360" w:left="1080"/>
      <w:contextualSpacing/>
    </w:pPr>
  </w:style>
  <w:style w:styleId="List4" w:type="paragraph">
    <w:name w:val="List 4"/>
    <w:basedOn w:val="Normal"/>
    <w:semiHidden/>
    <w:unhideWhenUsed/>
    <w:rsid w:val="00BD3235"/>
    <w:pPr>
      <w:ind w:hanging="360" w:left="1440"/>
      <w:contextualSpacing/>
    </w:pPr>
  </w:style>
  <w:style w:styleId="List5" w:type="paragraph">
    <w:name w:val="List 5"/>
    <w:basedOn w:val="Normal"/>
    <w:semiHidden/>
    <w:unhideWhenUsed/>
    <w:rsid w:val="00BD3235"/>
    <w:pPr>
      <w:ind w:hanging="360" w:left="1800"/>
      <w:contextualSpacing/>
    </w:pPr>
  </w:style>
  <w:style w:styleId="Index1" w:type="paragraph">
    <w:name w:val="index 1"/>
    <w:basedOn w:val="Normal"/>
    <w:next w:val="Normal"/>
    <w:autoRedefine/>
    <w:rsid w:val="00C242C7"/>
    <w:pPr>
      <w:spacing w:after="0"/>
      <w:ind w:hanging="240" w:left="240"/>
    </w:pPr>
  </w:style>
  <w:style w:styleId="ListBullet" w:type="paragraph">
    <w:name w:val="List Bullet"/>
    <w:basedOn w:val="Normal"/>
    <w:semiHidden/>
    <w:unhideWhenUsed/>
    <w:rsid w:val="00C242C7"/>
    <w:pPr>
      <w:numPr>
        <w:numId w:val="3"/>
      </w:numPr>
      <w:contextualSpacing/>
    </w:pPr>
  </w:style>
  <w:style w:styleId="ListBullet2" w:type="paragraph">
    <w:name w:val="List Bullet 2"/>
    <w:basedOn w:val="Normal"/>
    <w:rsid w:val="00C242C7"/>
    <w:pPr>
      <w:numPr>
        <w:numId w:val="4"/>
      </w:numPr>
      <w:contextualSpacing/>
    </w:pPr>
  </w:style>
  <w:style w:styleId="ListBullet3" w:type="paragraph">
    <w:name w:val="List Bullet 3"/>
    <w:basedOn w:val="Normal"/>
    <w:semiHidden/>
    <w:unhideWhenUsed/>
    <w:rsid w:val="00C242C7"/>
    <w:pPr>
      <w:numPr>
        <w:numId w:val="5"/>
      </w:numPr>
      <w:contextualSpacing/>
    </w:pPr>
  </w:style>
  <w:style w:styleId="ListBullet4" w:type="paragraph">
    <w:name w:val="List Bullet 4"/>
    <w:basedOn w:val="Normal"/>
    <w:semiHidden/>
    <w:unhideWhenUsed/>
    <w:rsid w:val="00C242C7"/>
    <w:pPr>
      <w:numPr>
        <w:numId w:val="6"/>
      </w:numPr>
      <w:contextualSpacing/>
    </w:pPr>
  </w:style>
  <w:style w:styleId="ListBullet5" w:type="paragraph">
    <w:name w:val="List Bullet 5"/>
    <w:basedOn w:val="Normal"/>
    <w:rsid w:val="008E7A52"/>
    <w:pPr>
      <w:numPr>
        <w:numId w:val="7"/>
      </w:numPr>
      <w:contextualSpacing/>
    </w:pPr>
  </w:style>
  <w:style w:customStyle="1" w:styleId="Heading8Char" w:type="character">
    <w:name w:val="Heading 8 Char"/>
    <w:basedOn w:val="DefaultParagraphFont"/>
    <w:link w:val="Heading8"/>
    <w:rsid w:val="00C80801"/>
    <w:rPr>
      <w:rFonts w:asciiTheme="majorHAnsi" w:cstheme="majorBidi" w:eastAsiaTheme="majorEastAsia" w:hAnsiTheme="majorHAnsi"/>
      <w:color w:themeColor="text1" w:themeTint="D8" w:val="272727"/>
      <w:sz w:val="21"/>
      <w:szCs w:val="21"/>
    </w:rPr>
  </w:style>
  <w:style w:styleId="TOC1" w:type="paragraph">
    <w:name w:val="toc 1"/>
    <w:basedOn w:val="Normal"/>
    <w:next w:val="Normal"/>
    <w:autoRedefine/>
    <w:semiHidden/>
    <w:unhideWhenUsed/>
    <w:rsid w:val="00C80801"/>
    <w:pPr>
      <w:spacing w:after="100"/>
    </w:pPr>
  </w:style>
  <w:style w:styleId="TOC2" w:type="paragraph">
    <w:name w:val="toc 2"/>
    <w:basedOn w:val="Normal"/>
    <w:next w:val="Normal"/>
    <w:autoRedefine/>
    <w:semiHidden/>
    <w:unhideWhenUsed/>
    <w:rsid w:val="00C80801"/>
    <w:pPr>
      <w:spacing w:after="100"/>
      <w:ind w:left="240"/>
    </w:pPr>
  </w:style>
  <w:style w:styleId="TOC3" w:type="paragraph">
    <w:name w:val="toc 3"/>
    <w:basedOn w:val="Normal"/>
    <w:next w:val="Normal"/>
    <w:autoRedefine/>
    <w:semiHidden/>
    <w:unhideWhenUsed/>
    <w:rsid w:val="00C80801"/>
    <w:pPr>
      <w:spacing w:after="100"/>
      <w:ind w:left="480"/>
    </w:pPr>
  </w:style>
  <w:style w:styleId="Header" w:type="paragraph">
    <w:name w:val="header"/>
    <w:basedOn w:val="Normal"/>
    <w:link w:val="HeaderChar"/>
    <w:unhideWhenUsed/>
    <w:rsid w:val="003C73CD"/>
    <w:pPr>
      <w:tabs>
        <w:tab w:pos="4680" w:val="center"/>
        <w:tab w:pos="9360" w:val="right"/>
      </w:tabs>
      <w:spacing w:after="0"/>
    </w:pPr>
  </w:style>
  <w:style w:customStyle="1" w:styleId="HeaderChar" w:type="character">
    <w:name w:val="Header Char"/>
    <w:basedOn w:val="DefaultParagraphFont"/>
    <w:link w:val="Header"/>
    <w:rsid w:val="003C73CD"/>
    <w:rPr>
      <w:rFonts w:ascii="Times New Roman" w:hAnsi="Times New Roman"/>
    </w:rPr>
  </w:style>
  <w:style w:styleId="Footer" w:type="paragraph">
    <w:name w:val="footer"/>
    <w:basedOn w:val="Normal"/>
    <w:link w:val="FooterChar"/>
    <w:uiPriority w:val="99"/>
    <w:unhideWhenUsed/>
    <w:rsid w:val="003C73CD"/>
    <w:pPr>
      <w:tabs>
        <w:tab w:pos="4680" w:val="center"/>
        <w:tab w:pos="9360" w:val="right"/>
      </w:tabs>
      <w:spacing w:after="0"/>
    </w:pPr>
  </w:style>
  <w:style w:customStyle="1" w:styleId="FooterChar" w:type="character">
    <w:name w:val="Footer Char"/>
    <w:basedOn w:val="DefaultParagraphFont"/>
    <w:link w:val="Footer"/>
    <w:uiPriority w:val="99"/>
    <w:rsid w:val="003C73CD"/>
    <w:rPr>
      <w:rFonts w:ascii="Times New Roman" w:hAnsi="Times New Roman"/>
    </w:rPr>
  </w:style>
  <w:style w:styleId="LineNumber" w:type="character">
    <w:name w:val="line number"/>
    <w:basedOn w:val="DefaultParagraphFont"/>
    <w:semiHidden/>
    <w:unhideWhenUsed/>
    <w:rsid w:val="003C7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8" Target="media/rId28.png" /><Relationship Type="http://schemas.openxmlformats.org/officeDocument/2006/relationships/hyperlink" Id="rId21" Target="https://orcid.org/0000-0001-5330-302X" TargetMode="External" /><Relationship Type="http://schemas.openxmlformats.org/officeDocument/2006/relationships/hyperlink" Id="rId25" Target="https://orcid.org/0000-0002-1918-3463" TargetMode="External" /><Relationship Type="http://schemas.openxmlformats.org/officeDocument/2006/relationships/hyperlink" Id="rId26" Target="https://orcid.org/0000-0002-3847-6501" TargetMode="External" /><Relationship Type="http://schemas.openxmlformats.org/officeDocument/2006/relationships/hyperlink" Id="rId20" Target="https://orcid.org/0000-0002-4996-0059" TargetMode="External" /><Relationship Type="http://schemas.openxmlformats.org/officeDocument/2006/relationships/hyperlink" Id="rId23" Target="https://orcid.org/0000-0002-6032-0570" TargetMode="External" /><Relationship Type="http://schemas.openxmlformats.org/officeDocument/2006/relationships/hyperlink" Id="rId24" Target="https://orcid.org/0000-0003-0500-5655" TargetMode="External" /><Relationship Type="http://schemas.openxmlformats.org/officeDocument/2006/relationships/hyperlink" Id="rId22" Target="https://orcid.org/0000-0003-3391-1823" TargetMode="External" /><Relationship Type="http://schemas.openxmlformats.org/officeDocument/2006/relationships/hyperlink" Id="rId27" Target="mailto:mbeck@tbep.org" TargetMode="External" /></Relationships>
</file>

<file path=word/_rels/footnotes.xml.rels><?xml version="1.0" encoding="UTF-8"?><Relationships xmlns="http://schemas.openxmlformats.org/package/2006/relationships"><Relationship Type="http://schemas.openxmlformats.org/officeDocument/2006/relationships/hyperlink" Id="rId21" Target="https://orcid.org/0000-0001-5330-302X" TargetMode="External" /><Relationship Type="http://schemas.openxmlformats.org/officeDocument/2006/relationships/hyperlink" Id="rId25" Target="https://orcid.org/0000-0002-1918-3463" TargetMode="External" /><Relationship Type="http://schemas.openxmlformats.org/officeDocument/2006/relationships/hyperlink" Id="rId26" Target="https://orcid.org/0000-0002-3847-6501" TargetMode="External" /><Relationship Type="http://schemas.openxmlformats.org/officeDocument/2006/relationships/hyperlink" Id="rId20" Target="https://orcid.org/0000-0002-4996-0059" TargetMode="External" /><Relationship Type="http://schemas.openxmlformats.org/officeDocument/2006/relationships/hyperlink" Id="rId23" Target="https://orcid.org/0000-0002-6032-0570" TargetMode="External" /><Relationship Type="http://schemas.openxmlformats.org/officeDocument/2006/relationships/hyperlink" Id="rId24" Target="https://orcid.org/0000-0003-0500-5655" TargetMode="External" /><Relationship Type="http://schemas.openxmlformats.org/officeDocument/2006/relationships/hyperlink" Id="rId22" Target="https://orcid.org/0000-0003-3391-1823" TargetMode="External" /><Relationship Type="http://schemas.openxmlformats.org/officeDocument/2006/relationships/hyperlink" Id="rId27" Target="mailto:mbeck@tbep.or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 Managing the unmanageable: Understanding the competing effects of salinity and nutrient loading on estuarine water quality</dc:title>
  <dc:creator>Marcus W Beck1,✉ (0000-0002-4996-0059), Edward T Sherwood1 (0000-0001-5330-302X), Rebecca R Murphy2 (0000-0003-3391-1823), Kerry Flaherty-Walia1 (0000-0002-6032-0570), Qian Zhang2 (0000-0003-0500-5655), Blake A Simmons1 (0000-0002-1918-3463), and Maya C Burke1 (0000-0002-3847-6501)</dc:creator>
  <cp:keywords/>
  <dcterms:created xsi:type="dcterms:W3CDTF">2026-03-19T19:42:03Z</dcterms:created>
  <dcterms:modified xsi:type="dcterms:W3CDTF">2026-03-19T19:42:03Z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biblio-config">
    <vt:lpwstr>True</vt:lpwstr>
  </property>
  <property fmtid="{D5CDD505-2E9C-101B-9397-08002B2CF9AE}" pid="4" name="bibliography">
    <vt:lpwstr>refs.bib</vt:lpwstr>
  </property>
  <property fmtid="{D5CDD505-2E9C-101B-9397-08002B2CF9AE}" pid="5" name="by-affiliation">
    <vt:lpwstr/>
  </property>
  <property fmtid="{D5CDD505-2E9C-101B-9397-08002B2CF9AE}" pid="6" name="crossref">
    <vt:lpwstr/>
  </property>
  <property fmtid="{D5CDD505-2E9C-101B-9397-08002B2CF9AE}" pid="7" name="csl">
    <vt:lpwstr>estuaries-and-coasts.csl</vt:lpwstr>
  </property>
  <property fmtid="{D5CDD505-2E9C-101B-9397-08002B2CF9AE}" pid="8" name="execute">
    <vt:lpwstr/>
  </property>
  <property fmtid="{D5CDD505-2E9C-101B-9397-08002B2CF9AE}" pid="9" name="header-includes">
    <vt:lpwstr/>
  </property>
  <property fmtid="{D5CDD505-2E9C-101B-9397-08002B2CF9AE}" pid="10" name="include-after">
    <vt:lpwstr/>
  </property>
  <property fmtid="{D5CDD505-2E9C-101B-9397-08002B2CF9AE}" pid="11" name="include-before">
    <vt:lpwstr/>
  </property>
  <property fmtid="{D5CDD505-2E9C-101B-9397-08002B2CF9AE}" pid="12" name="institutes">
    <vt:lpwstr/>
  </property>
  <property fmtid="{D5CDD505-2E9C-101B-9397-08002B2CF9AE}" pid="13" name="labels">
    <vt:lpwstr/>
  </property>
  <property fmtid="{D5CDD505-2E9C-101B-9397-08002B2CF9AE}" pid="14" name="toc-title">
    <vt:lpwstr>Table of contents</vt:lpwstr>
  </property>
</Properties>
</file>