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70116" w14:textId="77777777" w:rsidR="004202B7" w:rsidRDefault="004202B7" w:rsidP="004202B7">
      <w:pPr>
        <w:spacing w:line="276" w:lineRule="auto"/>
        <w:rPr>
          <w:b/>
          <w:bCs/>
          <w:lang w:val="en-US"/>
        </w:rPr>
      </w:pPr>
      <w:r w:rsidRPr="0097659C">
        <w:rPr>
          <w:b/>
          <w:bCs/>
          <w:lang w:val="en-US"/>
        </w:rPr>
        <w:t xml:space="preserve">Incentives and constraints in the conversion from conventional to organic viticulture farming in the </w:t>
      </w:r>
      <w:proofErr w:type="spellStart"/>
      <w:r w:rsidRPr="0097659C">
        <w:rPr>
          <w:b/>
          <w:bCs/>
          <w:lang w:val="en-US"/>
        </w:rPr>
        <w:t>Neusiedler</w:t>
      </w:r>
      <w:proofErr w:type="spellEnd"/>
      <w:r w:rsidRPr="0097659C">
        <w:rPr>
          <w:b/>
          <w:bCs/>
          <w:lang w:val="en-US"/>
        </w:rPr>
        <w:t xml:space="preserve"> See DAC region, Burgenland, Austria</w:t>
      </w:r>
    </w:p>
    <w:p w14:paraId="420809D1" w14:textId="4E147F89" w:rsidR="00A07D3C" w:rsidRPr="00CA603A" w:rsidRDefault="00A07D3C" w:rsidP="004202B7">
      <w:pPr>
        <w:spacing w:line="276" w:lineRule="auto"/>
        <w:rPr>
          <w:lang w:val="en-US"/>
        </w:rPr>
      </w:pPr>
      <w:r w:rsidRPr="00CA603A">
        <w:rPr>
          <w:lang w:val="en-US"/>
        </w:rPr>
        <w:t xml:space="preserve">Organic Agriculture </w:t>
      </w:r>
      <w:r w:rsidRPr="00CA603A">
        <w:rPr>
          <w:lang w:val="en-US"/>
        </w:rPr>
        <w:br/>
        <w:t xml:space="preserve">Journal of The International Society of Organic Agriculture Research </w:t>
      </w:r>
    </w:p>
    <w:p w14:paraId="20479364" w14:textId="5E01558D" w:rsidR="004202B7" w:rsidRDefault="004202B7">
      <w:pPr>
        <w:rPr>
          <w:lang w:val="en-US"/>
        </w:rPr>
      </w:pPr>
      <w:r w:rsidRPr="0097659C">
        <w:rPr>
          <w:lang w:val="en-US"/>
        </w:rPr>
        <w:t>Tina Achs, Sonja Kaufmann, Christoph Schunko, Christian Reinhard Vogl</w:t>
      </w:r>
    </w:p>
    <w:p w14:paraId="27C12E17" w14:textId="30CB7A63" w:rsidR="00A07D3C" w:rsidRPr="004A6D55" w:rsidRDefault="008725B6" w:rsidP="00A07D3C">
      <w:r>
        <w:rPr>
          <w:lang w:val="en-US"/>
        </w:rPr>
        <w:t>Christian Reinhard Vogl</w:t>
      </w:r>
      <w:r w:rsidR="00A07D3C">
        <w:rPr>
          <w:lang w:val="en-US"/>
        </w:rPr>
        <w:br/>
      </w:r>
      <w:r w:rsidR="00A07D3C">
        <w:t xml:space="preserve">BOKU University </w:t>
      </w:r>
      <w:r w:rsidR="00A07D3C">
        <w:br/>
        <w:t>Institut</w:t>
      </w:r>
      <w:r w:rsidR="00A74784">
        <w:t xml:space="preserve">e </w:t>
      </w:r>
      <w:proofErr w:type="spellStart"/>
      <w:r w:rsidR="00A74784">
        <w:t>of</w:t>
      </w:r>
      <w:proofErr w:type="spellEnd"/>
      <w:r w:rsidR="00A74784">
        <w:t xml:space="preserve"> </w:t>
      </w:r>
      <w:proofErr w:type="spellStart"/>
      <w:r w:rsidR="00A74784">
        <w:t>Organic</w:t>
      </w:r>
      <w:proofErr w:type="spellEnd"/>
      <w:r w:rsidR="00A74784">
        <w:t xml:space="preserve"> Farming</w:t>
      </w:r>
      <w:r w:rsidR="00A07D3C">
        <w:br/>
        <w:t xml:space="preserve">Department </w:t>
      </w:r>
      <w:proofErr w:type="spellStart"/>
      <w:r w:rsidR="00A74784">
        <w:t>of</w:t>
      </w:r>
      <w:proofErr w:type="spellEnd"/>
      <w:r w:rsidR="00A74784">
        <w:t xml:space="preserve"> </w:t>
      </w:r>
      <w:proofErr w:type="spellStart"/>
      <w:r w:rsidR="00A74784">
        <w:t>Agricultural</w:t>
      </w:r>
      <w:proofErr w:type="spellEnd"/>
      <w:r w:rsidR="00A74784">
        <w:t xml:space="preserve"> Science</w:t>
      </w:r>
      <w:r w:rsidR="00A07D3C">
        <w:br/>
      </w:r>
      <w:r w:rsidR="00A07D3C" w:rsidRPr="00E340D6">
        <w:rPr>
          <w:szCs w:val="22"/>
        </w:rPr>
        <w:t>Gregor-Mendel-Straße 33, 1180 Vienna, Austria</w:t>
      </w:r>
      <w:r w:rsidR="00A07D3C">
        <w:rPr>
          <w:szCs w:val="22"/>
        </w:rPr>
        <w:br/>
      </w:r>
      <w:r w:rsidR="00A07D3C" w:rsidRPr="008725B6">
        <w:rPr>
          <w:szCs w:val="22"/>
        </w:rPr>
        <w:t>E-Mail:</w:t>
      </w:r>
      <w:r w:rsidR="00A07D3C" w:rsidRPr="00E340D6">
        <w:rPr>
          <w:szCs w:val="22"/>
        </w:rPr>
        <w:t xml:space="preserve"> </w:t>
      </w:r>
      <w:r>
        <w:rPr>
          <w:szCs w:val="22"/>
        </w:rPr>
        <w:t>christian.vogl@boku.ac.at</w:t>
      </w:r>
    </w:p>
    <w:p w14:paraId="10259458" w14:textId="315A7861" w:rsidR="00C24B62" w:rsidRPr="0097659C" w:rsidRDefault="00C24B62" w:rsidP="00C24B62">
      <w:pPr>
        <w:pStyle w:val="berschrift1"/>
        <w:rPr>
          <w:lang w:val="en-US"/>
        </w:rPr>
      </w:pPr>
      <w:r w:rsidRPr="0097659C">
        <w:rPr>
          <w:lang w:val="en-US"/>
        </w:rPr>
        <w:t xml:space="preserve">Annex </w:t>
      </w:r>
      <w:r>
        <w:rPr>
          <w:lang w:val="en-US"/>
        </w:rPr>
        <w:t>1</w:t>
      </w:r>
      <w:r w:rsidRPr="0097659C">
        <w:rPr>
          <w:lang w:val="en-US"/>
        </w:rPr>
        <w:t xml:space="preserve">: Overview of </w:t>
      </w:r>
      <w:r w:rsidR="005B61C8">
        <w:rPr>
          <w:lang w:val="en-US"/>
        </w:rPr>
        <w:t>DAC quality labels</w:t>
      </w:r>
    </w:p>
    <w:p w14:paraId="0CB89D8F" w14:textId="77777777" w:rsidR="00C24B62" w:rsidRPr="0097659C" w:rsidRDefault="00C24B62" w:rsidP="00C24B62">
      <w:pPr>
        <w:overflowPunct/>
        <w:autoSpaceDE/>
        <w:autoSpaceDN/>
        <w:adjustRightInd/>
        <w:spacing w:line="276" w:lineRule="auto"/>
        <w:jc w:val="both"/>
        <w:textAlignment w:val="auto"/>
        <w:rPr>
          <w:szCs w:val="24"/>
          <w:lang w:val="en-US" w:eastAsia="de-AT"/>
        </w:rPr>
      </w:pPr>
      <w:r w:rsidRPr="0097659C">
        <w:rPr>
          <w:szCs w:val="24"/>
          <w:lang w:val="en-US" w:eastAsia="de-AT"/>
        </w:rPr>
        <w:t>Today, six of 18 DAC (</w:t>
      </w:r>
      <w:proofErr w:type="spellStart"/>
      <w:r w:rsidRPr="0097659C">
        <w:rPr>
          <w:i/>
          <w:iCs/>
          <w:szCs w:val="24"/>
          <w:lang w:val="en-US" w:eastAsia="de-AT"/>
        </w:rPr>
        <w:t>Districutus</w:t>
      </w:r>
      <w:proofErr w:type="spellEnd"/>
      <w:r w:rsidRPr="0097659C">
        <w:rPr>
          <w:i/>
          <w:iCs/>
          <w:szCs w:val="24"/>
          <w:lang w:val="en-US" w:eastAsia="de-AT"/>
        </w:rPr>
        <w:t xml:space="preserve"> </w:t>
      </w:r>
      <w:proofErr w:type="spellStart"/>
      <w:r w:rsidRPr="0097659C">
        <w:rPr>
          <w:i/>
          <w:iCs/>
          <w:szCs w:val="24"/>
          <w:lang w:val="en-US" w:eastAsia="de-AT"/>
        </w:rPr>
        <w:t>Asutriae</w:t>
      </w:r>
      <w:proofErr w:type="spellEnd"/>
      <w:r w:rsidRPr="0097659C">
        <w:rPr>
          <w:i/>
          <w:iCs/>
          <w:szCs w:val="24"/>
          <w:lang w:val="en-US" w:eastAsia="de-AT"/>
        </w:rPr>
        <w:t xml:space="preserve"> </w:t>
      </w:r>
      <w:proofErr w:type="spellStart"/>
      <w:r w:rsidRPr="0097659C">
        <w:rPr>
          <w:i/>
          <w:iCs/>
          <w:szCs w:val="24"/>
          <w:lang w:val="en-US" w:eastAsia="de-AT"/>
        </w:rPr>
        <w:t>Controlatus</w:t>
      </w:r>
      <w:proofErr w:type="spellEnd"/>
      <w:r w:rsidRPr="0097659C">
        <w:rPr>
          <w:szCs w:val="24"/>
          <w:lang w:val="en-US" w:eastAsia="de-AT"/>
        </w:rPr>
        <w:t xml:space="preserve">) regions are located in Burgenland, covering an area of 11.537,88 ha (Österreich Wein Marketing GmbH 2025; Weiß 2025, personal communication). </w:t>
      </w:r>
    </w:p>
    <w:p w14:paraId="21812329" w14:textId="77777777" w:rsidR="00C24B62" w:rsidRPr="0097659C" w:rsidRDefault="00C24B62" w:rsidP="00C24B62">
      <w:pPr>
        <w:overflowPunct/>
        <w:autoSpaceDE/>
        <w:autoSpaceDN/>
        <w:adjustRightInd/>
        <w:spacing w:line="276" w:lineRule="auto"/>
        <w:jc w:val="both"/>
        <w:textAlignment w:val="auto"/>
        <w:rPr>
          <w:szCs w:val="24"/>
          <w:lang w:val="en-US" w:eastAsia="de-AT"/>
        </w:rPr>
      </w:pPr>
      <w:r w:rsidRPr="0097659C">
        <w:rPr>
          <w:szCs w:val="24"/>
          <w:lang w:val="en-US" w:eastAsia="de-AT"/>
        </w:rPr>
        <w:t>The European Wine Law establishes three quality levels for wine (Council of the European Union 2013; RIS 2023):</w:t>
      </w:r>
    </w:p>
    <w:p w14:paraId="722E95D0" w14:textId="77777777" w:rsidR="00C24B62" w:rsidRPr="0097659C" w:rsidRDefault="00C24B62" w:rsidP="00C24B62">
      <w:pPr>
        <w:pStyle w:val="Listenabsatz"/>
        <w:numPr>
          <w:ilvl w:val="0"/>
          <w:numId w:val="3"/>
        </w:numPr>
        <w:overflowPunct/>
        <w:autoSpaceDE/>
        <w:autoSpaceDN/>
        <w:adjustRightInd/>
        <w:spacing w:line="276" w:lineRule="auto"/>
        <w:jc w:val="both"/>
        <w:textAlignment w:val="auto"/>
        <w:rPr>
          <w:szCs w:val="24"/>
          <w:lang w:val="en-US" w:eastAsia="de-AT"/>
        </w:rPr>
      </w:pPr>
      <w:r w:rsidRPr="0097659C">
        <w:rPr>
          <w:szCs w:val="24"/>
          <w:lang w:val="en-US" w:eastAsia="de-AT"/>
        </w:rPr>
        <w:t>Wines with a protected designation of origin (PDO): Wine (in Austria:</w:t>
      </w:r>
      <w:r w:rsidRPr="0097659C">
        <w:rPr>
          <w:i/>
          <w:iCs/>
          <w:szCs w:val="24"/>
          <w:lang w:val="en-US" w:eastAsia="de-AT"/>
        </w:rPr>
        <w:t xml:space="preserve"> Qualitätswein</w:t>
      </w:r>
      <w:r w:rsidRPr="0097659C">
        <w:rPr>
          <w:szCs w:val="24"/>
          <w:lang w:val="en-US" w:eastAsia="de-AT"/>
        </w:rPr>
        <w:t>)</w:t>
      </w:r>
      <w:r w:rsidRPr="0097659C">
        <w:rPr>
          <w:i/>
          <w:iCs/>
          <w:szCs w:val="24"/>
          <w:lang w:val="en-US" w:eastAsia="de-AT"/>
        </w:rPr>
        <w:t xml:space="preserve"> </w:t>
      </w:r>
      <w:r w:rsidRPr="0097659C">
        <w:rPr>
          <w:szCs w:val="24"/>
          <w:lang w:val="en-US" w:eastAsia="de-AT"/>
        </w:rPr>
        <w:t xml:space="preserve">that is fully processed in specific regions, where the grapes for “Qualitätswein” originate from this specific region. </w:t>
      </w:r>
      <w:r w:rsidRPr="0097659C">
        <w:rPr>
          <w:i/>
          <w:iCs/>
          <w:szCs w:val="24"/>
          <w:lang w:val="en-US" w:eastAsia="de-AT"/>
        </w:rPr>
        <w:t xml:space="preserve"> </w:t>
      </w:r>
    </w:p>
    <w:p w14:paraId="00363611" w14:textId="77777777" w:rsidR="00C24B62" w:rsidRPr="0097659C" w:rsidRDefault="00C24B62" w:rsidP="00C24B62">
      <w:pPr>
        <w:pStyle w:val="Listenabsatz"/>
        <w:numPr>
          <w:ilvl w:val="0"/>
          <w:numId w:val="3"/>
        </w:numPr>
        <w:overflowPunct/>
        <w:autoSpaceDE/>
        <w:autoSpaceDN/>
        <w:adjustRightInd/>
        <w:spacing w:line="276" w:lineRule="auto"/>
        <w:jc w:val="both"/>
        <w:textAlignment w:val="auto"/>
        <w:rPr>
          <w:szCs w:val="24"/>
          <w:lang w:val="en-US" w:eastAsia="de-AT"/>
        </w:rPr>
      </w:pPr>
      <w:r w:rsidRPr="0097659C">
        <w:rPr>
          <w:szCs w:val="24"/>
          <w:lang w:val="en-US" w:eastAsia="de-AT"/>
        </w:rPr>
        <w:t xml:space="preserve">Wines with a protected geographical indication (PGI): Wine is made exclusively from grapes harvested in a specific wine – growing region: the vinification is subject to regulation, but less stringent regarding vinification than quality wine (in Austria: </w:t>
      </w:r>
      <w:proofErr w:type="spellStart"/>
      <w:r w:rsidRPr="0097659C">
        <w:rPr>
          <w:i/>
          <w:iCs/>
          <w:szCs w:val="24"/>
          <w:lang w:val="en-US" w:eastAsia="de-AT"/>
        </w:rPr>
        <w:t>Landwein</w:t>
      </w:r>
      <w:proofErr w:type="spellEnd"/>
      <w:r w:rsidRPr="0097659C">
        <w:rPr>
          <w:szCs w:val="24"/>
          <w:lang w:val="en-US" w:eastAsia="de-AT"/>
        </w:rPr>
        <w:t>). The origin of the grapes for “</w:t>
      </w:r>
      <w:proofErr w:type="spellStart"/>
      <w:r w:rsidRPr="0097659C">
        <w:rPr>
          <w:szCs w:val="24"/>
          <w:lang w:val="en-US" w:eastAsia="de-AT"/>
        </w:rPr>
        <w:t>Landwein</w:t>
      </w:r>
      <w:proofErr w:type="spellEnd"/>
      <w:r w:rsidRPr="0097659C">
        <w:rPr>
          <w:szCs w:val="24"/>
          <w:lang w:val="en-US" w:eastAsia="de-AT"/>
        </w:rPr>
        <w:t xml:space="preserve">” are three wine-growing regions in Austria (Weinland, </w:t>
      </w:r>
      <w:proofErr w:type="spellStart"/>
      <w:r w:rsidRPr="0097659C">
        <w:rPr>
          <w:szCs w:val="24"/>
          <w:lang w:val="en-US" w:eastAsia="de-AT"/>
        </w:rPr>
        <w:t>Steirerland</w:t>
      </w:r>
      <w:proofErr w:type="spellEnd"/>
      <w:r w:rsidRPr="0097659C">
        <w:rPr>
          <w:szCs w:val="24"/>
          <w:lang w:val="en-US" w:eastAsia="de-AT"/>
        </w:rPr>
        <w:t xml:space="preserve">, Bergland) - 100% of the grapes used for </w:t>
      </w:r>
      <w:proofErr w:type="spellStart"/>
      <w:r w:rsidRPr="0097659C">
        <w:rPr>
          <w:szCs w:val="24"/>
          <w:lang w:val="en-US" w:eastAsia="de-AT"/>
        </w:rPr>
        <w:t>Landwein</w:t>
      </w:r>
      <w:proofErr w:type="spellEnd"/>
      <w:r w:rsidRPr="0097659C">
        <w:rPr>
          <w:szCs w:val="24"/>
          <w:lang w:val="en-US" w:eastAsia="de-AT"/>
        </w:rPr>
        <w:t xml:space="preserve"> must originate from one of these three regions. </w:t>
      </w:r>
    </w:p>
    <w:p w14:paraId="3AC4D410" w14:textId="77777777" w:rsidR="00C24B62" w:rsidRPr="0097659C" w:rsidRDefault="00C24B62" w:rsidP="00C24B62">
      <w:pPr>
        <w:pStyle w:val="Listenabsatz"/>
        <w:numPr>
          <w:ilvl w:val="0"/>
          <w:numId w:val="3"/>
        </w:numPr>
        <w:overflowPunct/>
        <w:autoSpaceDE/>
        <w:autoSpaceDN/>
        <w:adjustRightInd/>
        <w:spacing w:line="276" w:lineRule="auto"/>
        <w:jc w:val="both"/>
        <w:textAlignment w:val="auto"/>
        <w:rPr>
          <w:szCs w:val="24"/>
          <w:lang w:val="en-US" w:eastAsia="de-AT"/>
        </w:rPr>
      </w:pPr>
      <w:r w:rsidRPr="0097659C">
        <w:rPr>
          <w:szCs w:val="24"/>
          <w:lang w:val="en-US" w:eastAsia="de-AT"/>
        </w:rPr>
        <w:t xml:space="preserve">Wines without a geographical indication (in Austria: </w:t>
      </w:r>
      <w:proofErr w:type="spellStart"/>
      <w:r w:rsidRPr="0097659C">
        <w:rPr>
          <w:i/>
          <w:iCs/>
          <w:szCs w:val="24"/>
          <w:lang w:val="en-US" w:eastAsia="de-AT"/>
        </w:rPr>
        <w:t>Tafelwein</w:t>
      </w:r>
      <w:proofErr w:type="spellEnd"/>
      <w:r w:rsidRPr="0097659C">
        <w:rPr>
          <w:szCs w:val="24"/>
          <w:lang w:val="en-US" w:eastAsia="de-AT"/>
        </w:rPr>
        <w:t xml:space="preserve">): No further designation of origin is permitted. Austrian wine (made from Austrian grapes) or wine from several countries of the European Union (made from grapes from several countries of the EU). </w:t>
      </w:r>
    </w:p>
    <w:p w14:paraId="2C0831E6" w14:textId="77777777" w:rsidR="00C24B62" w:rsidRPr="0097659C" w:rsidRDefault="00C24B62" w:rsidP="00C24B62">
      <w:pPr>
        <w:overflowPunct/>
        <w:autoSpaceDE/>
        <w:autoSpaceDN/>
        <w:adjustRightInd/>
        <w:spacing w:line="276" w:lineRule="auto"/>
        <w:jc w:val="both"/>
        <w:textAlignment w:val="auto"/>
        <w:rPr>
          <w:szCs w:val="24"/>
          <w:lang w:val="en-US" w:eastAsia="de-AT"/>
        </w:rPr>
      </w:pPr>
      <w:r w:rsidRPr="0097659C">
        <w:rPr>
          <w:szCs w:val="24"/>
          <w:lang w:val="en-US" w:eastAsia="de-AT"/>
        </w:rPr>
        <w:t>Generic wines and specific wines with or without DAC (</w:t>
      </w:r>
      <w:proofErr w:type="spellStart"/>
      <w:r w:rsidRPr="0097659C">
        <w:rPr>
          <w:i/>
          <w:iCs/>
          <w:szCs w:val="24"/>
          <w:lang w:val="en-US" w:eastAsia="de-AT"/>
        </w:rPr>
        <w:t>Districtus</w:t>
      </w:r>
      <w:proofErr w:type="spellEnd"/>
      <w:r w:rsidRPr="0097659C">
        <w:rPr>
          <w:i/>
          <w:iCs/>
          <w:szCs w:val="24"/>
          <w:lang w:val="en-US" w:eastAsia="de-AT"/>
        </w:rPr>
        <w:t xml:space="preserve"> </w:t>
      </w:r>
      <w:proofErr w:type="spellStart"/>
      <w:r w:rsidRPr="0097659C">
        <w:rPr>
          <w:i/>
          <w:iCs/>
          <w:szCs w:val="24"/>
          <w:lang w:val="en-US" w:eastAsia="de-AT"/>
        </w:rPr>
        <w:t>Austriae</w:t>
      </w:r>
      <w:proofErr w:type="spellEnd"/>
      <w:r w:rsidRPr="0097659C">
        <w:rPr>
          <w:i/>
          <w:iCs/>
          <w:szCs w:val="24"/>
          <w:lang w:val="en-US" w:eastAsia="de-AT"/>
        </w:rPr>
        <w:t xml:space="preserve"> </w:t>
      </w:r>
      <w:proofErr w:type="spellStart"/>
      <w:r w:rsidRPr="0097659C">
        <w:rPr>
          <w:i/>
          <w:iCs/>
          <w:szCs w:val="24"/>
          <w:lang w:val="en-US" w:eastAsia="de-AT"/>
        </w:rPr>
        <w:t>Controlatus</w:t>
      </w:r>
      <w:proofErr w:type="spellEnd"/>
      <w:r w:rsidRPr="0097659C">
        <w:rPr>
          <w:szCs w:val="24"/>
          <w:lang w:val="en-US" w:eastAsia="de-AT"/>
        </w:rPr>
        <w:t xml:space="preserve">) status can be marketed as quality wines in Austria. Generic and specific quality wines are equivalent in terms of quality. The difference lies in the origin. Quality wines from generic regions bear the name of the federal state (e.g. Burgenland, Lower Austria), whereas specific regions (e.g. Wachau, </w:t>
      </w:r>
      <w:proofErr w:type="spellStart"/>
      <w:r w:rsidRPr="0097659C">
        <w:rPr>
          <w:szCs w:val="24"/>
          <w:lang w:val="en-US" w:eastAsia="de-AT"/>
        </w:rPr>
        <w:t>Südsteiermark</w:t>
      </w:r>
      <w:proofErr w:type="spellEnd"/>
      <w:r w:rsidRPr="0097659C">
        <w:rPr>
          <w:szCs w:val="24"/>
          <w:lang w:val="en-US" w:eastAsia="de-AT"/>
        </w:rPr>
        <w:t>) are located within the generic regions. Quality wine from specific regions are DAC wines. The specific regions have laid down in their own regulations the conditions under which wine with their designation of origin may be marketed. These regulations concern, for example, restrictions on grape varieties, the earliest date for submitting the test number and the permitted indication of narrower origins. If a quality wine from a specific region does not comply with the DAC regulations, it may only be marketed under the designation of origin of the generic region (Weiß 2024, personal communication). In order for a region to apply for a DAC – status for a quality wine in a specific region, the regional wine committee (</w:t>
      </w:r>
      <w:r w:rsidRPr="0097659C">
        <w:rPr>
          <w:i/>
          <w:iCs/>
          <w:szCs w:val="24"/>
          <w:lang w:val="en-US" w:eastAsia="de-AT"/>
        </w:rPr>
        <w:t xml:space="preserve">in Burgenland: </w:t>
      </w:r>
      <w:proofErr w:type="spellStart"/>
      <w:r w:rsidRPr="0097659C">
        <w:rPr>
          <w:i/>
          <w:iCs/>
          <w:szCs w:val="24"/>
          <w:lang w:val="en-US" w:eastAsia="de-AT"/>
        </w:rPr>
        <w:t>Regionales</w:t>
      </w:r>
      <w:proofErr w:type="spellEnd"/>
      <w:r w:rsidRPr="0097659C">
        <w:rPr>
          <w:i/>
          <w:iCs/>
          <w:szCs w:val="24"/>
          <w:lang w:val="en-US" w:eastAsia="de-AT"/>
        </w:rPr>
        <w:t xml:space="preserve"> </w:t>
      </w:r>
      <w:proofErr w:type="spellStart"/>
      <w:r w:rsidRPr="0097659C">
        <w:rPr>
          <w:i/>
          <w:iCs/>
          <w:szCs w:val="24"/>
          <w:lang w:val="en-US" w:eastAsia="de-AT"/>
        </w:rPr>
        <w:t>Weinkomitee</w:t>
      </w:r>
      <w:proofErr w:type="spellEnd"/>
      <w:r w:rsidRPr="0097659C">
        <w:rPr>
          <w:i/>
          <w:iCs/>
          <w:szCs w:val="24"/>
          <w:lang w:val="en-US" w:eastAsia="de-AT"/>
        </w:rPr>
        <w:t xml:space="preserve"> </w:t>
      </w:r>
      <w:proofErr w:type="spellStart"/>
      <w:r w:rsidRPr="0097659C">
        <w:rPr>
          <w:i/>
          <w:iCs/>
          <w:szCs w:val="24"/>
          <w:lang w:val="en-US" w:eastAsia="de-AT"/>
        </w:rPr>
        <w:t>Burgenlnad</w:t>
      </w:r>
      <w:proofErr w:type="spellEnd"/>
      <w:r w:rsidRPr="0097659C">
        <w:rPr>
          <w:szCs w:val="24"/>
          <w:lang w:val="en-US" w:eastAsia="de-AT"/>
        </w:rPr>
        <w:t xml:space="preserve">) must define the typicity of </w:t>
      </w:r>
      <w:r w:rsidRPr="0097659C">
        <w:rPr>
          <w:szCs w:val="24"/>
          <w:lang w:val="en-US" w:eastAsia="de-AT"/>
        </w:rPr>
        <w:lastRenderedPageBreak/>
        <w:t xml:space="preserve">the region. Once a consensus has been reached, a draft regulation is drawn up in collaboration with experts from the Ministry of Agriculture, the Chamber of Agriculture, the Chamber of Commerce and the Austrian Wine Marketing Association and submitted to the National Wine Committee. The National Wine Committee submits the final application to the Ministry of Agriculture. If the application is elevated to the status of a law, its typical wine of origin is labeled with the name of the region and the addition DAC (i.e. </w:t>
      </w:r>
      <w:r w:rsidRPr="0097659C">
        <w:rPr>
          <w:i/>
          <w:iCs/>
          <w:szCs w:val="24"/>
          <w:lang w:val="en-US" w:eastAsia="de-AT"/>
        </w:rPr>
        <w:t>Wachau DAC</w:t>
      </w:r>
      <w:r w:rsidRPr="0097659C">
        <w:rPr>
          <w:szCs w:val="24"/>
          <w:lang w:val="en-US" w:eastAsia="de-AT"/>
        </w:rPr>
        <w:t>) (Österreich Wein Marketing GmbH</w:t>
      </w:r>
      <w:r>
        <w:rPr>
          <w:szCs w:val="24"/>
          <w:lang w:val="en-US" w:eastAsia="de-AT"/>
        </w:rPr>
        <w:t xml:space="preserve"> </w:t>
      </w:r>
      <w:r w:rsidRPr="0097659C">
        <w:rPr>
          <w:szCs w:val="24"/>
          <w:lang w:val="en-US" w:eastAsia="de-AT"/>
        </w:rPr>
        <w:t>2024; RIS 2023). Generic and specific wines with or without DAC meet the EU requirements for wines with a PDO (RIS, 2023). In Austria, DAC wine production is divided into 18 DAC regions, where factors such as adherence to processing techniques prescribed by the regional wine committee are controlled (Österreich Wein Marketing GmbH 2024; RIS 202</w:t>
      </w:r>
      <w:r>
        <w:rPr>
          <w:szCs w:val="24"/>
          <w:lang w:val="en-US" w:eastAsia="de-AT"/>
        </w:rPr>
        <w:t>3</w:t>
      </w:r>
      <w:r w:rsidRPr="0097659C">
        <w:rPr>
          <w:szCs w:val="24"/>
          <w:lang w:val="en-US" w:eastAsia="de-AT"/>
        </w:rPr>
        <w:t>; Karlik et al. 2018</w:t>
      </w:r>
      <w:r w:rsidRPr="0097659C">
        <w:rPr>
          <w:lang w:val="en-US"/>
        </w:rPr>
        <w:t>)</w:t>
      </w:r>
      <w:r w:rsidRPr="0097659C">
        <w:rPr>
          <w:szCs w:val="24"/>
          <w:lang w:val="en-US" w:eastAsia="de-AT"/>
        </w:rPr>
        <w:t xml:space="preserve">. In the year 2025, almost all of Burgenland´s territory lies within one of the six DAC regions: </w:t>
      </w:r>
      <w:proofErr w:type="spellStart"/>
      <w:r w:rsidRPr="0097659C">
        <w:rPr>
          <w:szCs w:val="24"/>
          <w:lang w:val="en-US" w:eastAsia="de-AT"/>
        </w:rPr>
        <w:t>Neusiedlersee</w:t>
      </w:r>
      <w:proofErr w:type="spellEnd"/>
      <w:r w:rsidRPr="0097659C">
        <w:rPr>
          <w:szCs w:val="24"/>
          <w:lang w:val="en-US" w:eastAsia="de-AT"/>
        </w:rPr>
        <w:t xml:space="preserve"> DAC lies within </w:t>
      </w:r>
      <w:proofErr w:type="spellStart"/>
      <w:r w:rsidRPr="0097659C">
        <w:rPr>
          <w:szCs w:val="24"/>
          <w:lang w:val="en-US" w:eastAsia="de-AT"/>
        </w:rPr>
        <w:t>Neusiedlersee</w:t>
      </w:r>
      <w:proofErr w:type="spellEnd"/>
      <w:r w:rsidRPr="0097659C">
        <w:rPr>
          <w:szCs w:val="24"/>
          <w:lang w:val="en-US" w:eastAsia="de-AT"/>
        </w:rPr>
        <w:t xml:space="preserve"> wine-growing region (5959,39 ha), </w:t>
      </w:r>
      <w:proofErr w:type="spellStart"/>
      <w:r w:rsidRPr="0097659C">
        <w:rPr>
          <w:szCs w:val="24"/>
          <w:lang w:val="en-US" w:eastAsia="de-AT"/>
        </w:rPr>
        <w:t>Leithaberg</w:t>
      </w:r>
      <w:proofErr w:type="spellEnd"/>
      <w:r w:rsidRPr="0097659C">
        <w:rPr>
          <w:szCs w:val="24"/>
          <w:lang w:val="en-US" w:eastAsia="de-AT"/>
        </w:rPr>
        <w:t xml:space="preserve"> DAC and Ruster </w:t>
      </w:r>
      <w:proofErr w:type="spellStart"/>
      <w:r w:rsidRPr="0097659C">
        <w:rPr>
          <w:szCs w:val="24"/>
          <w:lang w:val="en-US" w:eastAsia="de-AT"/>
        </w:rPr>
        <w:t>Ausbruch</w:t>
      </w:r>
      <w:proofErr w:type="spellEnd"/>
      <w:r w:rsidRPr="0097659C">
        <w:rPr>
          <w:szCs w:val="24"/>
          <w:lang w:val="en-US" w:eastAsia="de-AT"/>
        </w:rPr>
        <w:t xml:space="preserve"> DAC lies within </w:t>
      </w:r>
      <w:proofErr w:type="spellStart"/>
      <w:r w:rsidRPr="0097659C">
        <w:rPr>
          <w:szCs w:val="24"/>
          <w:lang w:val="en-US" w:eastAsia="de-AT"/>
        </w:rPr>
        <w:t>Leithaberg</w:t>
      </w:r>
      <w:proofErr w:type="spellEnd"/>
      <w:r w:rsidRPr="0097659C">
        <w:rPr>
          <w:szCs w:val="24"/>
          <w:lang w:val="en-US" w:eastAsia="de-AT"/>
        </w:rPr>
        <w:t xml:space="preserve"> wine-growing region (2955,23 ha), </w:t>
      </w:r>
      <w:proofErr w:type="spellStart"/>
      <w:r w:rsidRPr="0097659C">
        <w:rPr>
          <w:szCs w:val="24"/>
          <w:lang w:val="en-US" w:eastAsia="de-AT"/>
        </w:rPr>
        <w:t>Mittelburgenland</w:t>
      </w:r>
      <w:proofErr w:type="spellEnd"/>
      <w:r w:rsidRPr="0097659C">
        <w:rPr>
          <w:szCs w:val="24"/>
          <w:lang w:val="en-US" w:eastAsia="de-AT"/>
        </w:rPr>
        <w:t xml:space="preserve"> DAC lies within </w:t>
      </w:r>
      <w:proofErr w:type="spellStart"/>
      <w:r w:rsidRPr="0097659C">
        <w:rPr>
          <w:szCs w:val="24"/>
          <w:lang w:val="en-US" w:eastAsia="de-AT"/>
        </w:rPr>
        <w:t>Mittelburgenland</w:t>
      </w:r>
      <w:proofErr w:type="spellEnd"/>
      <w:r w:rsidRPr="0097659C">
        <w:rPr>
          <w:szCs w:val="24"/>
          <w:lang w:val="en-US" w:eastAsia="de-AT"/>
        </w:rPr>
        <w:t xml:space="preserve"> wine-growing region (2026,06 ha), Eisenberg DAC lies within Eisenberg wine-growing region (525,16 ha) and Rosalia DAC lies within Rosalia wine-growing region (227,64 ha) (RIS 202</w:t>
      </w:r>
      <w:r>
        <w:rPr>
          <w:szCs w:val="24"/>
          <w:lang w:val="en-US" w:eastAsia="de-AT"/>
        </w:rPr>
        <w:t>3</w:t>
      </w:r>
      <w:r w:rsidRPr="0097659C">
        <w:rPr>
          <w:szCs w:val="24"/>
          <w:lang w:val="en-US" w:eastAsia="de-AT"/>
        </w:rPr>
        <w:t xml:space="preserve">; </w:t>
      </w:r>
      <w:proofErr w:type="spellStart"/>
      <w:r w:rsidRPr="0097659C">
        <w:rPr>
          <w:szCs w:val="24"/>
          <w:lang w:val="en-US" w:eastAsia="de-AT"/>
        </w:rPr>
        <w:t>Tomšík</w:t>
      </w:r>
      <w:proofErr w:type="spellEnd"/>
      <w:r w:rsidRPr="0097659C">
        <w:rPr>
          <w:szCs w:val="24"/>
          <w:lang w:val="en-US" w:eastAsia="de-AT"/>
        </w:rPr>
        <w:t xml:space="preserve"> and Prokeš 2011; Karlik et al. 2018; </w:t>
      </w:r>
      <w:proofErr w:type="spellStart"/>
      <w:r w:rsidRPr="0097659C">
        <w:rPr>
          <w:szCs w:val="24"/>
          <w:lang w:val="en-US" w:eastAsia="de-AT"/>
        </w:rPr>
        <w:t>Statistik</w:t>
      </w:r>
      <w:proofErr w:type="spellEnd"/>
      <w:r w:rsidRPr="0097659C">
        <w:rPr>
          <w:szCs w:val="24"/>
          <w:lang w:val="en-US" w:eastAsia="de-AT"/>
        </w:rPr>
        <w:t xml:space="preserve"> Austria 2024</w:t>
      </w:r>
      <w:r>
        <w:rPr>
          <w:szCs w:val="24"/>
          <w:lang w:val="en-US" w:eastAsia="de-AT"/>
        </w:rPr>
        <w:t xml:space="preserve">; </w:t>
      </w:r>
      <w:r w:rsidRPr="0097659C">
        <w:rPr>
          <w:szCs w:val="24"/>
          <w:lang w:val="en-US" w:eastAsia="de-AT"/>
        </w:rPr>
        <w:t>Österreich Wein Marketing GmbH 2025</w:t>
      </w:r>
      <w:r>
        <w:rPr>
          <w:szCs w:val="24"/>
          <w:lang w:val="en-US" w:eastAsia="de-AT"/>
        </w:rPr>
        <w:t xml:space="preserve">; </w:t>
      </w:r>
      <w:r w:rsidRPr="0097659C">
        <w:rPr>
          <w:szCs w:val="24"/>
          <w:lang w:val="en-US" w:eastAsia="de-AT"/>
        </w:rPr>
        <w:t>Weiß, 2025, personal communication).</w:t>
      </w:r>
    </w:p>
    <w:p w14:paraId="1B6EFF07" w14:textId="77777777" w:rsidR="00203114" w:rsidRPr="0097659C" w:rsidRDefault="00203114" w:rsidP="00203114">
      <w:pPr>
        <w:rPr>
          <w:lang w:val="en-US"/>
        </w:rPr>
      </w:pPr>
    </w:p>
    <w:p w14:paraId="4BA3114D" w14:textId="77777777" w:rsidR="00DE38C7" w:rsidRPr="0097659C" w:rsidRDefault="00DE38C7">
      <w:pPr>
        <w:overflowPunct/>
        <w:autoSpaceDE/>
        <w:autoSpaceDN/>
        <w:adjustRightInd/>
        <w:spacing w:after="0"/>
        <w:textAlignment w:val="auto"/>
        <w:rPr>
          <w:i/>
          <w:iCs/>
          <w:lang w:val="en-US"/>
        </w:rPr>
      </w:pPr>
      <w:r w:rsidRPr="0097659C">
        <w:rPr>
          <w:i/>
          <w:iCs/>
          <w:lang w:val="en-US"/>
        </w:rPr>
        <w:br w:type="page"/>
      </w:r>
    </w:p>
    <w:p w14:paraId="1AF154F8" w14:textId="2FBBE9EE" w:rsidR="00F7633D" w:rsidRPr="0097659C" w:rsidRDefault="00DE38C7" w:rsidP="0097659C">
      <w:pPr>
        <w:pStyle w:val="berschrift1"/>
        <w:rPr>
          <w:lang w:val="en-US"/>
        </w:rPr>
      </w:pPr>
      <w:r w:rsidRPr="0097659C">
        <w:rPr>
          <w:lang w:val="en-US"/>
        </w:rPr>
        <w:lastRenderedPageBreak/>
        <w:t xml:space="preserve">Annex </w:t>
      </w:r>
      <w:r w:rsidR="008D592C">
        <w:rPr>
          <w:lang w:val="en-US"/>
        </w:rPr>
        <w:t>2</w:t>
      </w:r>
      <w:r w:rsidRPr="0097659C">
        <w:rPr>
          <w:lang w:val="en-US"/>
        </w:rPr>
        <w:t xml:space="preserve">: </w:t>
      </w:r>
      <w:r w:rsidR="0097659C" w:rsidRPr="0097659C">
        <w:rPr>
          <w:lang w:val="en-US"/>
        </w:rPr>
        <w:t>Criteria for obtaining the “</w:t>
      </w:r>
      <w:proofErr w:type="spellStart"/>
      <w:r w:rsidR="0097659C" w:rsidRPr="0097659C">
        <w:rPr>
          <w:lang w:val="en-US"/>
        </w:rPr>
        <w:t>Nachhaltig</w:t>
      </w:r>
      <w:proofErr w:type="spellEnd"/>
      <w:r w:rsidR="0097659C" w:rsidRPr="0097659C">
        <w:rPr>
          <w:lang w:val="en-US"/>
        </w:rPr>
        <w:t xml:space="preserve"> Austria” seal for Austrian conventional viticulture farmers</w:t>
      </w:r>
    </w:p>
    <w:p w14:paraId="5599F1BD" w14:textId="0EF65396" w:rsidR="00DE38C7" w:rsidRPr="0097659C" w:rsidRDefault="00DE38C7" w:rsidP="00F7633D">
      <w:pPr>
        <w:rPr>
          <w:szCs w:val="40"/>
          <w:lang w:val="en-US"/>
        </w:rPr>
      </w:pPr>
      <w:r w:rsidRPr="0097659C">
        <w:rPr>
          <w:lang w:val="en-US"/>
        </w:rPr>
        <w:t>Austrian conventional viticulture farmers have the opportunity to achieve a label called “</w:t>
      </w:r>
      <w:proofErr w:type="spellStart"/>
      <w:r w:rsidRPr="0097659C">
        <w:rPr>
          <w:lang w:val="en-US"/>
        </w:rPr>
        <w:t>Nachhaltig</w:t>
      </w:r>
      <w:proofErr w:type="spellEnd"/>
      <w:r w:rsidRPr="0097659C">
        <w:rPr>
          <w:lang w:val="en-US"/>
        </w:rPr>
        <w:t xml:space="preserve"> Austria” based upon a conventional private certification scheme after an external audit. To achieve the certificate, the entire production process from the vineyard management to bottling is analyzed for its contribution to sustainability in terms of ecological, economic and social aspects (</w:t>
      </w:r>
      <w:proofErr w:type="spellStart"/>
      <w:r w:rsidRPr="0097659C">
        <w:rPr>
          <w:lang w:val="en-US"/>
        </w:rPr>
        <w:t>Österreichischer</w:t>
      </w:r>
      <w:proofErr w:type="spellEnd"/>
      <w:r w:rsidRPr="0097659C">
        <w:rPr>
          <w:lang w:val="en-US"/>
        </w:rPr>
        <w:t xml:space="preserve"> </w:t>
      </w:r>
      <w:proofErr w:type="spellStart"/>
      <w:r w:rsidRPr="0097659C">
        <w:rPr>
          <w:lang w:val="en-US"/>
        </w:rPr>
        <w:t>Weinbauverband</w:t>
      </w:r>
      <w:proofErr w:type="spellEnd"/>
      <w:r w:rsidRPr="0097659C">
        <w:rPr>
          <w:lang w:val="en-US"/>
        </w:rPr>
        <w:t>, 2019).</w:t>
      </w:r>
    </w:p>
    <w:p w14:paraId="5E12E283" w14:textId="4CB3EDA5" w:rsidR="004202B7" w:rsidRPr="0097659C" w:rsidRDefault="00F7633D" w:rsidP="00DE38C7">
      <w:pPr>
        <w:rPr>
          <w:lang w:val="en-US"/>
        </w:rPr>
      </w:pPr>
      <w:r w:rsidRPr="0097659C">
        <w:rPr>
          <w:lang w:val="en-US"/>
        </w:rPr>
        <w:t xml:space="preserve">Evaluation categories include: </w:t>
      </w:r>
    </w:p>
    <w:p w14:paraId="0627733A" w14:textId="3EF784BE" w:rsidR="00F7633D" w:rsidRPr="0097659C" w:rsidRDefault="00F7633D" w:rsidP="00DE38C7">
      <w:pPr>
        <w:rPr>
          <w:i/>
          <w:iCs/>
          <w:lang w:val="en-US"/>
        </w:rPr>
      </w:pPr>
      <w:r w:rsidRPr="0097659C">
        <w:rPr>
          <w:i/>
          <w:iCs/>
          <w:lang w:val="en-US"/>
        </w:rPr>
        <w:t>In ecology</w:t>
      </w:r>
      <w:r w:rsidR="0097659C" w:rsidRPr="0097659C">
        <w:rPr>
          <w:i/>
          <w:iCs/>
          <w:lang w:val="en-US"/>
        </w:rPr>
        <w:t xml:space="preserve"> aspects</w:t>
      </w:r>
    </w:p>
    <w:p w14:paraId="64953F8D" w14:textId="70C97136" w:rsidR="00F7633D" w:rsidRPr="0097659C" w:rsidRDefault="00F7633D" w:rsidP="00F7633D">
      <w:pPr>
        <w:pStyle w:val="Listenabsatz"/>
        <w:numPr>
          <w:ilvl w:val="0"/>
          <w:numId w:val="3"/>
        </w:numPr>
        <w:rPr>
          <w:lang w:val="en-US"/>
        </w:rPr>
      </w:pPr>
      <w:r w:rsidRPr="0097659C">
        <w:rPr>
          <w:lang w:val="en-US"/>
        </w:rPr>
        <w:t>Production of grapes</w:t>
      </w:r>
    </w:p>
    <w:p w14:paraId="26D994DA" w14:textId="6D90D843" w:rsidR="00F7633D" w:rsidRPr="0097659C" w:rsidRDefault="00F7633D" w:rsidP="00F7633D">
      <w:pPr>
        <w:pStyle w:val="Listenabsatz"/>
        <w:numPr>
          <w:ilvl w:val="0"/>
          <w:numId w:val="3"/>
        </w:numPr>
        <w:rPr>
          <w:lang w:val="en-US"/>
        </w:rPr>
      </w:pPr>
      <w:r w:rsidRPr="0097659C">
        <w:rPr>
          <w:lang w:val="en-US"/>
        </w:rPr>
        <w:t xml:space="preserve">Production of wine </w:t>
      </w:r>
    </w:p>
    <w:p w14:paraId="7AC69055" w14:textId="1EA2555E" w:rsidR="00F7633D" w:rsidRPr="0097659C" w:rsidRDefault="00F7633D" w:rsidP="00F7633D">
      <w:pPr>
        <w:pStyle w:val="Listenabsatz"/>
        <w:numPr>
          <w:ilvl w:val="0"/>
          <w:numId w:val="3"/>
        </w:numPr>
        <w:rPr>
          <w:lang w:val="en-US"/>
        </w:rPr>
      </w:pPr>
      <w:r w:rsidRPr="0097659C">
        <w:rPr>
          <w:lang w:val="en-US"/>
        </w:rPr>
        <w:t>Planting and maintenance of vineyards</w:t>
      </w:r>
    </w:p>
    <w:p w14:paraId="3FA38585" w14:textId="25A7AD56" w:rsidR="00F7633D" w:rsidRPr="0097659C" w:rsidRDefault="00F7633D" w:rsidP="00F7633D">
      <w:pPr>
        <w:rPr>
          <w:i/>
          <w:iCs/>
          <w:lang w:val="en-US"/>
        </w:rPr>
      </w:pPr>
      <w:r w:rsidRPr="0097659C">
        <w:rPr>
          <w:i/>
          <w:iCs/>
          <w:lang w:val="en-US"/>
        </w:rPr>
        <w:t>In economy</w:t>
      </w:r>
      <w:r w:rsidR="0097659C" w:rsidRPr="0097659C">
        <w:rPr>
          <w:i/>
          <w:iCs/>
          <w:lang w:val="en-US"/>
        </w:rPr>
        <w:t xml:space="preserve"> aspects</w:t>
      </w:r>
    </w:p>
    <w:p w14:paraId="46421826" w14:textId="4C23FAE5" w:rsidR="00F7633D" w:rsidRPr="0097659C" w:rsidRDefault="00F7633D" w:rsidP="00F7633D">
      <w:pPr>
        <w:pStyle w:val="Listenabsatz"/>
        <w:numPr>
          <w:ilvl w:val="0"/>
          <w:numId w:val="3"/>
        </w:numPr>
        <w:rPr>
          <w:lang w:val="en-US"/>
        </w:rPr>
      </w:pPr>
      <w:r w:rsidRPr="0097659C">
        <w:rPr>
          <w:lang w:val="en-US"/>
        </w:rPr>
        <w:t>Sustainable business management incorporating analyses, key figures, and inter-company machine utilization</w:t>
      </w:r>
    </w:p>
    <w:p w14:paraId="58025D7C" w14:textId="759680BF" w:rsidR="00F7633D" w:rsidRPr="0097659C" w:rsidRDefault="00F7633D" w:rsidP="00F7633D">
      <w:pPr>
        <w:pStyle w:val="Listenabsatz"/>
        <w:numPr>
          <w:ilvl w:val="0"/>
          <w:numId w:val="3"/>
        </w:numPr>
        <w:rPr>
          <w:lang w:val="en-US"/>
        </w:rPr>
      </w:pPr>
      <w:r w:rsidRPr="0097659C">
        <w:rPr>
          <w:lang w:val="en-US"/>
        </w:rPr>
        <w:t>Promotion of regional products</w:t>
      </w:r>
    </w:p>
    <w:p w14:paraId="16E59143" w14:textId="61B9F45B" w:rsidR="00F7633D" w:rsidRPr="0097659C" w:rsidRDefault="0097659C" w:rsidP="00F7633D">
      <w:pPr>
        <w:pStyle w:val="Listenabsatz"/>
        <w:numPr>
          <w:ilvl w:val="0"/>
          <w:numId w:val="3"/>
        </w:numPr>
        <w:rPr>
          <w:lang w:val="en-US"/>
        </w:rPr>
      </w:pPr>
      <w:r w:rsidRPr="0097659C">
        <w:rPr>
          <w:lang w:val="en-US"/>
        </w:rPr>
        <w:t>Contribution to economic sustainability</w:t>
      </w:r>
    </w:p>
    <w:p w14:paraId="7399FADE" w14:textId="5BD4152D" w:rsidR="0097659C" w:rsidRPr="0097659C" w:rsidRDefault="0097659C" w:rsidP="0097659C">
      <w:pPr>
        <w:rPr>
          <w:i/>
          <w:iCs/>
          <w:lang w:val="en-US"/>
        </w:rPr>
      </w:pPr>
      <w:r w:rsidRPr="0097659C">
        <w:rPr>
          <w:i/>
          <w:iCs/>
          <w:lang w:val="en-US"/>
        </w:rPr>
        <w:t>In social aspects</w:t>
      </w:r>
    </w:p>
    <w:p w14:paraId="35682E57" w14:textId="2CDE7358" w:rsidR="0097659C" w:rsidRPr="0097659C" w:rsidRDefault="0097659C" w:rsidP="0097659C">
      <w:pPr>
        <w:pStyle w:val="Listenabsatz"/>
        <w:numPr>
          <w:ilvl w:val="0"/>
          <w:numId w:val="3"/>
        </w:numPr>
        <w:rPr>
          <w:lang w:val="en-US"/>
        </w:rPr>
      </w:pPr>
      <w:r w:rsidRPr="0097659C">
        <w:rPr>
          <w:lang w:val="en-US"/>
        </w:rPr>
        <w:t>Protection of employees</w:t>
      </w:r>
    </w:p>
    <w:p w14:paraId="0F649677" w14:textId="07223E98" w:rsidR="0097659C" w:rsidRPr="0097659C" w:rsidRDefault="0097659C" w:rsidP="0097659C">
      <w:pPr>
        <w:pStyle w:val="Listenabsatz"/>
        <w:numPr>
          <w:ilvl w:val="0"/>
          <w:numId w:val="3"/>
        </w:numPr>
        <w:rPr>
          <w:lang w:val="en-US"/>
        </w:rPr>
      </w:pPr>
      <w:r w:rsidRPr="0097659C">
        <w:rPr>
          <w:lang w:val="en-US"/>
        </w:rPr>
        <w:t xml:space="preserve">Fair remuneration </w:t>
      </w:r>
    </w:p>
    <w:p w14:paraId="5FEEF167" w14:textId="2CDCBEB8" w:rsidR="0097659C" w:rsidRPr="0097659C" w:rsidRDefault="0097659C" w:rsidP="0097659C">
      <w:pPr>
        <w:pStyle w:val="Listenabsatz"/>
        <w:numPr>
          <w:ilvl w:val="0"/>
          <w:numId w:val="3"/>
        </w:numPr>
        <w:rPr>
          <w:lang w:val="en-US"/>
        </w:rPr>
      </w:pPr>
      <w:r w:rsidRPr="0097659C">
        <w:rPr>
          <w:lang w:val="en-US"/>
        </w:rPr>
        <w:t>Training and continuing education for employees (</w:t>
      </w:r>
      <w:proofErr w:type="spellStart"/>
      <w:r w:rsidRPr="0097659C">
        <w:rPr>
          <w:lang w:val="en-US"/>
        </w:rPr>
        <w:t>Österreichischer</w:t>
      </w:r>
      <w:proofErr w:type="spellEnd"/>
      <w:r w:rsidRPr="0097659C">
        <w:rPr>
          <w:lang w:val="en-US"/>
        </w:rPr>
        <w:t xml:space="preserve"> </w:t>
      </w:r>
      <w:proofErr w:type="spellStart"/>
      <w:r w:rsidRPr="0097659C">
        <w:rPr>
          <w:lang w:val="en-US"/>
        </w:rPr>
        <w:t>Weinbauverband</w:t>
      </w:r>
      <w:proofErr w:type="spellEnd"/>
      <w:r w:rsidRPr="0097659C">
        <w:rPr>
          <w:lang w:val="en-US"/>
        </w:rPr>
        <w:t xml:space="preserve"> 2019). </w:t>
      </w:r>
    </w:p>
    <w:p w14:paraId="3B32C868" w14:textId="77777777" w:rsidR="008D592C" w:rsidRDefault="008D592C">
      <w:pPr>
        <w:overflowPunct/>
        <w:autoSpaceDE/>
        <w:autoSpaceDN/>
        <w:adjustRightInd/>
        <w:spacing w:after="0"/>
        <w:textAlignment w:val="auto"/>
        <w:rPr>
          <w:rFonts w:eastAsiaTheme="majorEastAsia" w:cstheme="majorBidi"/>
          <w:i/>
          <w:color w:val="000000" w:themeColor="text1"/>
          <w:szCs w:val="40"/>
          <w:lang w:val="en-US"/>
        </w:rPr>
      </w:pPr>
      <w:r>
        <w:rPr>
          <w:lang w:val="en-US"/>
        </w:rPr>
        <w:br w:type="page"/>
      </w:r>
    </w:p>
    <w:p w14:paraId="6279F4B0" w14:textId="4C53B3F0" w:rsidR="00C24B62" w:rsidRPr="0097659C" w:rsidRDefault="00C24B62" w:rsidP="00C24B62">
      <w:pPr>
        <w:pStyle w:val="berschrift1"/>
        <w:rPr>
          <w:lang w:val="en-US"/>
        </w:rPr>
      </w:pPr>
      <w:r w:rsidRPr="0097659C">
        <w:rPr>
          <w:lang w:val="en-US"/>
        </w:rPr>
        <w:lastRenderedPageBreak/>
        <w:t xml:space="preserve">Annex </w:t>
      </w:r>
      <w:r w:rsidR="008D592C">
        <w:rPr>
          <w:lang w:val="en-US"/>
        </w:rPr>
        <w:t>3</w:t>
      </w:r>
      <w:r w:rsidRPr="0097659C">
        <w:rPr>
          <w:lang w:val="en-US"/>
        </w:rPr>
        <w:t>: Approved copper preparations in viti</w:t>
      </w:r>
      <w:r w:rsidR="00A57251">
        <w:rPr>
          <w:lang w:val="en-US"/>
        </w:rPr>
        <w:t>culture</w:t>
      </w:r>
      <w:r w:rsidRPr="0097659C">
        <w:rPr>
          <w:lang w:val="en-US"/>
        </w:rPr>
        <w:t xml:space="preserve"> farming (EU and Austria)</w:t>
      </w:r>
    </w:p>
    <w:p w14:paraId="7BACF78C" w14:textId="77777777" w:rsidR="00C24B62" w:rsidRPr="0097659C" w:rsidRDefault="00C24B62" w:rsidP="00C24B62">
      <w:pPr>
        <w:rPr>
          <w:lang w:val="en-US"/>
        </w:rPr>
      </w:pPr>
      <w:r w:rsidRPr="0097659C">
        <w:rPr>
          <w:lang w:val="en-US"/>
        </w:rPr>
        <w:t xml:space="preserve">For organic viticulture farming, the maximum copper application rate in the EU is limited to 28 kg per hectare of copper over a period of 7 years (an average of 4 kg per hectare and per year) (European Commission 2018). For Austria, the limit is 3 kg per ha and year. The following copper preparations are permitted for organic viticulture farming (Bio Austria 2024): </w:t>
      </w:r>
    </w:p>
    <w:p w14:paraId="35A1C07A" w14:textId="77777777" w:rsidR="00C24B62" w:rsidRPr="0097659C" w:rsidRDefault="00C24B62" w:rsidP="00C24B62">
      <w:pPr>
        <w:pStyle w:val="Listenabsatz"/>
        <w:numPr>
          <w:ilvl w:val="0"/>
          <w:numId w:val="2"/>
        </w:numPr>
        <w:rPr>
          <w:lang w:val="en-US"/>
        </w:rPr>
      </w:pPr>
      <w:r w:rsidRPr="0097659C">
        <w:rPr>
          <w:lang w:val="en-US"/>
        </w:rPr>
        <w:t xml:space="preserve">Copper </w:t>
      </w:r>
      <w:proofErr w:type="spellStart"/>
      <w:r w:rsidRPr="0097659C">
        <w:rPr>
          <w:lang w:val="en-US"/>
        </w:rPr>
        <w:t>hydroxid</w:t>
      </w:r>
      <w:proofErr w:type="spellEnd"/>
    </w:p>
    <w:p w14:paraId="1961E383" w14:textId="77777777" w:rsidR="00C24B62" w:rsidRPr="0097659C" w:rsidRDefault="00C24B62" w:rsidP="00C24B62">
      <w:pPr>
        <w:pStyle w:val="Listenabsatz"/>
        <w:numPr>
          <w:ilvl w:val="0"/>
          <w:numId w:val="2"/>
        </w:numPr>
        <w:rPr>
          <w:lang w:val="en-US"/>
        </w:rPr>
      </w:pPr>
      <w:r w:rsidRPr="0097659C">
        <w:rPr>
          <w:lang w:val="en-US"/>
        </w:rPr>
        <w:t xml:space="preserve">Copper </w:t>
      </w:r>
      <w:proofErr w:type="spellStart"/>
      <w:r w:rsidRPr="0097659C">
        <w:rPr>
          <w:lang w:val="en-US"/>
        </w:rPr>
        <w:t>oxylchlorid</w:t>
      </w:r>
      <w:proofErr w:type="spellEnd"/>
    </w:p>
    <w:p w14:paraId="5B61CE3D" w14:textId="77777777" w:rsidR="00C24B62" w:rsidRPr="0097659C" w:rsidRDefault="00C24B62" w:rsidP="00C24B62">
      <w:pPr>
        <w:pStyle w:val="Listenabsatz"/>
        <w:numPr>
          <w:ilvl w:val="0"/>
          <w:numId w:val="2"/>
        </w:numPr>
        <w:rPr>
          <w:lang w:val="en-US"/>
        </w:rPr>
      </w:pPr>
      <w:r w:rsidRPr="0097659C">
        <w:rPr>
          <w:lang w:val="en-US"/>
        </w:rPr>
        <w:t xml:space="preserve">Copper </w:t>
      </w:r>
      <w:proofErr w:type="spellStart"/>
      <w:r w:rsidRPr="0097659C">
        <w:rPr>
          <w:lang w:val="en-US"/>
        </w:rPr>
        <w:t>oxid</w:t>
      </w:r>
      <w:proofErr w:type="spellEnd"/>
    </w:p>
    <w:p w14:paraId="5231D619" w14:textId="77777777" w:rsidR="00C24B62" w:rsidRPr="0097659C" w:rsidRDefault="00C24B62" w:rsidP="00C24B62">
      <w:pPr>
        <w:pStyle w:val="Listenabsatz"/>
        <w:numPr>
          <w:ilvl w:val="0"/>
          <w:numId w:val="2"/>
        </w:numPr>
        <w:rPr>
          <w:lang w:val="en-US"/>
        </w:rPr>
      </w:pPr>
      <w:r w:rsidRPr="0097659C">
        <w:rPr>
          <w:lang w:val="en-US"/>
        </w:rPr>
        <w:t xml:space="preserve">Copper lime solution </w:t>
      </w:r>
    </w:p>
    <w:p w14:paraId="5CEF520D" w14:textId="77777777" w:rsidR="00C24B62" w:rsidRPr="0097659C" w:rsidRDefault="00C24B62" w:rsidP="00C24B62">
      <w:pPr>
        <w:pStyle w:val="Listenabsatz"/>
        <w:numPr>
          <w:ilvl w:val="0"/>
          <w:numId w:val="2"/>
        </w:numPr>
        <w:rPr>
          <w:lang w:val="en-US"/>
        </w:rPr>
      </w:pPr>
      <w:r w:rsidRPr="0097659C">
        <w:rPr>
          <w:lang w:val="en-US"/>
        </w:rPr>
        <w:t>Copper sulfate tetrahydrate</w:t>
      </w:r>
    </w:p>
    <w:p w14:paraId="7780C912" w14:textId="2B8D56E3" w:rsidR="0097659C" w:rsidRDefault="0097659C">
      <w:pPr>
        <w:overflowPunct/>
        <w:autoSpaceDE/>
        <w:autoSpaceDN/>
        <w:adjustRightInd/>
        <w:spacing w:after="0"/>
        <w:textAlignment w:val="auto"/>
      </w:pPr>
      <w:r>
        <w:br w:type="page"/>
      </w:r>
    </w:p>
    <w:p w14:paraId="684B0539" w14:textId="7C1D75F3" w:rsidR="0097659C" w:rsidRPr="0097659C" w:rsidRDefault="0097659C" w:rsidP="0097659C">
      <w:pPr>
        <w:pStyle w:val="berschrift1"/>
        <w:rPr>
          <w:i w:val="0"/>
          <w:iCs/>
        </w:rPr>
      </w:pPr>
      <w:r w:rsidRPr="0097659C">
        <w:rPr>
          <w:i w:val="0"/>
          <w:iCs/>
        </w:rPr>
        <w:lastRenderedPageBreak/>
        <w:t xml:space="preserve">References </w:t>
      </w:r>
    </w:p>
    <w:p w14:paraId="70B666A6" w14:textId="4BA334DB" w:rsidR="0097659C" w:rsidRPr="0097659C" w:rsidRDefault="0097659C" w:rsidP="0097659C">
      <w:pPr>
        <w:rPr>
          <w:sz w:val="20"/>
          <w:lang w:val="en-US"/>
        </w:rPr>
      </w:pPr>
      <w:r w:rsidRPr="00D079E0">
        <w:rPr>
          <w:sz w:val="20"/>
          <w:lang w:val="en-US"/>
        </w:rPr>
        <w:t xml:space="preserve">Bio Austria (2024) </w:t>
      </w:r>
      <w:proofErr w:type="spellStart"/>
      <w:r w:rsidRPr="00D079E0">
        <w:rPr>
          <w:sz w:val="20"/>
          <w:lang w:val="en-US"/>
        </w:rPr>
        <w:t>Richtlinien</w:t>
      </w:r>
      <w:proofErr w:type="spellEnd"/>
      <w:r w:rsidRPr="00D079E0">
        <w:rPr>
          <w:sz w:val="20"/>
          <w:lang w:val="en-US"/>
        </w:rPr>
        <w:t xml:space="preserve"> für die Produktion. Available at </w:t>
      </w:r>
      <w:hyperlink r:id="rId7" w:history="1">
        <w:r w:rsidRPr="00D079E0">
          <w:rPr>
            <w:rStyle w:val="Hyperlink"/>
            <w:rFonts w:eastAsiaTheme="majorEastAsia"/>
            <w:sz w:val="20"/>
            <w:lang w:val="en-US"/>
          </w:rPr>
          <w:t>www.bio-austria.at</w:t>
        </w:r>
      </w:hyperlink>
      <w:r w:rsidRPr="00D079E0">
        <w:rPr>
          <w:lang w:val="en-US"/>
        </w:rPr>
        <w:t xml:space="preserve">. </w:t>
      </w:r>
      <w:r w:rsidRPr="00D079E0">
        <w:rPr>
          <w:sz w:val="20"/>
          <w:lang w:val="en-US"/>
        </w:rPr>
        <w:t>Accessed 10 October 2024</w:t>
      </w:r>
    </w:p>
    <w:p w14:paraId="3DC4C552" w14:textId="0E3281D9" w:rsidR="0097659C" w:rsidRDefault="0097659C" w:rsidP="00DB5919">
      <w:pPr>
        <w:jc w:val="both"/>
        <w:rPr>
          <w:sz w:val="20"/>
          <w:lang w:val="en-US"/>
        </w:rPr>
      </w:pPr>
      <w:r w:rsidRPr="00D079E0">
        <w:rPr>
          <w:sz w:val="20"/>
          <w:lang w:val="en-US"/>
        </w:rPr>
        <w:t>Council of the European Union (2013) Regulation (EU) 1308/2013 of the European Parliament and of the Council of 17 December 2013 establishing a common organization of the markets in agriculture products and repealing Council Regulations (EEC) No 922/72, (EEC) No 234/79, (EC) No 1037/2001 and (EC) No 1234/2007. Official Journal of the European Union, L 347:671-854.</w:t>
      </w:r>
      <w:r>
        <w:rPr>
          <w:sz w:val="20"/>
          <w:lang w:val="en-US"/>
        </w:rPr>
        <w:t xml:space="preserve"> </w:t>
      </w:r>
      <w:hyperlink r:id="rId8" w:history="1">
        <w:r w:rsidRPr="00D079E0">
          <w:rPr>
            <w:rStyle w:val="Hyperlink"/>
            <w:sz w:val="20"/>
            <w:lang w:val="en-US"/>
          </w:rPr>
          <w:t>https://eur-lex.europa.eu/legal-content/EN/TXT/?uri=CELEX%3A32013R1308</w:t>
        </w:r>
      </w:hyperlink>
      <w:r w:rsidRPr="00D079E0">
        <w:rPr>
          <w:sz w:val="20"/>
          <w:lang w:val="en-US"/>
        </w:rPr>
        <w:t>. Accessed 15 October 2024</w:t>
      </w:r>
      <w:r w:rsidR="00DB5919">
        <w:rPr>
          <w:sz w:val="20"/>
          <w:lang w:val="en-US"/>
        </w:rPr>
        <w:t>.</w:t>
      </w:r>
    </w:p>
    <w:p w14:paraId="545D4F17" w14:textId="2143B6B3" w:rsidR="0097659C" w:rsidRDefault="0097659C" w:rsidP="0097659C">
      <w:pPr>
        <w:rPr>
          <w:sz w:val="20"/>
        </w:rPr>
      </w:pPr>
      <w:r w:rsidRPr="00BF70AD">
        <w:rPr>
          <w:sz w:val="20"/>
          <w:lang w:val="en-US"/>
        </w:rPr>
        <w:t>European Commission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 Official Journal of</w:t>
      </w:r>
      <w:r>
        <w:rPr>
          <w:sz w:val="20"/>
          <w:lang w:val="en-US"/>
        </w:rPr>
        <w:t xml:space="preserve"> </w:t>
      </w:r>
      <w:r w:rsidRPr="00BF70AD">
        <w:rPr>
          <w:sz w:val="20"/>
          <w:lang w:val="en-US"/>
        </w:rPr>
        <w:t xml:space="preserve"> </w:t>
      </w:r>
      <w:r>
        <w:rPr>
          <w:sz w:val="20"/>
          <w:lang w:val="en-US"/>
        </w:rPr>
        <w:t>t</w:t>
      </w:r>
      <w:r w:rsidRPr="00BF70AD">
        <w:rPr>
          <w:sz w:val="20"/>
          <w:lang w:val="en-US"/>
        </w:rPr>
        <w:t>he European Union, L317:16-20.</w:t>
      </w:r>
      <w:r>
        <w:rPr>
          <w:sz w:val="20"/>
          <w:lang w:val="en-US"/>
        </w:rPr>
        <w:t xml:space="preserve"> </w:t>
      </w:r>
      <w:hyperlink r:id="rId9" w:history="1">
        <w:r w:rsidRPr="00BF70AD">
          <w:rPr>
            <w:rStyle w:val="Hyperlink"/>
            <w:sz w:val="20"/>
            <w:lang w:val="en-US"/>
          </w:rPr>
          <w:t>http://data.europa.eu/eli/reg_impl/2018/1981/oj</w:t>
        </w:r>
      </w:hyperlink>
      <w:r w:rsidRPr="00BF70AD">
        <w:rPr>
          <w:sz w:val="20"/>
          <w:lang w:val="en-US"/>
        </w:rPr>
        <w:t>. Accessed</w:t>
      </w:r>
      <w:r>
        <w:rPr>
          <w:sz w:val="20"/>
        </w:rPr>
        <w:t xml:space="preserve"> 23 Sept 2025. </w:t>
      </w:r>
    </w:p>
    <w:p w14:paraId="2ED2B984" w14:textId="2F3C907F" w:rsidR="00DB5919" w:rsidRDefault="00DB5919" w:rsidP="0097659C">
      <w:r w:rsidRPr="00D079E0">
        <w:rPr>
          <w:iCs/>
          <w:sz w:val="20"/>
          <w:lang w:val="en-US"/>
        </w:rPr>
        <w:t xml:space="preserve">Karlik L, Marián G, </w:t>
      </w:r>
      <w:proofErr w:type="spellStart"/>
      <w:r w:rsidRPr="00D079E0">
        <w:rPr>
          <w:iCs/>
          <w:sz w:val="20"/>
          <w:lang w:val="en-US"/>
        </w:rPr>
        <w:t>Falťan</w:t>
      </w:r>
      <w:proofErr w:type="spellEnd"/>
      <w:r w:rsidRPr="00D079E0">
        <w:rPr>
          <w:iCs/>
          <w:sz w:val="20"/>
          <w:lang w:val="en-US"/>
        </w:rPr>
        <w:t xml:space="preserve"> V, Havlíček M (2018) Vineyard zonation based on natural terroir factors using multivariate statistics – Case study Burgenland (Austria). OENO ONE 52(2). </w:t>
      </w:r>
      <w:hyperlink r:id="rId10" w:history="1">
        <w:r w:rsidRPr="00986B54">
          <w:rPr>
            <w:rStyle w:val="Hyperlink"/>
            <w:sz w:val="20"/>
            <w:lang w:val="en-US"/>
          </w:rPr>
          <w:t>https://doi.org/10.20870/oeno-one.2018.52.2.1907</w:t>
        </w:r>
      </w:hyperlink>
    </w:p>
    <w:p w14:paraId="74CB580D" w14:textId="35C24C7F" w:rsidR="00DB5919" w:rsidRPr="00DB5919" w:rsidRDefault="00DB5919" w:rsidP="0097659C">
      <w:pPr>
        <w:rPr>
          <w:sz w:val="20"/>
          <w:lang w:val="en-US"/>
        </w:rPr>
      </w:pPr>
      <w:proofErr w:type="spellStart"/>
      <w:r w:rsidRPr="00D079E0">
        <w:rPr>
          <w:sz w:val="20"/>
          <w:lang w:val="en-US"/>
        </w:rPr>
        <w:t>Österreichischer</w:t>
      </w:r>
      <w:proofErr w:type="spellEnd"/>
      <w:r w:rsidRPr="00D079E0">
        <w:rPr>
          <w:sz w:val="20"/>
          <w:lang w:val="en-US"/>
        </w:rPr>
        <w:t xml:space="preserve"> </w:t>
      </w:r>
      <w:proofErr w:type="spellStart"/>
      <w:r w:rsidRPr="00D079E0">
        <w:rPr>
          <w:sz w:val="20"/>
          <w:lang w:val="en-US"/>
        </w:rPr>
        <w:t>Weinbauverband</w:t>
      </w:r>
      <w:proofErr w:type="spellEnd"/>
      <w:r w:rsidRPr="00D079E0">
        <w:rPr>
          <w:sz w:val="20"/>
          <w:lang w:val="en-US"/>
        </w:rPr>
        <w:t xml:space="preserve"> (2019) „</w:t>
      </w:r>
      <w:proofErr w:type="spellStart"/>
      <w:r w:rsidRPr="00D079E0">
        <w:rPr>
          <w:sz w:val="20"/>
          <w:lang w:val="en-US"/>
        </w:rPr>
        <w:t>Nachhaltig</w:t>
      </w:r>
      <w:proofErr w:type="spellEnd"/>
      <w:r w:rsidRPr="00D079E0">
        <w:rPr>
          <w:sz w:val="20"/>
          <w:lang w:val="en-US"/>
        </w:rPr>
        <w:t xml:space="preserve"> Austria“ </w:t>
      </w:r>
      <w:proofErr w:type="spellStart"/>
      <w:r w:rsidRPr="00D079E0">
        <w:rPr>
          <w:sz w:val="20"/>
          <w:lang w:val="en-US"/>
        </w:rPr>
        <w:t>nachhaltig</w:t>
      </w:r>
      <w:proofErr w:type="spellEnd"/>
      <w:r w:rsidRPr="00D079E0">
        <w:rPr>
          <w:sz w:val="20"/>
          <w:lang w:val="en-US"/>
        </w:rPr>
        <w:t xml:space="preserve"> </w:t>
      </w:r>
      <w:proofErr w:type="spellStart"/>
      <w:r w:rsidRPr="00D079E0">
        <w:rPr>
          <w:sz w:val="20"/>
          <w:lang w:val="en-US"/>
        </w:rPr>
        <w:t>zukunftsfit</w:t>
      </w:r>
      <w:proofErr w:type="spellEnd"/>
      <w:r w:rsidRPr="00D079E0">
        <w:rPr>
          <w:sz w:val="20"/>
          <w:lang w:val="en-US"/>
        </w:rPr>
        <w:t xml:space="preserve">. Das </w:t>
      </w:r>
      <w:proofErr w:type="spellStart"/>
      <w:r w:rsidRPr="00D079E0">
        <w:rPr>
          <w:sz w:val="20"/>
          <w:lang w:val="en-US"/>
        </w:rPr>
        <w:t>neue</w:t>
      </w:r>
      <w:proofErr w:type="spellEnd"/>
      <w:r w:rsidRPr="00D079E0">
        <w:rPr>
          <w:sz w:val="20"/>
          <w:lang w:val="en-US"/>
        </w:rPr>
        <w:t xml:space="preserve"> </w:t>
      </w:r>
      <w:proofErr w:type="spellStart"/>
      <w:r w:rsidRPr="00D079E0">
        <w:rPr>
          <w:sz w:val="20"/>
          <w:lang w:val="en-US"/>
        </w:rPr>
        <w:t>Gütesiegel</w:t>
      </w:r>
      <w:proofErr w:type="spellEnd"/>
      <w:r w:rsidRPr="00D079E0">
        <w:rPr>
          <w:sz w:val="20"/>
          <w:lang w:val="en-US"/>
        </w:rPr>
        <w:t xml:space="preserve"> für </w:t>
      </w:r>
      <w:proofErr w:type="spellStart"/>
      <w:r w:rsidRPr="00D079E0">
        <w:rPr>
          <w:sz w:val="20"/>
          <w:lang w:val="en-US"/>
        </w:rPr>
        <w:t>nachhaltigen</w:t>
      </w:r>
      <w:proofErr w:type="spellEnd"/>
      <w:r w:rsidRPr="00D079E0">
        <w:rPr>
          <w:sz w:val="20"/>
          <w:lang w:val="en-US"/>
        </w:rPr>
        <w:t xml:space="preserve"> </w:t>
      </w:r>
      <w:proofErr w:type="spellStart"/>
      <w:r w:rsidRPr="00D079E0">
        <w:rPr>
          <w:sz w:val="20"/>
          <w:lang w:val="en-US"/>
        </w:rPr>
        <w:t>Weinbau</w:t>
      </w:r>
      <w:proofErr w:type="spellEnd"/>
      <w:r w:rsidRPr="00D079E0">
        <w:rPr>
          <w:sz w:val="20"/>
          <w:lang w:val="en-US"/>
        </w:rPr>
        <w:t xml:space="preserve">. Vienna, Austria. </w:t>
      </w:r>
      <w:hyperlink r:id="rId11" w:history="1">
        <w:r w:rsidRPr="00D079E0">
          <w:rPr>
            <w:rStyle w:val="Hyperlink"/>
            <w:sz w:val="20"/>
            <w:lang w:val="en-US"/>
          </w:rPr>
          <w:t>https://www.nachhaltigaustria.at/wp-content/uploads/2019/10/Nachhaltigkeits_Folder_Winzer.pdf</w:t>
        </w:r>
      </w:hyperlink>
      <w:r w:rsidRPr="00D079E0">
        <w:rPr>
          <w:lang w:val="en-US"/>
        </w:rPr>
        <w:t>.</w:t>
      </w:r>
      <w:r w:rsidRPr="00D079E0">
        <w:rPr>
          <w:sz w:val="20"/>
          <w:lang w:val="en-US"/>
        </w:rPr>
        <w:t xml:space="preserve"> Accessed 20 March 2025. </w:t>
      </w:r>
    </w:p>
    <w:p w14:paraId="31A6292B" w14:textId="565669C8" w:rsidR="00DB5919" w:rsidRPr="00DB5919" w:rsidRDefault="00DB5919" w:rsidP="0097659C">
      <w:pPr>
        <w:rPr>
          <w:sz w:val="20"/>
          <w:lang w:val="en-US"/>
        </w:rPr>
      </w:pPr>
      <w:r>
        <w:rPr>
          <w:sz w:val="20"/>
          <w:lang w:val="en-US"/>
        </w:rPr>
        <w:t xml:space="preserve">Österreich Wein Marketing GmbH (2024) </w:t>
      </w:r>
      <w:proofErr w:type="spellStart"/>
      <w:r>
        <w:rPr>
          <w:sz w:val="20"/>
          <w:lang w:val="en-US"/>
        </w:rPr>
        <w:t>Weinkategorien</w:t>
      </w:r>
      <w:proofErr w:type="spellEnd"/>
      <w:r>
        <w:rPr>
          <w:sz w:val="20"/>
          <w:lang w:val="en-US"/>
        </w:rPr>
        <w:t xml:space="preserve"> </w:t>
      </w:r>
      <w:proofErr w:type="spellStart"/>
      <w:r>
        <w:rPr>
          <w:sz w:val="20"/>
          <w:lang w:val="en-US"/>
        </w:rPr>
        <w:t>nach</w:t>
      </w:r>
      <w:proofErr w:type="spellEnd"/>
      <w:r>
        <w:rPr>
          <w:sz w:val="20"/>
          <w:lang w:val="en-US"/>
        </w:rPr>
        <w:t xml:space="preserve"> </w:t>
      </w:r>
      <w:proofErr w:type="spellStart"/>
      <w:r>
        <w:rPr>
          <w:sz w:val="20"/>
          <w:lang w:val="en-US"/>
        </w:rPr>
        <w:t>Herkunft</w:t>
      </w:r>
      <w:proofErr w:type="spellEnd"/>
      <w:r>
        <w:rPr>
          <w:sz w:val="20"/>
          <w:lang w:val="en-US"/>
        </w:rPr>
        <w:t xml:space="preserve">. Österreich Wein, Wien Österreich. </w:t>
      </w:r>
      <w:hyperlink r:id="rId12" w:history="1">
        <w:r w:rsidRPr="001A3B54">
          <w:rPr>
            <w:rStyle w:val="Hyperlink"/>
            <w:sz w:val="20"/>
            <w:lang w:val="en-US"/>
          </w:rPr>
          <w:t>https://www.oesterreichwein.at/unser-wein/das-weingesetz/weinkategorien-nach-herkunft</w:t>
        </w:r>
      </w:hyperlink>
      <w:r>
        <w:rPr>
          <w:sz w:val="20"/>
          <w:lang w:val="en-US"/>
        </w:rPr>
        <w:t xml:space="preserve">. Accessed 20 October 2024. </w:t>
      </w:r>
    </w:p>
    <w:p w14:paraId="57A7435B" w14:textId="42AC1502" w:rsidR="0097659C" w:rsidRDefault="0097659C" w:rsidP="0097659C">
      <w:pPr>
        <w:rPr>
          <w:sz w:val="20"/>
          <w:lang w:val="en-US"/>
        </w:rPr>
      </w:pPr>
      <w:r>
        <w:rPr>
          <w:sz w:val="20"/>
          <w:lang w:val="en-US"/>
        </w:rPr>
        <w:t xml:space="preserve">Österreich Wein Marketing GmbH (2025) </w:t>
      </w:r>
      <w:proofErr w:type="spellStart"/>
      <w:r>
        <w:rPr>
          <w:sz w:val="20"/>
          <w:lang w:val="en-US"/>
        </w:rPr>
        <w:t>Dokumentation</w:t>
      </w:r>
      <w:proofErr w:type="spellEnd"/>
      <w:r>
        <w:rPr>
          <w:sz w:val="20"/>
          <w:lang w:val="en-US"/>
        </w:rPr>
        <w:t xml:space="preserve"> Österreich Wein. Stand 02. Mai. 2025. Österreich Wein. Wien, Österreich. </w:t>
      </w:r>
      <w:hyperlink r:id="rId13" w:history="1">
        <w:r w:rsidRPr="001A3B54">
          <w:rPr>
            <w:rStyle w:val="Hyperlink"/>
            <w:sz w:val="20"/>
            <w:lang w:val="en-US"/>
          </w:rPr>
          <w:t>https://www.oesterreichwein.at/fileadmin/user_upload/PDF/Doku/Dokumentation_OEsterreich_Wein_Gesamtdokument.pdf</w:t>
        </w:r>
      </w:hyperlink>
      <w:r>
        <w:rPr>
          <w:sz w:val="20"/>
          <w:lang w:val="en-US"/>
        </w:rPr>
        <w:t>. Accessed 08 July 2025</w:t>
      </w:r>
      <w:r w:rsidR="00DB5919">
        <w:rPr>
          <w:sz w:val="20"/>
          <w:lang w:val="en-US"/>
        </w:rPr>
        <w:t>.</w:t>
      </w:r>
    </w:p>
    <w:p w14:paraId="2B1E19DA" w14:textId="3B90D649" w:rsidR="0097659C" w:rsidRDefault="0097659C" w:rsidP="0097659C">
      <w:pPr>
        <w:rPr>
          <w:sz w:val="20"/>
          <w:lang w:val="en-US"/>
        </w:rPr>
      </w:pPr>
      <w:r w:rsidRPr="00D079E0">
        <w:rPr>
          <w:sz w:val="20"/>
          <w:lang w:val="en-US"/>
        </w:rPr>
        <w:t xml:space="preserve">RIS (2023): Gesamte </w:t>
      </w:r>
      <w:proofErr w:type="spellStart"/>
      <w:r w:rsidRPr="00D079E0">
        <w:rPr>
          <w:sz w:val="20"/>
          <w:lang w:val="en-US"/>
        </w:rPr>
        <w:t>Rechtsvorschrift</w:t>
      </w:r>
      <w:proofErr w:type="spellEnd"/>
      <w:r w:rsidRPr="00D079E0">
        <w:rPr>
          <w:sz w:val="20"/>
          <w:lang w:val="en-US"/>
        </w:rPr>
        <w:t xml:space="preserve"> für </w:t>
      </w:r>
      <w:proofErr w:type="spellStart"/>
      <w:r w:rsidRPr="00D079E0">
        <w:rPr>
          <w:sz w:val="20"/>
          <w:lang w:val="en-US"/>
        </w:rPr>
        <w:t>Weingesetz</w:t>
      </w:r>
      <w:proofErr w:type="spellEnd"/>
      <w:r w:rsidRPr="00D079E0">
        <w:rPr>
          <w:sz w:val="20"/>
          <w:lang w:val="en-US"/>
        </w:rPr>
        <w:t xml:space="preserve"> 2009, </w:t>
      </w:r>
      <w:proofErr w:type="spellStart"/>
      <w:r w:rsidRPr="00D079E0">
        <w:rPr>
          <w:sz w:val="20"/>
          <w:lang w:val="en-US"/>
        </w:rPr>
        <w:t>Fassung</w:t>
      </w:r>
      <w:proofErr w:type="spellEnd"/>
      <w:r w:rsidRPr="00D079E0">
        <w:rPr>
          <w:sz w:val="20"/>
          <w:lang w:val="en-US"/>
        </w:rPr>
        <w:t xml:space="preserve"> </w:t>
      </w:r>
      <w:proofErr w:type="spellStart"/>
      <w:r w:rsidRPr="00D079E0">
        <w:rPr>
          <w:sz w:val="20"/>
          <w:lang w:val="en-US"/>
        </w:rPr>
        <w:t>vom</w:t>
      </w:r>
      <w:proofErr w:type="spellEnd"/>
      <w:r w:rsidRPr="00D079E0">
        <w:rPr>
          <w:sz w:val="20"/>
          <w:lang w:val="en-US"/>
        </w:rPr>
        <w:t xml:space="preserve"> 22.07.2023. </w:t>
      </w:r>
      <w:hyperlink r:id="rId14" w:history="1">
        <w:r w:rsidRPr="00D06475">
          <w:rPr>
            <w:rStyle w:val="Hyperlink"/>
            <w:sz w:val="20"/>
            <w:lang w:val="en-US"/>
          </w:rPr>
          <w:t>http://www.bundeskellereiinspektion.at/downloads/allgemein/weingesetz2009.pdf</w:t>
        </w:r>
      </w:hyperlink>
      <w:r w:rsidRPr="00D079E0">
        <w:rPr>
          <w:sz w:val="20"/>
          <w:lang w:val="en-US"/>
        </w:rPr>
        <w:t xml:space="preserve">. </w:t>
      </w:r>
      <w:r>
        <w:rPr>
          <w:sz w:val="20"/>
          <w:lang w:val="en-US"/>
        </w:rPr>
        <w:t xml:space="preserve">Accessed </w:t>
      </w:r>
      <w:r w:rsidR="00DB5919">
        <w:rPr>
          <w:sz w:val="20"/>
          <w:lang w:val="en-US"/>
        </w:rPr>
        <w:t xml:space="preserve">20 October 2024. </w:t>
      </w:r>
    </w:p>
    <w:p w14:paraId="4DA23D55" w14:textId="1FB7D52E" w:rsidR="00DB5919" w:rsidRDefault="00DB5919" w:rsidP="0097659C">
      <w:pPr>
        <w:rPr>
          <w:sz w:val="20"/>
          <w:lang w:val="en-US"/>
        </w:rPr>
      </w:pPr>
      <w:proofErr w:type="spellStart"/>
      <w:r w:rsidRPr="00D079E0">
        <w:rPr>
          <w:sz w:val="20"/>
          <w:lang w:val="en-US"/>
        </w:rPr>
        <w:t>Statistik</w:t>
      </w:r>
      <w:proofErr w:type="spellEnd"/>
      <w:r w:rsidRPr="00D079E0">
        <w:rPr>
          <w:sz w:val="20"/>
          <w:lang w:val="en-US"/>
        </w:rPr>
        <w:t xml:space="preserve"> Austria (2024) </w:t>
      </w:r>
      <w:proofErr w:type="spellStart"/>
      <w:r w:rsidRPr="00D079E0">
        <w:rPr>
          <w:sz w:val="20"/>
          <w:lang w:val="en-US"/>
        </w:rPr>
        <w:t>Weinernte</w:t>
      </w:r>
      <w:proofErr w:type="spellEnd"/>
      <w:r w:rsidRPr="00D079E0">
        <w:rPr>
          <w:sz w:val="20"/>
          <w:lang w:val="en-US"/>
        </w:rPr>
        <w:t xml:space="preserve"> und </w:t>
      </w:r>
      <w:proofErr w:type="spellStart"/>
      <w:r w:rsidRPr="00D079E0">
        <w:rPr>
          <w:sz w:val="20"/>
          <w:lang w:val="en-US"/>
        </w:rPr>
        <w:t>Weinbestand</w:t>
      </w:r>
      <w:proofErr w:type="spellEnd"/>
      <w:r w:rsidRPr="00D079E0">
        <w:rPr>
          <w:sz w:val="20"/>
          <w:lang w:val="en-US"/>
        </w:rPr>
        <w:t xml:space="preserve">. </w:t>
      </w:r>
      <w:proofErr w:type="spellStart"/>
      <w:r w:rsidRPr="00D079E0">
        <w:rPr>
          <w:sz w:val="20"/>
          <w:lang w:val="en-US"/>
        </w:rPr>
        <w:t>Kalenderjahr</w:t>
      </w:r>
      <w:proofErr w:type="spellEnd"/>
      <w:r w:rsidRPr="00D079E0">
        <w:rPr>
          <w:sz w:val="20"/>
          <w:lang w:val="en-US"/>
        </w:rPr>
        <w:t xml:space="preserve"> 2023. </w:t>
      </w:r>
      <w:proofErr w:type="spellStart"/>
      <w:r w:rsidRPr="00D079E0">
        <w:rPr>
          <w:sz w:val="20"/>
          <w:lang w:val="en-US"/>
        </w:rPr>
        <w:t>Endgültige</w:t>
      </w:r>
      <w:proofErr w:type="spellEnd"/>
      <w:r w:rsidRPr="00D079E0">
        <w:rPr>
          <w:sz w:val="20"/>
          <w:lang w:val="en-US"/>
        </w:rPr>
        <w:t xml:space="preserve"> </w:t>
      </w:r>
      <w:proofErr w:type="spellStart"/>
      <w:r w:rsidRPr="00D079E0">
        <w:rPr>
          <w:sz w:val="20"/>
          <w:lang w:val="en-US"/>
        </w:rPr>
        <w:t>Ergebnisse</w:t>
      </w:r>
      <w:proofErr w:type="spellEnd"/>
      <w:r w:rsidRPr="00D079E0">
        <w:rPr>
          <w:sz w:val="20"/>
          <w:lang w:val="en-US"/>
        </w:rPr>
        <w:t xml:space="preserve">. </w:t>
      </w:r>
      <w:hyperlink r:id="rId15" w:history="1">
        <w:r w:rsidRPr="00D06475">
          <w:rPr>
            <w:rStyle w:val="Hyperlink"/>
            <w:rFonts w:eastAsiaTheme="majorEastAsia"/>
            <w:sz w:val="20"/>
            <w:lang w:val="en-US"/>
          </w:rPr>
          <w:t>https://www.statistik.at/fileadmin/user_upload/SB_1-15-WeinernteUndBestand2023.pdf</w:t>
        </w:r>
        <w:r w:rsidRPr="00D06475">
          <w:rPr>
            <w:rStyle w:val="Hyperlink"/>
            <w:sz w:val="20"/>
            <w:lang w:val="en-US"/>
          </w:rPr>
          <w:t>. Accessed 03 March 2024</w:t>
        </w:r>
      </w:hyperlink>
      <w:r>
        <w:rPr>
          <w:sz w:val="20"/>
          <w:lang w:val="en-US"/>
        </w:rPr>
        <w:t xml:space="preserve">. </w:t>
      </w:r>
    </w:p>
    <w:p w14:paraId="54DBC1A7" w14:textId="77189B5F" w:rsidR="00DB5919" w:rsidRPr="00D079E0" w:rsidRDefault="00DB5919" w:rsidP="00DB5919">
      <w:pPr>
        <w:rPr>
          <w:sz w:val="20"/>
          <w:lang w:val="en-US"/>
        </w:rPr>
      </w:pPr>
      <w:proofErr w:type="spellStart"/>
      <w:r w:rsidRPr="00D079E0">
        <w:rPr>
          <w:sz w:val="20"/>
          <w:lang w:val="en-US"/>
        </w:rPr>
        <w:t>Tomšík</w:t>
      </w:r>
      <w:proofErr w:type="spellEnd"/>
      <w:r w:rsidRPr="00D079E0">
        <w:rPr>
          <w:sz w:val="20"/>
          <w:lang w:val="en-US"/>
        </w:rPr>
        <w:t xml:space="preserve"> P, Prokeš M (2011) New strategic alliances of wine producers in the Czech Republic. Agricultural Economics 57(12):573-579. </w:t>
      </w:r>
      <w:hyperlink r:id="rId16" w:history="1">
        <w:r w:rsidRPr="00D079E0">
          <w:rPr>
            <w:rStyle w:val="Hyperlink"/>
            <w:sz w:val="20"/>
            <w:lang w:val="en-US"/>
          </w:rPr>
          <w:t>https://doi.org/10.17221/183/2011-AGRICECON</w:t>
        </w:r>
      </w:hyperlink>
      <w:r>
        <w:t xml:space="preserve">. </w:t>
      </w:r>
    </w:p>
    <w:p w14:paraId="435FFF8E" w14:textId="77777777" w:rsidR="00DB5919" w:rsidRPr="00D079E0" w:rsidRDefault="00DB5919" w:rsidP="0097659C">
      <w:pPr>
        <w:rPr>
          <w:sz w:val="20"/>
          <w:lang w:val="en-US"/>
        </w:rPr>
      </w:pPr>
    </w:p>
    <w:p w14:paraId="0A599E64" w14:textId="77777777" w:rsidR="0097659C" w:rsidRPr="00D079E0" w:rsidRDefault="0097659C" w:rsidP="0097659C">
      <w:pPr>
        <w:rPr>
          <w:sz w:val="20"/>
          <w:lang w:val="en-US"/>
        </w:rPr>
      </w:pPr>
    </w:p>
    <w:p w14:paraId="201819EC" w14:textId="77777777" w:rsidR="0097659C" w:rsidRPr="0026204B" w:rsidRDefault="0097659C" w:rsidP="0097659C">
      <w:pPr>
        <w:rPr>
          <w:sz w:val="20"/>
        </w:rPr>
      </w:pPr>
    </w:p>
    <w:p w14:paraId="21DE5564" w14:textId="77777777" w:rsidR="0097659C" w:rsidRPr="0097659C" w:rsidRDefault="0097659C" w:rsidP="0097659C"/>
    <w:p w14:paraId="2C251623" w14:textId="77777777" w:rsidR="0097659C" w:rsidRPr="0097659C" w:rsidRDefault="0097659C" w:rsidP="0097659C">
      <w:pPr>
        <w:rPr>
          <w:i/>
          <w:iCs/>
        </w:rPr>
      </w:pPr>
    </w:p>
    <w:sectPr w:rsidR="0097659C" w:rsidRPr="0097659C">
      <w:footerReference w:type="even"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43B8F" w14:textId="77777777" w:rsidR="00FC5395" w:rsidRDefault="00FC5395" w:rsidP="00DB5919">
      <w:pPr>
        <w:spacing w:after="0"/>
      </w:pPr>
      <w:r>
        <w:separator/>
      </w:r>
    </w:p>
  </w:endnote>
  <w:endnote w:type="continuationSeparator" w:id="0">
    <w:p w14:paraId="0C9CF3D2" w14:textId="77777777" w:rsidR="00FC5395" w:rsidRDefault="00FC5395" w:rsidP="00DB59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729920363"/>
      <w:docPartObj>
        <w:docPartGallery w:val="Page Numbers (Bottom of Page)"/>
        <w:docPartUnique/>
      </w:docPartObj>
    </w:sdtPr>
    <w:sdtContent>
      <w:p w14:paraId="3B53DEB5" w14:textId="075EB2EA" w:rsidR="00DB5919" w:rsidRDefault="00DB5919" w:rsidP="00D064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fldChar w:fldCharType="end"/>
        </w:r>
      </w:p>
    </w:sdtContent>
  </w:sdt>
  <w:p w14:paraId="79FB5E0C" w14:textId="77777777" w:rsidR="00DB5919" w:rsidRDefault="00DB5919" w:rsidP="00DB59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05311934"/>
      <w:docPartObj>
        <w:docPartGallery w:val="Page Numbers (Bottom of Page)"/>
        <w:docPartUnique/>
      </w:docPartObj>
    </w:sdtPr>
    <w:sdtContent>
      <w:p w14:paraId="423D90B9" w14:textId="29316FCA" w:rsidR="00DB5919" w:rsidRDefault="00DB5919" w:rsidP="00D0647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22C387CD" w14:textId="77777777" w:rsidR="00DB5919" w:rsidRDefault="00DB5919" w:rsidP="00DB59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1CF33" w14:textId="77777777" w:rsidR="00FC5395" w:rsidRDefault="00FC5395" w:rsidP="00DB5919">
      <w:pPr>
        <w:spacing w:after="0"/>
      </w:pPr>
      <w:r>
        <w:separator/>
      </w:r>
    </w:p>
  </w:footnote>
  <w:footnote w:type="continuationSeparator" w:id="0">
    <w:p w14:paraId="52408F00" w14:textId="77777777" w:rsidR="00FC5395" w:rsidRDefault="00FC5395" w:rsidP="00DB59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4B4308"/>
    <w:multiLevelType w:val="hybridMultilevel"/>
    <w:tmpl w:val="47BC7B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5347137"/>
    <w:multiLevelType w:val="hybridMultilevel"/>
    <w:tmpl w:val="35822D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F695F28"/>
    <w:multiLevelType w:val="hybridMultilevel"/>
    <w:tmpl w:val="A4106604"/>
    <w:lvl w:ilvl="0" w:tplc="AF9A570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476BCA"/>
    <w:multiLevelType w:val="hybridMultilevel"/>
    <w:tmpl w:val="FD36C146"/>
    <w:lvl w:ilvl="0" w:tplc="E2DA642A">
      <w:start w:val="1"/>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426337">
    <w:abstractNumId w:val="0"/>
  </w:num>
  <w:num w:numId="2" w16cid:durableId="1870411648">
    <w:abstractNumId w:val="3"/>
  </w:num>
  <w:num w:numId="3" w16cid:durableId="751657992">
    <w:abstractNumId w:val="2"/>
  </w:num>
  <w:num w:numId="4" w16cid:durableId="457653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B7"/>
    <w:rsid w:val="00050C31"/>
    <w:rsid w:val="000C78AD"/>
    <w:rsid w:val="000D4F6A"/>
    <w:rsid w:val="00120767"/>
    <w:rsid w:val="00203114"/>
    <w:rsid w:val="00331F87"/>
    <w:rsid w:val="003A34D1"/>
    <w:rsid w:val="004202B7"/>
    <w:rsid w:val="004D0084"/>
    <w:rsid w:val="004E448E"/>
    <w:rsid w:val="00505E1A"/>
    <w:rsid w:val="005B61C8"/>
    <w:rsid w:val="005C6236"/>
    <w:rsid w:val="005D183C"/>
    <w:rsid w:val="00626F1C"/>
    <w:rsid w:val="00645EFF"/>
    <w:rsid w:val="006A2ECD"/>
    <w:rsid w:val="00733229"/>
    <w:rsid w:val="00746F6D"/>
    <w:rsid w:val="00775E91"/>
    <w:rsid w:val="008018A2"/>
    <w:rsid w:val="008020CD"/>
    <w:rsid w:val="008725B6"/>
    <w:rsid w:val="00883D02"/>
    <w:rsid w:val="00894DD5"/>
    <w:rsid w:val="008D592C"/>
    <w:rsid w:val="0097659C"/>
    <w:rsid w:val="009F0558"/>
    <w:rsid w:val="00A07D3C"/>
    <w:rsid w:val="00A57251"/>
    <w:rsid w:val="00A74784"/>
    <w:rsid w:val="00AC63E1"/>
    <w:rsid w:val="00B12837"/>
    <w:rsid w:val="00B3288F"/>
    <w:rsid w:val="00B57230"/>
    <w:rsid w:val="00C24B62"/>
    <w:rsid w:val="00CA603A"/>
    <w:rsid w:val="00D85CD7"/>
    <w:rsid w:val="00D91AD0"/>
    <w:rsid w:val="00DB5919"/>
    <w:rsid w:val="00DE38C7"/>
    <w:rsid w:val="00E51A53"/>
    <w:rsid w:val="00EB3DC9"/>
    <w:rsid w:val="00F7633D"/>
    <w:rsid w:val="00FC53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11217E4B"/>
  <w15:chartTrackingRefBased/>
  <w15:docId w15:val="{9ED38BAA-EBF7-974B-BEA4-60BD053C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02B7"/>
    <w:pPr>
      <w:overflowPunct w:val="0"/>
      <w:autoSpaceDE w:val="0"/>
      <w:autoSpaceDN w:val="0"/>
      <w:adjustRightInd w:val="0"/>
      <w:spacing w:after="120"/>
      <w:textAlignment w:val="baseline"/>
    </w:pPr>
    <w:rPr>
      <w:rFonts w:ascii="Times New Roman" w:eastAsia="Times New Roman" w:hAnsi="Times New Roman" w:cs="Times New Roman"/>
      <w:kern w:val="0"/>
      <w:szCs w:val="20"/>
      <w:lang w:val="de-DE" w:eastAsia="de-DE"/>
      <w14:ligatures w14:val="none"/>
    </w:rPr>
  </w:style>
  <w:style w:type="paragraph" w:styleId="berschrift1">
    <w:name w:val="heading 1"/>
    <w:basedOn w:val="Standard"/>
    <w:next w:val="Standard"/>
    <w:link w:val="berschrift1Zchn"/>
    <w:uiPriority w:val="9"/>
    <w:qFormat/>
    <w:rsid w:val="00DE38C7"/>
    <w:pPr>
      <w:keepNext/>
      <w:keepLines/>
      <w:spacing w:before="360" w:after="80"/>
      <w:outlineLvl w:val="0"/>
    </w:pPr>
    <w:rPr>
      <w:rFonts w:eastAsiaTheme="majorEastAsia" w:cstheme="majorBidi"/>
      <w:i/>
      <w:color w:val="000000" w:themeColor="text1"/>
      <w:szCs w:val="40"/>
    </w:rPr>
  </w:style>
  <w:style w:type="paragraph" w:styleId="berschrift2">
    <w:name w:val="heading 2"/>
    <w:basedOn w:val="Standard"/>
    <w:next w:val="Standard"/>
    <w:link w:val="berschrift2Zchn"/>
    <w:uiPriority w:val="9"/>
    <w:semiHidden/>
    <w:unhideWhenUsed/>
    <w:qFormat/>
    <w:rsid w:val="004202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4202B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4202B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4202B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4202B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202B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202B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202B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38C7"/>
    <w:rPr>
      <w:rFonts w:ascii="Times New Roman" w:eastAsiaTheme="majorEastAsia" w:hAnsi="Times New Roman" w:cstheme="majorBidi"/>
      <w:i/>
      <w:color w:val="000000" w:themeColor="text1"/>
      <w:kern w:val="0"/>
      <w:szCs w:val="40"/>
      <w:lang w:val="de-DE" w:eastAsia="de-DE"/>
      <w14:ligatures w14:val="none"/>
    </w:rPr>
  </w:style>
  <w:style w:type="character" w:customStyle="1" w:styleId="berschrift2Zchn">
    <w:name w:val="Überschrift 2 Zchn"/>
    <w:basedOn w:val="Absatz-Standardschriftart"/>
    <w:link w:val="berschrift2"/>
    <w:uiPriority w:val="9"/>
    <w:semiHidden/>
    <w:rsid w:val="004202B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4202B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4202B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4202B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4202B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202B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202B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202B7"/>
    <w:rPr>
      <w:rFonts w:eastAsiaTheme="majorEastAsia" w:cstheme="majorBidi"/>
      <w:color w:val="272727" w:themeColor="text1" w:themeTint="D8"/>
    </w:rPr>
  </w:style>
  <w:style w:type="paragraph" w:styleId="Titel">
    <w:name w:val="Title"/>
    <w:basedOn w:val="Standard"/>
    <w:next w:val="Standard"/>
    <w:link w:val="TitelZchn"/>
    <w:uiPriority w:val="10"/>
    <w:qFormat/>
    <w:rsid w:val="004202B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202B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202B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202B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202B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202B7"/>
    <w:rPr>
      <w:i/>
      <w:iCs/>
      <w:color w:val="404040" w:themeColor="text1" w:themeTint="BF"/>
    </w:rPr>
  </w:style>
  <w:style w:type="paragraph" w:styleId="Listenabsatz">
    <w:name w:val="List Paragraph"/>
    <w:basedOn w:val="Standard"/>
    <w:uiPriority w:val="34"/>
    <w:qFormat/>
    <w:rsid w:val="004202B7"/>
    <w:pPr>
      <w:ind w:left="720"/>
      <w:contextualSpacing/>
    </w:pPr>
  </w:style>
  <w:style w:type="character" w:styleId="IntensiveHervorhebung">
    <w:name w:val="Intense Emphasis"/>
    <w:basedOn w:val="Absatz-Standardschriftart"/>
    <w:uiPriority w:val="21"/>
    <w:qFormat/>
    <w:rsid w:val="004202B7"/>
    <w:rPr>
      <w:i/>
      <w:iCs/>
      <w:color w:val="2F5496" w:themeColor="accent1" w:themeShade="BF"/>
    </w:rPr>
  </w:style>
  <w:style w:type="paragraph" w:styleId="IntensivesZitat">
    <w:name w:val="Intense Quote"/>
    <w:basedOn w:val="Standard"/>
    <w:next w:val="Standard"/>
    <w:link w:val="IntensivesZitatZchn"/>
    <w:uiPriority w:val="30"/>
    <w:qFormat/>
    <w:rsid w:val="004202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4202B7"/>
    <w:rPr>
      <w:i/>
      <w:iCs/>
      <w:color w:val="2F5496" w:themeColor="accent1" w:themeShade="BF"/>
    </w:rPr>
  </w:style>
  <w:style w:type="character" w:styleId="IntensiverVerweis">
    <w:name w:val="Intense Reference"/>
    <w:basedOn w:val="Absatz-Standardschriftart"/>
    <w:uiPriority w:val="32"/>
    <w:qFormat/>
    <w:rsid w:val="004202B7"/>
    <w:rPr>
      <w:b/>
      <w:bCs/>
      <w:smallCaps/>
      <w:color w:val="2F5496" w:themeColor="accent1" w:themeShade="BF"/>
      <w:spacing w:val="5"/>
    </w:rPr>
  </w:style>
  <w:style w:type="character" w:styleId="Hyperlink">
    <w:name w:val="Hyperlink"/>
    <w:basedOn w:val="Absatz-Standardschriftart"/>
    <w:uiPriority w:val="99"/>
    <w:rsid w:val="00DE38C7"/>
    <w:rPr>
      <w:color w:val="0563C1" w:themeColor="hyperlink"/>
      <w:u w:val="single"/>
    </w:rPr>
  </w:style>
  <w:style w:type="character" w:styleId="Kommentarzeichen">
    <w:name w:val="annotation reference"/>
    <w:basedOn w:val="Absatz-Standardschriftart"/>
    <w:rsid w:val="00DE38C7"/>
    <w:rPr>
      <w:sz w:val="16"/>
      <w:szCs w:val="16"/>
    </w:rPr>
  </w:style>
  <w:style w:type="paragraph" w:styleId="Kommentartext">
    <w:name w:val="annotation text"/>
    <w:basedOn w:val="Standard"/>
    <w:link w:val="KommentartextZchn"/>
    <w:rsid w:val="00DE38C7"/>
    <w:rPr>
      <w:sz w:val="20"/>
    </w:rPr>
  </w:style>
  <w:style w:type="character" w:customStyle="1" w:styleId="KommentartextZchn">
    <w:name w:val="Kommentartext Zchn"/>
    <w:basedOn w:val="Absatz-Standardschriftart"/>
    <w:link w:val="Kommentartext"/>
    <w:rsid w:val="00DE38C7"/>
    <w:rPr>
      <w:rFonts w:ascii="Times New Roman" w:eastAsia="Times New Roman" w:hAnsi="Times New Roman" w:cs="Times New Roman"/>
      <w:kern w:val="0"/>
      <w:sz w:val="20"/>
      <w:szCs w:val="20"/>
      <w:lang w:val="de-DE" w:eastAsia="de-DE"/>
      <w14:ligatures w14:val="none"/>
    </w:rPr>
  </w:style>
  <w:style w:type="paragraph" w:styleId="StandardWeb">
    <w:name w:val="Normal (Web)"/>
    <w:basedOn w:val="Standard"/>
    <w:uiPriority w:val="99"/>
    <w:rsid w:val="00DE38C7"/>
    <w:pPr>
      <w:overflowPunct/>
      <w:autoSpaceDE/>
      <w:autoSpaceDN/>
      <w:adjustRightInd/>
      <w:spacing w:before="100" w:beforeAutospacing="1" w:after="100" w:afterAutospacing="1"/>
      <w:textAlignment w:val="auto"/>
    </w:pPr>
    <w:rPr>
      <w:szCs w:val="24"/>
    </w:rPr>
  </w:style>
  <w:style w:type="table" w:styleId="Tabellenraster">
    <w:name w:val="Table Grid"/>
    <w:basedOn w:val="NormaleTabelle"/>
    <w:uiPriority w:val="39"/>
    <w:rsid w:val="00F76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F763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763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F7633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F7633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BesuchterLink">
    <w:name w:val="FollowedHyperlink"/>
    <w:basedOn w:val="Absatz-Standardschriftart"/>
    <w:uiPriority w:val="99"/>
    <w:semiHidden/>
    <w:unhideWhenUsed/>
    <w:rsid w:val="0097659C"/>
    <w:rPr>
      <w:color w:val="954F72" w:themeColor="followedHyperlink"/>
      <w:u w:val="single"/>
    </w:rPr>
  </w:style>
  <w:style w:type="character" w:styleId="NichtaufgelsteErwhnung">
    <w:name w:val="Unresolved Mention"/>
    <w:basedOn w:val="Absatz-Standardschriftart"/>
    <w:uiPriority w:val="99"/>
    <w:semiHidden/>
    <w:unhideWhenUsed/>
    <w:rsid w:val="0097659C"/>
    <w:rPr>
      <w:color w:val="605E5C"/>
      <w:shd w:val="clear" w:color="auto" w:fill="E1DFDD"/>
    </w:rPr>
  </w:style>
  <w:style w:type="paragraph" w:styleId="Fuzeile">
    <w:name w:val="footer"/>
    <w:basedOn w:val="Standard"/>
    <w:link w:val="FuzeileZchn"/>
    <w:uiPriority w:val="99"/>
    <w:unhideWhenUsed/>
    <w:rsid w:val="00DB5919"/>
    <w:pPr>
      <w:tabs>
        <w:tab w:val="center" w:pos="4536"/>
        <w:tab w:val="right" w:pos="9072"/>
      </w:tabs>
      <w:spacing w:after="0"/>
    </w:pPr>
  </w:style>
  <w:style w:type="character" w:customStyle="1" w:styleId="FuzeileZchn">
    <w:name w:val="Fußzeile Zchn"/>
    <w:basedOn w:val="Absatz-Standardschriftart"/>
    <w:link w:val="Fuzeile"/>
    <w:uiPriority w:val="99"/>
    <w:rsid w:val="00DB5919"/>
    <w:rPr>
      <w:rFonts w:ascii="Times New Roman" w:eastAsia="Times New Roman" w:hAnsi="Times New Roman" w:cs="Times New Roman"/>
      <w:kern w:val="0"/>
      <w:szCs w:val="20"/>
      <w:lang w:val="de-DE" w:eastAsia="de-DE"/>
      <w14:ligatures w14:val="none"/>
    </w:rPr>
  </w:style>
  <w:style w:type="character" w:styleId="Seitenzahl">
    <w:name w:val="page number"/>
    <w:basedOn w:val="Absatz-Standardschriftart"/>
    <w:uiPriority w:val="99"/>
    <w:semiHidden/>
    <w:unhideWhenUsed/>
    <w:rsid w:val="00DB5919"/>
  </w:style>
  <w:style w:type="paragraph" w:styleId="Kommentarthema">
    <w:name w:val="annotation subject"/>
    <w:basedOn w:val="Kommentartext"/>
    <w:next w:val="Kommentartext"/>
    <w:link w:val="KommentarthemaZchn"/>
    <w:uiPriority w:val="99"/>
    <w:semiHidden/>
    <w:unhideWhenUsed/>
    <w:rsid w:val="00894DD5"/>
    <w:rPr>
      <w:b/>
      <w:bCs/>
    </w:rPr>
  </w:style>
  <w:style w:type="character" w:customStyle="1" w:styleId="KommentarthemaZchn">
    <w:name w:val="Kommentarthema Zchn"/>
    <w:basedOn w:val="KommentartextZchn"/>
    <w:link w:val="Kommentarthema"/>
    <w:uiPriority w:val="99"/>
    <w:semiHidden/>
    <w:rsid w:val="00894DD5"/>
    <w:rPr>
      <w:rFonts w:ascii="Times New Roman" w:eastAsia="Times New Roman" w:hAnsi="Times New Roman" w:cs="Times New Roman"/>
      <w:b/>
      <w:bCs/>
      <w:kern w:val="0"/>
      <w:sz w:val="20"/>
      <w:szCs w:val="20"/>
      <w:lang w:val="de-DE"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32013R1308" TargetMode="External"/><Relationship Id="rId13" Type="http://schemas.openxmlformats.org/officeDocument/2006/relationships/hyperlink" Target="https://www.oesterreichwein.at/fileadmin/user_upload/PDF/Doku/Dokumentation_OEsterreich_Wein_Gesamtdokument.pdf"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io-austria.at" TargetMode="External"/><Relationship Id="rId12" Type="http://schemas.openxmlformats.org/officeDocument/2006/relationships/hyperlink" Target="https://www.oesterreichwein.at/unser-wein/das-weingesetz/weinkategorien-nach-herkunf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7221/183/2011-AGRICEC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chhaltigaustria.at/wp-content/uploads/2019/10/Nachhaltigkeits_Folder_Winzer.pdf" TargetMode="External"/><Relationship Id="rId5" Type="http://schemas.openxmlformats.org/officeDocument/2006/relationships/footnotes" Target="footnotes.xml"/><Relationship Id="rId15" Type="http://schemas.openxmlformats.org/officeDocument/2006/relationships/hyperlink" Target="https://www.statistik.at/fileadmin/user_upload/SB_1-15-WeinernteUndBestand2023.pdf.%20Accessed%2003%20March%202024" TargetMode="External"/><Relationship Id="rId10" Type="http://schemas.openxmlformats.org/officeDocument/2006/relationships/hyperlink" Target="https://doi.org/10.20870/oeno-one.2018.52.2.190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ata.europa.eu/eli/reg_impl/2018/1981/oj" TargetMode="External"/><Relationship Id="rId14" Type="http://schemas.openxmlformats.org/officeDocument/2006/relationships/hyperlink" Target="http://www.bundeskellereiinspektion.at/downloads/allgemein/weingesetz2009.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1328</Words>
  <Characters>8367</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Achs</dc:creator>
  <cp:keywords/>
  <dc:description/>
  <cp:lastModifiedBy>Tina Achs</cp:lastModifiedBy>
  <cp:revision>15</cp:revision>
  <dcterms:created xsi:type="dcterms:W3CDTF">2025-10-02T12:03:00Z</dcterms:created>
  <dcterms:modified xsi:type="dcterms:W3CDTF">2026-03-23T15:31:00Z</dcterms:modified>
</cp:coreProperties>
</file>