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B6F87" w14:textId="77777777" w:rsidR="00E4345F" w:rsidRPr="00E4345F" w:rsidRDefault="00E4345F" w:rsidP="00E4345F">
      <w:pPr>
        <w:keepNext/>
        <w:keepLines/>
        <w:spacing w:before="360" w:after="80"/>
        <w:outlineLvl w:val="0"/>
        <w:rPr>
          <w:rFonts w:ascii="Aptos Display" w:eastAsia="Times New Roman" w:hAnsi="Aptos Display" w:cs="Times New Roman"/>
          <w:color w:val="0F4761"/>
          <w:sz w:val="40"/>
          <w:szCs w:val="40"/>
        </w:rPr>
      </w:pPr>
      <w:r w:rsidRPr="00E4345F">
        <w:rPr>
          <w:rFonts w:ascii="Aptos Display" w:eastAsia="Times New Roman" w:hAnsi="Aptos Display" w:cs="Times New Roman"/>
          <w:color w:val="0F4761"/>
          <w:sz w:val="40"/>
          <w:szCs w:val="40"/>
        </w:rPr>
        <w:t>Supplementary material</w:t>
      </w:r>
    </w:p>
    <w:p w14:paraId="01927945" w14:textId="77777777" w:rsidR="00E4345F" w:rsidRPr="00E4345F" w:rsidRDefault="00E4345F" w:rsidP="00E4345F">
      <w:pPr>
        <w:keepNext/>
        <w:keepLines/>
        <w:spacing w:before="160" w:after="80"/>
        <w:outlineLvl w:val="1"/>
        <w:rPr>
          <w:rFonts w:ascii="Aptos Display" w:eastAsia="Times New Roman" w:hAnsi="Aptos Display" w:cs="Times New Roman"/>
          <w:color w:val="0F4761"/>
          <w:sz w:val="32"/>
          <w:szCs w:val="32"/>
        </w:rPr>
      </w:pPr>
      <w:r w:rsidRPr="00E4345F">
        <w:rPr>
          <w:rFonts w:ascii="Aptos Display" w:eastAsia="Times New Roman" w:hAnsi="Aptos Display" w:cs="Times New Roman"/>
          <w:color w:val="0F4761"/>
          <w:sz w:val="32"/>
          <w:szCs w:val="32"/>
        </w:rPr>
        <w:t>PREPROCEDURAL AND POSTPROCEDURAL CARE</w:t>
      </w:r>
    </w:p>
    <w:p w14:paraId="3748BA0A" w14:textId="77777777" w:rsidR="00E4345F" w:rsidRDefault="00E4345F" w:rsidP="00E4345F">
      <w:pPr>
        <w:rPr>
          <w:rFonts w:asciiTheme="minorHAnsi" w:hAnsiTheme="minorHAnsi" w:cstheme="minorHAnsi"/>
        </w:rPr>
      </w:pPr>
    </w:p>
    <w:p w14:paraId="05255A40" w14:textId="5B21B5CF" w:rsidR="00E4345F" w:rsidRPr="00E4345F" w:rsidRDefault="00E4345F" w:rsidP="00E4345F">
      <w:pPr>
        <w:rPr>
          <w:rFonts w:asciiTheme="minorHAnsi" w:hAnsiTheme="minorHAnsi" w:cstheme="minorHAnsi"/>
        </w:rPr>
      </w:pPr>
      <w:r w:rsidRPr="00E4345F">
        <w:rPr>
          <w:rFonts w:asciiTheme="minorHAnsi" w:hAnsiTheme="minorHAnsi" w:cstheme="minorHAnsi"/>
        </w:rPr>
        <w:t>All patients with presumed pCCA presenting at the participating centres are discussed in an MDT-meeting.</w:t>
      </w:r>
    </w:p>
    <w:p w14:paraId="05040E6A" w14:textId="16F6EE30" w:rsidR="00E4345F" w:rsidRPr="00E4345F" w:rsidRDefault="00E4345F" w:rsidP="00E4345F">
      <w:pPr>
        <w:rPr>
          <w:rFonts w:asciiTheme="minorHAnsi" w:hAnsiTheme="minorHAnsi" w:cstheme="minorHAnsi"/>
        </w:rPr>
      </w:pPr>
    </w:p>
    <w:p w14:paraId="07A99EBA"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Procedures prior to study enrolment</w:t>
      </w:r>
    </w:p>
    <w:p w14:paraId="113AEB1D"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Preferably computed tomography (CT) and magnetic resonance imaging/magnetic resonance cholangiopancreatography (MRI/MRCP) are performed prior to the first drainage procedure. To establish pathological diagnosis and to determine the segments that need to be drained for sufficient drainage, most patients will undergo at least one drainage procedure with plastic stents or in-external PTC drains prior to enrolment. Multiple drainage procedures prior to enrolment are allowed when for example needed to establish a pathological diagnosis or if patients were initially candidates for curative surgery/ liver transplantation.</w:t>
      </w:r>
    </w:p>
    <w:p w14:paraId="1C5A6B17" w14:textId="77777777" w:rsidR="00E4345F" w:rsidRPr="00E4345F" w:rsidRDefault="00E4345F" w:rsidP="00E4345F">
      <w:pPr>
        <w:rPr>
          <w:rFonts w:asciiTheme="minorHAnsi" w:hAnsiTheme="minorHAnsi" w:cstheme="minorHAnsi"/>
        </w:rPr>
      </w:pPr>
    </w:p>
    <w:p w14:paraId="53CB03A2"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In drainage naive patients, in case of ERCP preferably 7 Fr, plastic stents are placed, preferably without a sphincterotomy, during the first drainage procedure. In case of PTC in-external drainage catheters, preferably 8.5 Fr, are placed. After pathological proof has been acquired and drainage of the drained segments seems sufficient after 2-4 weeks, patient is eligible for enrolment.</w:t>
      </w:r>
    </w:p>
    <w:p w14:paraId="2E57331F" w14:textId="77777777" w:rsidR="00E4345F" w:rsidRPr="00E4345F" w:rsidRDefault="00E4345F" w:rsidP="00E4345F">
      <w:pPr>
        <w:rPr>
          <w:rFonts w:asciiTheme="minorHAnsi" w:hAnsiTheme="minorHAnsi" w:cstheme="minorHAnsi"/>
        </w:rPr>
      </w:pPr>
    </w:p>
    <w:p w14:paraId="6250FADC"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Palliative systemic therapy</w:t>
      </w:r>
    </w:p>
    <w:p w14:paraId="57B4B884"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All patients will be counselled for palliative systemic therapy according to the most recent protocol, it is allowed to participate in trials concerning systemic therapy.</w:t>
      </w:r>
    </w:p>
    <w:p w14:paraId="4B177DB0" w14:textId="77777777" w:rsidR="00E4345F" w:rsidRPr="00E4345F" w:rsidRDefault="00E4345F" w:rsidP="00E4345F">
      <w:pPr>
        <w:rPr>
          <w:rFonts w:asciiTheme="minorHAnsi" w:hAnsiTheme="minorHAnsi" w:cstheme="minorHAnsi"/>
        </w:rPr>
      </w:pPr>
    </w:p>
    <w:p w14:paraId="5F3DABB1"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Intervention</w:t>
      </w:r>
    </w:p>
    <w:p w14:paraId="5BF08E93"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 xml:space="preserve">In case ERCP is deemed not feasible stent placement +/- eRFA will be performed by PTC. </w:t>
      </w:r>
    </w:p>
    <w:p w14:paraId="369A7F1C" w14:textId="77777777" w:rsidR="00E4345F" w:rsidRPr="00E4345F" w:rsidRDefault="00E4345F" w:rsidP="00E4345F">
      <w:pPr>
        <w:rPr>
          <w:rFonts w:asciiTheme="minorHAnsi" w:hAnsiTheme="minorHAnsi" w:cstheme="minorHAnsi"/>
        </w:rPr>
      </w:pPr>
    </w:p>
    <w:p w14:paraId="600B299D"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ERCP specific:</w:t>
      </w:r>
    </w:p>
    <w:p w14:paraId="27486113" w14:textId="77777777" w:rsidR="00E4345F" w:rsidRPr="00E4345F" w:rsidRDefault="00E4345F" w:rsidP="00E4345F">
      <w:pPr>
        <w:pStyle w:val="Lijstalinea"/>
        <w:numPr>
          <w:ilvl w:val="0"/>
          <w:numId w:val="40"/>
        </w:numPr>
        <w:contextualSpacing/>
        <w:rPr>
          <w:rFonts w:asciiTheme="minorHAnsi" w:hAnsiTheme="minorHAnsi" w:cstheme="minorHAnsi"/>
        </w:rPr>
      </w:pPr>
      <w:r w:rsidRPr="00E4345F">
        <w:rPr>
          <w:rFonts w:asciiTheme="minorHAnsi" w:hAnsiTheme="minorHAnsi" w:cstheme="minorHAnsi"/>
        </w:rPr>
        <w:t>Patients will receive 100mg of diclofenac or indomethacin intrarectally immediately before or immediately after ERCP in every patient with no contraindication.</w:t>
      </w:r>
    </w:p>
    <w:p w14:paraId="1EC0E51B" w14:textId="77777777" w:rsidR="00E4345F" w:rsidRPr="00E4345F" w:rsidRDefault="00E4345F" w:rsidP="00E4345F">
      <w:pPr>
        <w:pStyle w:val="Lijstalinea"/>
        <w:numPr>
          <w:ilvl w:val="0"/>
          <w:numId w:val="40"/>
        </w:numPr>
        <w:contextualSpacing/>
        <w:rPr>
          <w:rFonts w:asciiTheme="minorHAnsi" w:hAnsiTheme="minorHAnsi" w:cstheme="minorHAnsi"/>
        </w:rPr>
      </w:pPr>
      <w:r w:rsidRPr="00E4345F">
        <w:rPr>
          <w:rFonts w:asciiTheme="minorHAnsi" w:hAnsiTheme="minorHAnsi" w:cstheme="minorHAnsi"/>
        </w:rPr>
        <w:t>The need for a sphincterotomy is at the discretion of the endoscopist, however preferably not performed.</w:t>
      </w:r>
    </w:p>
    <w:p w14:paraId="6921F00F" w14:textId="77777777" w:rsidR="00E4345F" w:rsidRPr="00E4345F" w:rsidRDefault="00E4345F" w:rsidP="00E4345F">
      <w:pPr>
        <w:rPr>
          <w:rFonts w:asciiTheme="minorHAnsi" w:hAnsiTheme="minorHAnsi" w:cstheme="minorHAnsi"/>
        </w:rPr>
      </w:pPr>
    </w:p>
    <w:p w14:paraId="56035294"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PTC specific:</w:t>
      </w:r>
    </w:p>
    <w:p w14:paraId="5883DD84" w14:textId="77777777" w:rsidR="00E4345F" w:rsidRPr="00E4345F" w:rsidRDefault="00E4345F" w:rsidP="00E4345F">
      <w:pPr>
        <w:pStyle w:val="Lijstalinea"/>
        <w:numPr>
          <w:ilvl w:val="0"/>
          <w:numId w:val="41"/>
        </w:numPr>
        <w:contextualSpacing/>
        <w:rPr>
          <w:rFonts w:asciiTheme="minorHAnsi" w:hAnsiTheme="minorHAnsi" w:cstheme="minorHAnsi"/>
        </w:rPr>
      </w:pPr>
      <w:r w:rsidRPr="00E4345F">
        <w:rPr>
          <w:rFonts w:asciiTheme="minorHAnsi" w:hAnsiTheme="minorHAnsi" w:cstheme="minorHAnsi"/>
        </w:rPr>
        <w:t>Preferably uSEMS is placed without placement of an external drainage catheter, however in case considered necessary placement of a temporary percutaneous drainage catheter is allowed. Removal of the external drainage catheter is not considered a reintervention.</w:t>
      </w:r>
    </w:p>
    <w:p w14:paraId="55D6046B" w14:textId="77777777" w:rsidR="00E4345F" w:rsidRPr="00E4345F" w:rsidRDefault="00E4345F" w:rsidP="00E4345F">
      <w:pPr>
        <w:rPr>
          <w:rFonts w:asciiTheme="minorHAnsi" w:hAnsiTheme="minorHAnsi" w:cstheme="minorHAnsi"/>
        </w:rPr>
      </w:pPr>
    </w:p>
    <w:p w14:paraId="0E745331"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Both ERCP and PTC:</w:t>
      </w:r>
    </w:p>
    <w:p w14:paraId="1FA83BDF" w14:textId="2EEE6B31" w:rsidR="00E4345F" w:rsidRPr="00E4345F" w:rsidRDefault="00E4345F" w:rsidP="00E4345F">
      <w:pPr>
        <w:pStyle w:val="Lijstalinea"/>
        <w:numPr>
          <w:ilvl w:val="0"/>
          <w:numId w:val="39"/>
        </w:numPr>
        <w:contextualSpacing/>
        <w:rPr>
          <w:rFonts w:asciiTheme="minorHAnsi" w:hAnsiTheme="minorHAnsi" w:cstheme="minorHAnsi"/>
        </w:rPr>
      </w:pPr>
      <w:r w:rsidRPr="00E4345F">
        <w:rPr>
          <w:rFonts w:asciiTheme="minorHAnsi" w:hAnsiTheme="minorHAnsi" w:cstheme="minorHAnsi"/>
        </w:rPr>
        <w:t>All procedures will be performed with deep sedation or general anaesthesia.</w:t>
      </w:r>
    </w:p>
    <w:p w14:paraId="140D8EEA" w14:textId="77777777" w:rsidR="00E4345F" w:rsidRPr="00E4345F" w:rsidRDefault="00E4345F" w:rsidP="00E4345F">
      <w:pPr>
        <w:pStyle w:val="Lijstalinea"/>
        <w:numPr>
          <w:ilvl w:val="0"/>
          <w:numId w:val="39"/>
        </w:numPr>
        <w:contextualSpacing/>
        <w:rPr>
          <w:rFonts w:asciiTheme="minorHAnsi" w:hAnsiTheme="minorHAnsi" w:cstheme="minorHAnsi"/>
        </w:rPr>
      </w:pPr>
      <w:r w:rsidRPr="00E4345F">
        <w:rPr>
          <w:rFonts w:asciiTheme="minorHAnsi" w:hAnsiTheme="minorHAnsi" w:cstheme="minorHAnsi"/>
        </w:rPr>
        <w:t>Antibiotic prophylaxis will be administered intravenously directly prior to the procedure and oral antibiotics will be continued for 5 days after the procedure; type of antibiotics is according to the local protocol.</w:t>
      </w:r>
    </w:p>
    <w:p w14:paraId="6730639F" w14:textId="77777777" w:rsidR="00E4345F" w:rsidRPr="00E4345F" w:rsidRDefault="00E4345F" w:rsidP="00E4345F">
      <w:pPr>
        <w:pStyle w:val="Lijstalinea"/>
        <w:numPr>
          <w:ilvl w:val="0"/>
          <w:numId w:val="39"/>
        </w:numPr>
        <w:contextualSpacing/>
        <w:rPr>
          <w:rFonts w:asciiTheme="minorHAnsi" w:hAnsiTheme="minorHAnsi" w:cstheme="minorHAnsi"/>
        </w:rPr>
      </w:pPr>
      <w:r w:rsidRPr="00E4345F">
        <w:rPr>
          <w:rFonts w:asciiTheme="minorHAnsi" w:hAnsiTheme="minorHAnsi" w:cstheme="minorHAnsi"/>
        </w:rPr>
        <w:t xml:space="preserve">All procedures will be performed by dedicated interventional endoscopist or interventional radiologists. A maximum of 1 to 3 (depending on ERCP/PTC volume of the centre) interventional endoscopists or radiologists per centre will be selected to perform the study procedures.  </w:t>
      </w:r>
    </w:p>
    <w:p w14:paraId="466AC8F1" w14:textId="77777777" w:rsidR="00E4345F" w:rsidRPr="00E4345F" w:rsidRDefault="00E4345F" w:rsidP="00E4345F">
      <w:pPr>
        <w:pStyle w:val="Lijstalinea"/>
        <w:numPr>
          <w:ilvl w:val="0"/>
          <w:numId w:val="39"/>
        </w:numPr>
        <w:contextualSpacing/>
        <w:rPr>
          <w:rFonts w:asciiTheme="minorHAnsi" w:hAnsiTheme="minorHAnsi" w:cstheme="minorHAnsi"/>
        </w:rPr>
      </w:pPr>
      <w:r w:rsidRPr="00E4345F">
        <w:rPr>
          <w:rFonts w:asciiTheme="minorHAnsi" w:hAnsiTheme="minorHAnsi" w:cstheme="minorHAnsi"/>
        </w:rPr>
        <w:t>If possible the cystic duct and segmental branches are visualized to avoid including branches of the cystic duct in RFA.</w:t>
      </w:r>
    </w:p>
    <w:p w14:paraId="09AB9AE6" w14:textId="77777777" w:rsidR="00E4345F" w:rsidRPr="00E4345F" w:rsidRDefault="00E4345F" w:rsidP="00E4345F">
      <w:pPr>
        <w:pStyle w:val="Lijstalinea"/>
        <w:numPr>
          <w:ilvl w:val="0"/>
          <w:numId w:val="39"/>
        </w:numPr>
        <w:contextualSpacing/>
        <w:rPr>
          <w:rFonts w:asciiTheme="minorHAnsi" w:hAnsiTheme="minorHAnsi" w:cstheme="minorHAnsi"/>
        </w:rPr>
      </w:pPr>
      <w:r w:rsidRPr="00E4345F">
        <w:rPr>
          <w:rFonts w:asciiTheme="minorHAnsi" w:hAnsiTheme="minorHAnsi" w:cstheme="minorHAnsi"/>
        </w:rPr>
        <w:t>The length of the stricture is estimated.</w:t>
      </w:r>
    </w:p>
    <w:p w14:paraId="176218C3" w14:textId="77777777" w:rsidR="00E4345F" w:rsidRPr="00E4345F" w:rsidRDefault="00E4345F" w:rsidP="00E4345F">
      <w:pPr>
        <w:pStyle w:val="Lijstalinea"/>
        <w:numPr>
          <w:ilvl w:val="0"/>
          <w:numId w:val="39"/>
        </w:numPr>
        <w:contextualSpacing/>
        <w:rPr>
          <w:rFonts w:asciiTheme="minorHAnsi" w:hAnsiTheme="minorHAnsi" w:cstheme="minorHAnsi"/>
        </w:rPr>
      </w:pPr>
      <w:r w:rsidRPr="00E4345F">
        <w:rPr>
          <w:rFonts w:asciiTheme="minorHAnsi" w:hAnsiTheme="minorHAnsi" w:cstheme="minorHAnsi"/>
        </w:rPr>
        <w:t>A cholangiogram of the stenosis is captured.</w:t>
      </w:r>
    </w:p>
    <w:p w14:paraId="295CB4F4" w14:textId="77777777" w:rsidR="00E4345F" w:rsidRPr="00E4345F" w:rsidRDefault="00E4345F" w:rsidP="00E4345F">
      <w:pPr>
        <w:rPr>
          <w:rFonts w:asciiTheme="minorHAnsi" w:hAnsiTheme="minorHAnsi" w:cstheme="minorHAnsi"/>
        </w:rPr>
      </w:pPr>
    </w:p>
    <w:p w14:paraId="6496AC63"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In intervention group only</w:t>
      </w:r>
    </w:p>
    <w:p w14:paraId="03603134" w14:textId="77777777" w:rsidR="00E4345F" w:rsidRPr="00E4345F" w:rsidRDefault="00E4345F" w:rsidP="00E4345F">
      <w:pPr>
        <w:pStyle w:val="Lijstalinea"/>
        <w:numPr>
          <w:ilvl w:val="0"/>
          <w:numId w:val="42"/>
        </w:numPr>
        <w:contextualSpacing/>
        <w:rPr>
          <w:rFonts w:asciiTheme="minorHAnsi" w:hAnsiTheme="minorHAnsi" w:cstheme="minorHAnsi"/>
        </w:rPr>
      </w:pPr>
      <w:r w:rsidRPr="00E4345F">
        <w:rPr>
          <w:rFonts w:asciiTheme="minorHAnsi" w:hAnsiTheme="minorHAnsi" w:cstheme="minorHAnsi"/>
        </w:rPr>
        <w:t>The 7 Fr diameter ELRA Electrode RF catheter (</w:t>
      </w:r>
      <w:proofErr w:type="spellStart"/>
      <w:r w:rsidRPr="00E4345F">
        <w:rPr>
          <w:rFonts w:asciiTheme="minorHAnsi" w:hAnsiTheme="minorHAnsi" w:cstheme="minorHAnsi"/>
        </w:rPr>
        <w:t>TaeWoong</w:t>
      </w:r>
      <w:proofErr w:type="spellEnd"/>
      <w:r w:rsidRPr="00E4345F">
        <w:rPr>
          <w:rFonts w:asciiTheme="minorHAnsi" w:hAnsiTheme="minorHAnsi" w:cstheme="minorHAnsi"/>
        </w:rPr>
        <w:t xml:space="preserve"> Medical Co., Ltd.) is advanced, if advancement is not possible the stenosis is dilated with a 4 mm biliary balloon first. The choice of exposure length of the catheter (11 or 18 mm) depends on the stricture length and is decided by the interventionist. If the stenosis is longer than the electrode sequential ablations are applied.</w:t>
      </w:r>
    </w:p>
    <w:p w14:paraId="1C4C4633" w14:textId="77777777" w:rsidR="00E4345F" w:rsidRPr="00E4345F" w:rsidRDefault="00E4345F" w:rsidP="00E4345F">
      <w:pPr>
        <w:pStyle w:val="Lijstalinea"/>
        <w:numPr>
          <w:ilvl w:val="0"/>
          <w:numId w:val="42"/>
        </w:numPr>
        <w:contextualSpacing/>
        <w:rPr>
          <w:rFonts w:asciiTheme="minorHAnsi" w:hAnsiTheme="minorHAnsi" w:cstheme="minorHAnsi"/>
        </w:rPr>
      </w:pPr>
      <w:r w:rsidRPr="00E4345F">
        <w:rPr>
          <w:rFonts w:asciiTheme="minorHAnsi" w:hAnsiTheme="minorHAnsi" w:cstheme="minorHAnsi"/>
        </w:rPr>
        <w:t>The tumour is ablated for 120 seconds per ablation with 7W, target temperature 75 degrees Celsius using VIVA Combo™ generator’s Impedance Monitoring System.</w:t>
      </w:r>
    </w:p>
    <w:p w14:paraId="352DCFBF" w14:textId="77777777" w:rsidR="00E4345F" w:rsidRPr="00E4345F" w:rsidRDefault="00E4345F" w:rsidP="00E4345F">
      <w:pPr>
        <w:pStyle w:val="Lijstalinea"/>
        <w:numPr>
          <w:ilvl w:val="0"/>
          <w:numId w:val="42"/>
        </w:numPr>
        <w:contextualSpacing/>
        <w:rPr>
          <w:rFonts w:asciiTheme="minorHAnsi" w:hAnsiTheme="minorHAnsi" w:cstheme="minorHAnsi"/>
        </w:rPr>
      </w:pPr>
      <w:r w:rsidRPr="00E4345F">
        <w:rPr>
          <w:rFonts w:asciiTheme="minorHAnsi" w:hAnsiTheme="minorHAnsi" w:cstheme="minorHAnsi"/>
        </w:rPr>
        <w:t>The catheter is remained stable after ablation until the tissue is cooled down to 45 degrees Celsius or less, to avoid the adhesion of the tissue to the electrodes.</w:t>
      </w:r>
    </w:p>
    <w:p w14:paraId="39879539" w14:textId="77777777" w:rsidR="00E4345F" w:rsidRPr="00E4345F" w:rsidRDefault="00E4345F" w:rsidP="00E4345F">
      <w:pPr>
        <w:pStyle w:val="Lijstalinea"/>
        <w:numPr>
          <w:ilvl w:val="0"/>
          <w:numId w:val="42"/>
        </w:numPr>
        <w:contextualSpacing/>
        <w:rPr>
          <w:rFonts w:asciiTheme="minorHAnsi" w:hAnsiTheme="minorHAnsi" w:cstheme="minorHAnsi"/>
        </w:rPr>
      </w:pPr>
      <w:r w:rsidRPr="00E4345F">
        <w:rPr>
          <w:rFonts w:asciiTheme="minorHAnsi" w:hAnsiTheme="minorHAnsi" w:cstheme="minorHAnsi"/>
        </w:rPr>
        <w:t xml:space="preserve">Necrotic tissue is removed with an extraction balloon afterwards. </w:t>
      </w:r>
    </w:p>
    <w:p w14:paraId="21748673" w14:textId="77777777" w:rsidR="00E4345F" w:rsidRPr="00E4345F" w:rsidRDefault="00E4345F" w:rsidP="00E4345F">
      <w:pPr>
        <w:pStyle w:val="Lijstalinea"/>
        <w:numPr>
          <w:ilvl w:val="0"/>
          <w:numId w:val="42"/>
        </w:numPr>
        <w:contextualSpacing/>
        <w:rPr>
          <w:rFonts w:asciiTheme="minorHAnsi" w:hAnsiTheme="minorHAnsi" w:cstheme="minorHAnsi"/>
        </w:rPr>
      </w:pPr>
      <w:r w:rsidRPr="00E4345F">
        <w:rPr>
          <w:rFonts w:asciiTheme="minorHAnsi" w:hAnsiTheme="minorHAnsi" w:cstheme="minorHAnsi"/>
        </w:rPr>
        <w:t xml:space="preserve">A cholangiogram of the stenosis is captured post-eRFA in the same plane a pre-RFA to measure and compare the diameter of the bile duct at the level of the maximum stenosis.  </w:t>
      </w:r>
    </w:p>
    <w:p w14:paraId="0E569BFC" w14:textId="77777777" w:rsidR="00E4345F" w:rsidRPr="00E4345F" w:rsidRDefault="00E4345F" w:rsidP="00E4345F">
      <w:pPr>
        <w:rPr>
          <w:rFonts w:asciiTheme="minorHAnsi" w:hAnsiTheme="minorHAnsi" w:cstheme="minorHAnsi"/>
        </w:rPr>
      </w:pPr>
    </w:p>
    <w:p w14:paraId="2BAABA7C"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In both intervention and control group</w:t>
      </w:r>
    </w:p>
    <w:p w14:paraId="4FC0F9C4" w14:textId="77777777" w:rsidR="00E4345F" w:rsidRPr="00E4345F" w:rsidRDefault="00E4345F" w:rsidP="00E4345F">
      <w:pPr>
        <w:pStyle w:val="Lijstalinea"/>
        <w:numPr>
          <w:ilvl w:val="0"/>
          <w:numId w:val="43"/>
        </w:numPr>
        <w:contextualSpacing/>
        <w:rPr>
          <w:rFonts w:asciiTheme="minorHAnsi" w:hAnsiTheme="minorHAnsi" w:cstheme="minorHAnsi"/>
        </w:rPr>
      </w:pPr>
      <w:r w:rsidRPr="00E4345F">
        <w:rPr>
          <w:rFonts w:asciiTheme="minorHAnsi" w:hAnsiTheme="minorHAnsi" w:cstheme="minorHAnsi"/>
        </w:rPr>
        <w:lastRenderedPageBreak/>
        <w:t>Placement of bilateral side-by-side 8 mm or unilateral 10 mm in diameter uSEMS will be placed.</w:t>
      </w:r>
    </w:p>
    <w:p w14:paraId="393AC26C" w14:textId="77777777" w:rsidR="00E4345F" w:rsidRPr="00E4345F" w:rsidRDefault="00E4345F" w:rsidP="00E4345F">
      <w:pPr>
        <w:pStyle w:val="Lijstalinea"/>
        <w:numPr>
          <w:ilvl w:val="0"/>
          <w:numId w:val="43"/>
        </w:numPr>
        <w:contextualSpacing/>
        <w:rPr>
          <w:rFonts w:asciiTheme="minorHAnsi" w:hAnsiTheme="minorHAnsi" w:cstheme="minorHAnsi"/>
        </w:rPr>
      </w:pPr>
      <w:r w:rsidRPr="00E4345F">
        <w:rPr>
          <w:rFonts w:asciiTheme="minorHAnsi" w:hAnsiTheme="minorHAnsi" w:cstheme="minorHAnsi"/>
        </w:rPr>
        <w:t xml:space="preserve">Length of the stent is according to the interventionist. </w:t>
      </w:r>
    </w:p>
    <w:p w14:paraId="1E418A7E" w14:textId="77777777" w:rsidR="00E4345F" w:rsidRPr="00E4345F" w:rsidRDefault="00E4345F" w:rsidP="00E4345F">
      <w:pPr>
        <w:pStyle w:val="Lijstalinea"/>
        <w:numPr>
          <w:ilvl w:val="0"/>
          <w:numId w:val="43"/>
        </w:numPr>
        <w:contextualSpacing/>
        <w:rPr>
          <w:rFonts w:asciiTheme="minorHAnsi" w:hAnsiTheme="minorHAnsi" w:cstheme="minorHAnsi"/>
        </w:rPr>
      </w:pPr>
      <w:r w:rsidRPr="00E4345F">
        <w:rPr>
          <w:rFonts w:asciiTheme="minorHAnsi" w:hAnsiTheme="minorHAnsi" w:cstheme="minorHAnsi"/>
        </w:rPr>
        <w:t>A cholangiogram is captured after stent placement in the same plane as pre stent placement.</w:t>
      </w:r>
    </w:p>
    <w:p w14:paraId="536AD4C5" w14:textId="77777777" w:rsidR="00E4345F" w:rsidRPr="00E4345F" w:rsidRDefault="00E4345F" w:rsidP="00E4345F">
      <w:pPr>
        <w:rPr>
          <w:rFonts w:asciiTheme="minorHAnsi" w:hAnsiTheme="minorHAnsi" w:cstheme="minorHAnsi"/>
        </w:rPr>
      </w:pPr>
    </w:p>
    <w:p w14:paraId="447170F8"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Reintervention</w:t>
      </w:r>
    </w:p>
    <w:p w14:paraId="4F07A70B"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Reintervention will be performed on indication, such as symptomatic biliary obstruction (pruritus or cholangitis) or when necessary for systemic therapy. In the intervention group re-RFA with or without additional stent placement or stent exchange is allowed. In the control group standard care with possible placement of additional stents is performed. The control group will not receive eRFA since this is not part of standard care. A cholangiogram is captured pre intervention and in case applicable after eRFA and/or stent placement to be able to review the reason of recurrent biliary obstruction. A flowchart concerning the preferred treatment of recurrent biliary obstruction is depicted in Supplementary Figure 1.</w:t>
      </w:r>
    </w:p>
    <w:p w14:paraId="73A03FBD" w14:textId="77777777" w:rsidR="00E4345F" w:rsidRPr="00E4345F" w:rsidRDefault="00E4345F" w:rsidP="00E4345F">
      <w:pPr>
        <w:rPr>
          <w:rFonts w:asciiTheme="minorHAnsi" w:hAnsiTheme="minorHAnsi" w:cstheme="minorHAnsi"/>
        </w:rPr>
      </w:pPr>
    </w:p>
    <w:p w14:paraId="65BA2155"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br w:type="page"/>
      </w:r>
    </w:p>
    <w:p w14:paraId="309D9478"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lastRenderedPageBreak/>
        <w:t>Supplementary Figure 1. Flowchart recurrent biliary obstruction.</w:t>
      </w:r>
    </w:p>
    <w:p w14:paraId="28558A39" w14:textId="77777777" w:rsidR="00E4345F" w:rsidRPr="00E4345F" w:rsidRDefault="00E4345F" w:rsidP="00E4345F">
      <w:pPr>
        <w:rPr>
          <w:rFonts w:asciiTheme="minorHAnsi" w:hAnsiTheme="minorHAnsi" w:cstheme="minorHAnsi"/>
        </w:rPr>
      </w:pPr>
      <w:r w:rsidRPr="00E4345F">
        <w:rPr>
          <w:rFonts w:asciiTheme="minorHAnsi" w:hAnsiTheme="minorHAnsi" w:cstheme="minorHAnsi"/>
          <w:noProof/>
        </w:rPr>
        <w:drawing>
          <wp:inline distT="0" distB="0" distL="0" distR="0" wp14:anchorId="442C629D" wp14:editId="75CFFD7E">
            <wp:extent cx="3705452" cy="7753350"/>
            <wp:effectExtent l="0" t="0" r="9525" b="0"/>
            <wp:docPr id="1444879213" name="Afbeelding 2" descr="Afbeelding met tekst, diagram, ontvangst, Parall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879213" name="Afbeelding 2" descr="Afbeelding met tekst, diagram, ontvangst, Parallel&#10;&#10;Door AI gegenereerde inhoud is mogelijk onjuist."/>
                    <pic:cNvPicPr/>
                  </pic:nvPicPr>
                  <pic:blipFill>
                    <a:blip r:embed="rId10">
                      <a:extLst>
                        <a:ext uri="{28A0092B-C50C-407E-A947-70E740481C1C}">
                          <a14:useLocalDpi xmlns:a14="http://schemas.microsoft.com/office/drawing/2010/main" val="0"/>
                        </a:ext>
                      </a:extLst>
                    </a:blip>
                    <a:stretch>
                      <a:fillRect/>
                    </a:stretch>
                  </pic:blipFill>
                  <pic:spPr>
                    <a:xfrm>
                      <a:off x="0" y="0"/>
                      <a:ext cx="3709753" cy="7762350"/>
                    </a:xfrm>
                    <a:prstGeom prst="rect">
                      <a:avLst/>
                    </a:prstGeom>
                  </pic:spPr>
                </pic:pic>
              </a:graphicData>
            </a:graphic>
          </wp:inline>
        </w:drawing>
      </w:r>
    </w:p>
    <w:p w14:paraId="74A4833F"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 xml:space="preserve">Abbreviations: CT, computed tomography; MRI, magnetic resonance imaging; PTC, percutaneous transhepatic cholangiography; re-RFA, repeated radiofrequency ablation; uSEMS, uncovered self-expanding metal stent. </w:t>
      </w:r>
    </w:p>
    <w:p w14:paraId="0C40F614" w14:textId="77777777" w:rsidR="00E4345F" w:rsidRPr="00E4345F" w:rsidRDefault="00E4345F" w:rsidP="00E4345F">
      <w:pPr>
        <w:keepNext/>
        <w:keepLines/>
        <w:spacing w:before="160" w:after="80"/>
        <w:outlineLvl w:val="1"/>
        <w:rPr>
          <w:rFonts w:ascii="Aptos Display" w:eastAsia="Times New Roman" w:hAnsi="Aptos Display" w:cs="Times New Roman"/>
          <w:color w:val="0F4761"/>
          <w:sz w:val="32"/>
          <w:szCs w:val="32"/>
        </w:rPr>
      </w:pPr>
      <w:r w:rsidRPr="00E4345F">
        <w:rPr>
          <w:rFonts w:ascii="Aptos Display" w:eastAsia="Times New Roman" w:hAnsi="Aptos Display" w:cs="Times New Roman"/>
          <w:color w:val="0F4761"/>
          <w:sz w:val="32"/>
          <w:szCs w:val="32"/>
        </w:rPr>
        <w:lastRenderedPageBreak/>
        <w:t>SECONDARY ENDPOINTS</w:t>
      </w:r>
    </w:p>
    <w:p w14:paraId="0CB159C3" w14:textId="77777777" w:rsidR="00E4345F" w:rsidRPr="00E4345F" w:rsidRDefault="00E4345F" w:rsidP="00E4345F">
      <w:pPr>
        <w:rPr>
          <w:rFonts w:asciiTheme="minorHAnsi" w:hAnsiTheme="minorHAnsi" w:cstheme="minorHAnsi"/>
        </w:rPr>
      </w:pPr>
    </w:p>
    <w:tbl>
      <w:tblPr>
        <w:tblStyle w:val="Tabelraster"/>
        <w:tblW w:w="0" w:type="auto"/>
        <w:tblBorders>
          <w:insideV w:val="none" w:sz="0" w:space="0" w:color="auto"/>
        </w:tblBorders>
        <w:tblLook w:val="04A0" w:firstRow="1" w:lastRow="0" w:firstColumn="1" w:lastColumn="0" w:noHBand="0" w:noVBand="1"/>
      </w:tblPr>
      <w:tblGrid>
        <w:gridCol w:w="2972"/>
        <w:gridCol w:w="6090"/>
      </w:tblGrid>
      <w:tr w:rsidR="00E4345F" w:rsidRPr="00E4345F" w14:paraId="40A87523" w14:textId="77777777" w:rsidTr="001A06E7">
        <w:tc>
          <w:tcPr>
            <w:tcW w:w="2972" w:type="dxa"/>
            <w:tcBorders>
              <w:left w:val="nil"/>
            </w:tcBorders>
          </w:tcPr>
          <w:p w14:paraId="0ACD3328"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Endpoint</w:t>
            </w:r>
          </w:p>
        </w:tc>
        <w:tc>
          <w:tcPr>
            <w:tcW w:w="6090" w:type="dxa"/>
            <w:tcBorders>
              <w:right w:val="nil"/>
            </w:tcBorders>
          </w:tcPr>
          <w:p w14:paraId="7D304A89"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Definition</w:t>
            </w:r>
          </w:p>
        </w:tc>
      </w:tr>
      <w:tr w:rsidR="00E4345F" w:rsidRPr="00E4345F" w14:paraId="1BE783AE" w14:textId="77777777" w:rsidTr="001A06E7">
        <w:tc>
          <w:tcPr>
            <w:tcW w:w="2972" w:type="dxa"/>
            <w:tcBorders>
              <w:left w:val="nil"/>
            </w:tcBorders>
          </w:tcPr>
          <w:p w14:paraId="19A293DD"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Technical success of initial ablation</w:t>
            </w:r>
          </w:p>
        </w:tc>
        <w:tc>
          <w:tcPr>
            <w:tcW w:w="6090" w:type="dxa"/>
            <w:tcBorders>
              <w:right w:val="nil"/>
            </w:tcBorders>
          </w:tcPr>
          <w:p w14:paraId="0D0F3817"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Completion of ablation of the malignant stenosis through which the stent will be placed using eRFA for 120 seconds with 7W.</w:t>
            </w:r>
          </w:p>
        </w:tc>
      </w:tr>
      <w:tr w:rsidR="00E4345F" w:rsidRPr="00E4345F" w14:paraId="6FD08893" w14:textId="77777777" w:rsidTr="001A06E7">
        <w:tc>
          <w:tcPr>
            <w:tcW w:w="2972" w:type="dxa"/>
            <w:tcBorders>
              <w:left w:val="nil"/>
            </w:tcBorders>
          </w:tcPr>
          <w:p w14:paraId="1BB35BF7"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Technical success of stent placement</w:t>
            </w:r>
          </w:p>
        </w:tc>
        <w:tc>
          <w:tcPr>
            <w:tcW w:w="6090" w:type="dxa"/>
            <w:tcBorders>
              <w:right w:val="nil"/>
            </w:tcBorders>
          </w:tcPr>
          <w:p w14:paraId="4ADBDD95"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Successful deployment of the uSEMS  in the intended location with coverage of the stricture.</w:t>
            </w:r>
          </w:p>
        </w:tc>
      </w:tr>
      <w:tr w:rsidR="00E4345F" w:rsidRPr="00E4345F" w14:paraId="684F54C5" w14:textId="77777777" w:rsidTr="001A06E7">
        <w:tc>
          <w:tcPr>
            <w:tcW w:w="2972" w:type="dxa"/>
            <w:tcBorders>
              <w:left w:val="nil"/>
            </w:tcBorders>
          </w:tcPr>
          <w:p w14:paraId="2E145B60"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Functional success</w:t>
            </w:r>
          </w:p>
        </w:tc>
        <w:tc>
          <w:tcPr>
            <w:tcW w:w="6090" w:type="dxa"/>
            <w:tcBorders>
              <w:right w:val="nil"/>
            </w:tcBorders>
          </w:tcPr>
          <w:p w14:paraId="5E0241F9"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In case of inadequate drainage prior to the procedure: 50% decrease or normalization of bilirubin levels within 14 days of the metal stent placement.</w:t>
            </w:r>
          </w:p>
          <w:p w14:paraId="17A9CDF8"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In case of sufficient drainage prior to the metal stent placement: a persistent bilirubin level &lt;40 μmol/L (&lt;2.3 mg/dL) after 14 days.</w:t>
            </w:r>
          </w:p>
        </w:tc>
      </w:tr>
      <w:tr w:rsidR="00E4345F" w:rsidRPr="00E4345F" w14:paraId="3E8A7796" w14:textId="77777777" w:rsidTr="001A06E7">
        <w:tc>
          <w:tcPr>
            <w:tcW w:w="2972" w:type="dxa"/>
            <w:tcBorders>
              <w:left w:val="nil"/>
            </w:tcBorders>
          </w:tcPr>
          <w:p w14:paraId="4673F3D1"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Procedure time</w:t>
            </w:r>
          </w:p>
        </w:tc>
        <w:tc>
          <w:tcPr>
            <w:tcW w:w="6090" w:type="dxa"/>
            <w:tcBorders>
              <w:right w:val="nil"/>
            </w:tcBorders>
          </w:tcPr>
          <w:p w14:paraId="695D6221"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Time between introduction and removal of endoscope.</w:t>
            </w:r>
          </w:p>
        </w:tc>
      </w:tr>
      <w:tr w:rsidR="00E4345F" w:rsidRPr="00E4345F" w14:paraId="036D1E8F" w14:textId="77777777" w:rsidTr="001A06E7">
        <w:tc>
          <w:tcPr>
            <w:tcW w:w="2972" w:type="dxa"/>
            <w:tcBorders>
              <w:left w:val="nil"/>
            </w:tcBorders>
          </w:tcPr>
          <w:p w14:paraId="611A8909"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Presumed reason of recurrent biliary obstruction</w:t>
            </w:r>
          </w:p>
        </w:tc>
        <w:tc>
          <w:tcPr>
            <w:tcW w:w="6090" w:type="dxa"/>
            <w:tcBorders>
              <w:right w:val="nil"/>
            </w:tcBorders>
          </w:tcPr>
          <w:p w14:paraId="52080C6A"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Stent occlusion due to tumour ingrowth</w:t>
            </w:r>
          </w:p>
          <w:p w14:paraId="19D118CD"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Stent occlusion due to tumour overgrowth</w:t>
            </w:r>
          </w:p>
          <w:p w14:paraId="05B11F3B" w14:textId="74534527" w:rsidR="00E4345F" w:rsidRPr="00E4345F" w:rsidRDefault="00E4345F" w:rsidP="001A06E7">
            <w:pPr>
              <w:jc w:val="left"/>
              <w:rPr>
                <w:rFonts w:asciiTheme="minorHAnsi" w:hAnsiTheme="minorHAnsi" w:cstheme="minorHAnsi"/>
              </w:rPr>
            </w:pPr>
            <w:r w:rsidRPr="00E4345F">
              <w:rPr>
                <w:rFonts w:asciiTheme="minorHAnsi" w:hAnsiTheme="minorHAnsi" w:cstheme="minorHAnsi"/>
              </w:rPr>
              <w:t>Stent occlusion due to sludge (with or without stones), haemobilia</w:t>
            </w:r>
          </w:p>
          <w:p w14:paraId="7707DB18"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Stent migration</w:t>
            </w:r>
          </w:p>
        </w:tc>
      </w:tr>
      <w:tr w:rsidR="00E4345F" w:rsidRPr="00E4345F" w14:paraId="664D0DA5" w14:textId="77777777" w:rsidTr="001A06E7">
        <w:tc>
          <w:tcPr>
            <w:tcW w:w="2972" w:type="dxa"/>
            <w:tcBorders>
              <w:left w:val="nil"/>
            </w:tcBorders>
          </w:tcPr>
          <w:p w14:paraId="0C3A0ABA"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Need for unscheduled reintervention to achieve adequate biliary drainage.</w:t>
            </w:r>
          </w:p>
        </w:tc>
        <w:tc>
          <w:tcPr>
            <w:tcW w:w="6090" w:type="dxa"/>
            <w:tcBorders>
              <w:right w:val="nil"/>
            </w:tcBorders>
          </w:tcPr>
          <w:p w14:paraId="29BA2C95"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Percutaneous or endoscopic reintervention prior to experiencing functional success.</w:t>
            </w:r>
          </w:p>
        </w:tc>
      </w:tr>
      <w:tr w:rsidR="00E4345F" w:rsidRPr="00E4345F" w14:paraId="773260CC" w14:textId="77777777" w:rsidTr="001A06E7">
        <w:tc>
          <w:tcPr>
            <w:tcW w:w="2972" w:type="dxa"/>
            <w:tcBorders>
              <w:left w:val="nil"/>
            </w:tcBorders>
          </w:tcPr>
          <w:p w14:paraId="351151A7"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Need for permanent external percutaneous drainage catheters</w:t>
            </w:r>
          </w:p>
        </w:tc>
        <w:tc>
          <w:tcPr>
            <w:tcW w:w="6090" w:type="dxa"/>
            <w:tcBorders>
              <w:right w:val="nil"/>
            </w:tcBorders>
          </w:tcPr>
          <w:p w14:paraId="74763DEB"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External percutaneous drainage catheter in situ at end of follow-up.</w:t>
            </w:r>
          </w:p>
        </w:tc>
      </w:tr>
      <w:tr w:rsidR="00E4345F" w:rsidRPr="00E4345F" w14:paraId="69399ABB" w14:textId="77777777" w:rsidTr="001A06E7">
        <w:tc>
          <w:tcPr>
            <w:tcW w:w="2972" w:type="dxa"/>
            <w:tcBorders>
              <w:left w:val="nil"/>
            </w:tcBorders>
          </w:tcPr>
          <w:p w14:paraId="62B858D6"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Time to reintervention</w:t>
            </w:r>
          </w:p>
        </w:tc>
        <w:tc>
          <w:tcPr>
            <w:tcW w:w="6090" w:type="dxa"/>
            <w:tcBorders>
              <w:right w:val="nil"/>
            </w:tcBorders>
          </w:tcPr>
          <w:p w14:paraId="5534E4C7"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Time between metal stent placement and reintervention.</w:t>
            </w:r>
          </w:p>
        </w:tc>
      </w:tr>
      <w:tr w:rsidR="00E4345F" w:rsidRPr="00E4345F" w14:paraId="17408440" w14:textId="77777777" w:rsidTr="001A06E7">
        <w:tc>
          <w:tcPr>
            <w:tcW w:w="2972" w:type="dxa"/>
            <w:tcBorders>
              <w:left w:val="nil"/>
            </w:tcBorders>
          </w:tcPr>
          <w:p w14:paraId="61F1DC1C"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Number of (non-elective) reinterventions</w:t>
            </w:r>
          </w:p>
        </w:tc>
        <w:tc>
          <w:tcPr>
            <w:tcW w:w="6090" w:type="dxa"/>
            <w:tcBorders>
              <w:right w:val="nil"/>
            </w:tcBorders>
          </w:tcPr>
          <w:p w14:paraId="169618C2"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Number of reinterventions.</w:t>
            </w:r>
          </w:p>
        </w:tc>
      </w:tr>
      <w:tr w:rsidR="00E4345F" w:rsidRPr="00E4345F" w14:paraId="01FCA267" w14:textId="77777777" w:rsidTr="001A06E7">
        <w:tc>
          <w:tcPr>
            <w:tcW w:w="2972" w:type="dxa"/>
            <w:tcBorders>
              <w:left w:val="nil"/>
            </w:tcBorders>
          </w:tcPr>
          <w:p w14:paraId="211E4074"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Stent patency after repeated eRFA</w:t>
            </w:r>
          </w:p>
        </w:tc>
        <w:tc>
          <w:tcPr>
            <w:tcW w:w="6090" w:type="dxa"/>
            <w:tcBorders>
              <w:right w:val="nil"/>
            </w:tcBorders>
          </w:tcPr>
          <w:p w14:paraId="209B5445"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Time to recurrent biliary obstruction after repeated eRFA (in case of recurrent biliary obstruction in intervention arm).</w:t>
            </w:r>
          </w:p>
        </w:tc>
      </w:tr>
      <w:tr w:rsidR="00E4345F" w:rsidRPr="00E4345F" w14:paraId="1A08B90E" w14:textId="77777777" w:rsidTr="001A06E7">
        <w:tc>
          <w:tcPr>
            <w:tcW w:w="2972" w:type="dxa"/>
            <w:tcBorders>
              <w:left w:val="nil"/>
            </w:tcBorders>
          </w:tcPr>
          <w:p w14:paraId="53EEF9E5"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Acute pancreatitis</w:t>
            </w:r>
          </w:p>
        </w:tc>
        <w:tc>
          <w:tcPr>
            <w:tcW w:w="6090" w:type="dxa"/>
            <w:tcBorders>
              <w:right w:val="nil"/>
            </w:tcBorders>
          </w:tcPr>
          <w:p w14:paraId="11F5B40B" w14:textId="502FA20F" w:rsidR="00E4345F" w:rsidRPr="00E4345F" w:rsidRDefault="00E4345F" w:rsidP="001A06E7">
            <w:pPr>
              <w:jc w:val="left"/>
              <w:rPr>
                <w:rFonts w:asciiTheme="minorHAnsi" w:hAnsiTheme="minorHAnsi" w:cstheme="minorHAnsi"/>
              </w:rPr>
            </w:pPr>
            <w:r w:rsidRPr="00E4345F">
              <w:rPr>
                <w:rFonts w:asciiTheme="minorHAnsi" w:hAnsiTheme="minorHAnsi" w:cstheme="minorHAnsi"/>
              </w:rPr>
              <w:t xml:space="preserve">(I) new or worsened abdominal pain; (ii) new or prolonged hospitalization for at least 2 days; and (iii) serum amylase or lipase &gt; threefold upper limit of normal, measured &gt;24h after the procedure (Cotton criteria) </w:t>
            </w:r>
            <w:r w:rsidRPr="00E4345F">
              <w:rPr>
                <w:rFonts w:asciiTheme="minorHAnsi" w:hAnsiTheme="minorHAnsi" w:cstheme="minorHAnsi"/>
              </w:rPr>
              <w:fldChar w:fldCharType="begin"/>
            </w:r>
            <w:r w:rsidRPr="00E4345F">
              <w:rPr>
                <w:rFonts w:asciiTheme="minorHAnsi" w:hAnsiTheme="minorHAnsi" w:cstheme="minorHAnsi"/>
              </w:rPr>
              <w:instrText xml:space="preserve"> ADDIN EN.CITE &lt;EndNote&gt;&lt;Cite&gt;&lt;Author&gt;Cotton&lt;/Author&gt;&lt;Year&gt;1991&lt;/Year&gt;&lt;RecNum&gt;264&lt;/RecNum&gt;&lt;DisplayText&gt;[1]&lt;/DisplayText&gt;&lt;record&gt;&lt;rec-number&gt;264&lt;/rec-number&gt;&lt;foreign-keys&gt;&lt;key app="EN" db-id="rp9zpdr29az9ese2dxlpzwxr0sszte20r0zs" timestamp="1771515552"&gt;264&lt;/key&gt;&lt;/foreign-keys&gt;&lt;ref-type name="Journal Article"&gt;17&lt;/ref-type&gt;&lt;contributors&gt;&lt;authors&gt;&lt;author&gt;Cotton, P. B.&lt;/author&gt;&lt;author&gt;Lehman, G.&lt;/author&gt;&lt;author&gt;Vennes, J.&lt;/author&gt;&lt;author&gt;Geenen, J. E.&lt;/author&gt;&lt;author&gt;Russell, R. C.&lt;/author&gt;&lt;author&gt;Meyers, W. C.&lt;/author&gt;&lt;author&gt;Liguory, C.&lt;/author&gt;&lt;author&gt;Nickl, N.&lt;/author&gt;&lt;/authors&gt;&lt;/contributors&gt;&lt;auth-address&gt;Department of Medicine, Duke University Medical Center, Durham, North Carolina 27710.&lt;/auth-address&gt;&lt;titles&gt;&lt;title&gt;Endoscopic sphincterotomy complications and their management: an attempt at consensus&lt;/title&gt;&lt;secondary-title&gt;Gastrointest Endosc&lt;/secondary-title&gt;&lt;/titles&gt;&lt;periodical&gt;&lt;full-title&gt;Gastrointest Endosc&lt;/full-title&gt;&lt;/periodical&gt;&lt;pages&gt;383-93&lt;/pages&gt;&lt;volume&gt;37&lt;/volume&gt;&lt;number&gt;3&lt;/number&gt;&lt;keywords&gt;&lt;keyword&gt;Cholangiopancreatography, Endoscopic Retrograde/adverse effects&lt;/keyword&gt;&lt;keyword&gt;Duodenum/injuries&lt;/keyword&gt;&lt;keyword&gt;Hemorrhage/etiology&lt;/keyword&gt;&lt;keyword&gt;Humans&lt;/keyword&gt;&lt;keyword&gt;Infections/diagnosis/etiology/therapy&lt;/keyword&gt;&lt;keyword&gt;Intestinal Perforation/diagnosis/etiology/therapy&lt;/keyword&gt;&lt;keyword&gt;Pancreatitis/etiology/prevention &amp;amp; control/therapy&lt;/keyword&gt;&lt;keyword&gt;Risk Factors&lt;/keyword&gt;&lt;keyword&gt;Sphincterotomy, Transduodenal/*adverse effects/methods&lt;/keyword&gt;&lt;/keywords&gt;&lt;dates&gt;&lt;year&gt;1991&lt;/year&gt;&lt;pub-dates&gt;&lt;date&gt;May-Jun&lt;/date&gt;&lt;/pub-dates&gt;&lt;/dates&gt;&lt;isbn&gt;0016-5107 (Print)&amp;#xD;0016-5107&lt;/isbn&gt;&lt;accession-num&gt;2070995&lt;/accession-num&gt;&lt;urls&gt;&lt;/urls&gt;&lt;electronic-resource-num&gt;10.1016/s0016-5107(91)70740-2&lt;/electronic-resource-num&gt;&lt;remote-database-provider&gt;NLM&lt;/remote-database-provider&gt;&lt;language&gt;eng&lt;/language&gt;&lt;/record&gt;&lt;/Cite&gt;&lt;/EndNote&gt;</w:instrText>
            </w:r>
            <w:r w:rsidRPr="00E4345F">
              <w:rPr>
                <w:rFonts w:asciiTheme="minorHAnsi" w:hAnsiTheme="minorHAnsi" w:cstheme="minorHAnsi"/>
              </w:rPr>
              <w:fldChar w:fldCharType="separate"/>
            </w:r>
            <w:r w:rsidRPr="00E4345F">
              <w:rPr>
                <w:rFonts w:asciiTheme="minorHAnsi" w:hAnsiTheme="minorHAnsi" w:cstheme="minorHAnsi"/>
              </w:rPr>
              <w:t>[1]</w:t>
            </w:r>
            <w:r w:rsidRPr="00E4345F">
              <w:rPr>
                <w:rFonts w:asciiTheme="minorHAnsi" w:hAnsiTheme="minorHAnsi" w:cstheme="minorHAnsi"/>
              </w:rPr>
              <w:fldChar w:fldCharType="end"/>
            </w:r>
            <w:r w:rsidRPr="00E4345F">
              <w:rPr>
                <w:rFonts w:asciiTheme="minorHAnsi" w:hAnsiTheme="minorHAnsi" w:cstheme="minorHAnsi"/>
              </w:rPr>
              <w:t xml:space="preserve">. </w:t>
            </w:r>
          </w:p>
        </w:tc>
      </w:tr>
      <w:tr w:rsidR="00E4345F" w:rsidRPr="00E4345F" w14:paraId="4083FB00" w14:textId="77777777" w:rsidTr="001A06E7">
        <w:tc>
          <w:tcPr>
            <w:tcW w:w="2972" w:type="dxa"/>
            <w:tcBorders>
              <w:left w:val="nil"/>
            </w:tcBorders>
          </w:tcPr>
          <w:p w14:paraId="5BB00442"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lastRenderedPageBreak/>
              <w:t>Post-procedural bleeding</w:t>
            </w:r>
          </w:p>
        </w:tc>
        <w:tc>
          <w:tcPr>
            <w:tcW w:w="6090" w:type="dxa"/>
            <w:tcBorders>
              <w:right w:val="nil"/>
            </w:tcBorders>
          </w:tcPr>
          <w:p w14:paraId="0AA03E55" w14:textId="027AF0D4" w:rsidR="00E4345F" w:rsidRPr="00E4345F" w:rsidRDefault="00E4345F" w:rsidP="001A06E7">
            <w:pPr>
              <w:jc w:val="left"/>
              <w:rPr>
                <w:rFonts w:asciiTheme="minorHAnsi" w:hAnsiTheme="minorHAnsi" w:cstheme="minorHAnsi"/>
              </w:rPr>
            </w:pPr>
            <w:r w:rsidRPr="00E4345F">
              <w:rPr>
                <w:rFonts w:asciiTheme="minorHAnsi" w:hAnsiTheme="minorHAnsi" w:cstheme="minorHAnsi"/>
              </w:rPr>
              <w:t>Clinical evidence of bleeding with a haemoglobin drop of &gt;3g/dl with the need for resuscitation or additional intervention.</w:t>
            </w:r>
          </w:p>
        </w:tc>
      </w:tr>
      <w:tr w:rsidR="00E4345F" w:rsidRPr="00E4345F" w14:paraId="4EB48FF3" w14:textId="77777777" w:rsidTr="001A06E7">
        <w:tc>
          <w:tcPr>
            <w:tcW w:w="2972" w:type="dxa"/>
            <w:tcBorders>
              <w:left w:val="nil"/>
            </w:tcBorders>
          </w:tcPr>
          <w:p w14:paraId="22410AB7"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Cholangitis (non-occlusion cholangitis)</w:t>
            </w:r>
          </w:p>
        </w:tc>
        <w:tc>
          <w:tcPr>
            <w:tcW w:w="6090" w:type="dxa"/>
            <w:tcBorders>
              <w:right w:val="nil"/>
            </w:tcBorders>
          </w:tcPr>
          <w:p w14:paraId="3444CE8C"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Fever &gt;38°C continues &gt;24h with cholestasis observed (gamma-glutamyl transpeptidase, ALT, and AST &gt;1.5× higher than the upper limit of normal value), and when there is neither biliary dilation of the drained bile ducts on imaging studies nor a definite finding of stent occlusion or migration at the time of a reintervention.</w:t>
            </w:r>
          </w:p>
        </w:tc>
      </w:tr>
      <w:tr w:rsidR="00E4345F" w:rsidRPr="00E4345F" w14:paraId="012D90B7" w14:textId="77777777" w:rsidTr="001A06E7">
        <w:tc>
          <w:tcPr>
            <w:tcW w:w="2972" w:type="dxa"/>
            <w:tcBorders>
              <w:left w:val="nil"/>
            </w:tcBorders>
          </w:tcPr>
          <w:p w14:paraId="000334DF"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Cholecystitis</w:t>
            </w:r>
          </w:p>
        </w:tc>
        <w:tc>
          <w:tcPr>
            <w:tcW w:w="6090" w:type="dxa"/>
            <w:tcBorders>
              <w:right w:val="nil"/>
            </w:tcBorders>
          </w:tcPr>
          <w:p w14:paraId="16100F74"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Fever&gt;38 or right upper abdominal pain occurs with supportive imaging studies.</w:t>
            </w:r>
          </w:p>
        </w:tc>
      </w:tr>
      <w:tr w:rsidR="00E4345F" w:rsidRPr="00E4345F" w14:paraId="4EF788EA" w14:textId="77777777" w:rsidTr="001A06E7">
        <w:tc>
          <w:tcPr>
            <w:tcW w:w="2972" w:type="dxa"/>
            <w:tcBorders>
              <w:left w:val="nil"/>
            </w:tcBorders>
          </w:tcPr>
          <w:p w14:paraId="4C1566ED"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Perforation</w:t>
            </w:r>
          </w:p>
        </w:tc>
        <w:tc>
          <w:tcPr>
            <w:tcW w:w="6090" w:type="dxa"/>
            <w:tcBorders>
              <w:right w:val="nil"/>
            </w:tcBorders>
          </w:tcPr>
          <w:p w14:paraId="6C1A7B42"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Evidence of air or luminal contents outside the gastro-intestinal tract.</w:t>
            </w:r>
          </w:p>
        </w:tc>
      </w:tr>
      <w:tr w:rsidR="00E4345F" w:rsidRPr="00E4345F" w14:paraId="5B9EF380" w14:textId="77777777" w:rsidTr="001A06E7">
        <w:tc>
          <w:tcPr>
            <w:tcW w:w="2972" w:type="dxa"/>
            <w:tcBorders>
              <w:left w:val="nil"/>
            </w:tcBorders>
          </w:tcPr>
          <w:p w14:paraId="094C4F41"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Drain dislocation or leakage</w:t>
            </w:r>
          </w:p>
        </w:tc>
        <w:tc>
          <w:tcPr>
            <w:tcW w:w="6090" w:type="dxa"/>
            <w:tcBorders>
              <w:right w:val="nil"/>
            </w:tcBorders>
          </w:tcPr>
          <w:p w14:paraId="4F8926B6"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Drain dislocation or leakage leading to reintervention or death.</w:t>
            </w:r>
          </w:p>
        </w:tc>
      </w:tr>
      <w:tr w:rsidR="00E4345F" w:rsidRPr="00E4345F" w14:paraId="5B2D7877" w14:textId="77777777" w:rsidTr="001A06E7">
        <w:tc>
          <w:tcPr>
            <w:tcW w:w="2972" w:type="dxa"/>
            <w:tcBorders>
              <w:left w:val="nil"/>
            </w:tcBorders>
          </w:tcPr>
          <w:p w14:paraId="7BF0581A"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Ischemic liver events</w:t>
            </w:r>
          </w:p>
        </w:tc>
        <w:tc>
          <w:tcPr>
            <w:tcW w:w="6090" w:type="dxa"/>
            <w:tcBorders>
              <w:right w:val="nil"/>
            </w:tcBorders>
          </w:tcPr>
          <w:p w14:paraId="4E70DF25"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Evidence of ischemic liver event on imaging.</w:t>
            </w:r>
          </w:p>
        </w:tc>
      </w:tr>
      <w:tr w:rsidR="00E4345F" w:rsidRPr="00E4345F" w14:paraId="334430E1" w14:textId="77777777" w:rsidTr="001A06E7">
        <w:tc>
          <w:tcPr>
            <w:tcW w:w="2972" w:type="dxa"/>
            <w:tcBorders>
              <w:left w:val="nil"/>
            </w:tcBorders>
          </w:tcPr>
          <w:p w14:paraId="7A7347E4"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Overall survival</w:t>
            </w:r>
          </w:p>
        </w:tc>
        <w:tc>
          <w:tcPr>
            <w:tcW w:w="6090" w:type="dxa"/>
            <w:tcBorders>
              <w:right w:val="nil"/>
            </w:tcBorders>
          </w:tcPr>
          <w:p w14:paraId="3399EDCA"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Time between date of diagnosis (date of MDT meeting, in case unavailable date of pathological diagnosis) and death.</w:t>
            </w:r>
          </w:p>
        </w:tc>
      </w:tr>
      <w:tr w:rsidR="00E4345F" w:rsidRPr="00E4345F" w14:paraId="623328D7" w14:textId="77777777" w:rsidTr="001A06E7">
        <w:tc>
          <w:tcPr>
            <w:tcW w:w="2972" w:type="dxa"/>
            <w:tcBorders>
              <w:left w:val="nil"/>
            </w:tcBorders>
          </w:tcPr>
          <w:p w14:paraId="5A14010D"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Survival since procedure</w:t>
            </w:r>
          </w:p>
        </w:tc>
        <w:tc>
          <w:tcPr>
            <w:tcW w:w="6090" w:type="dxa"/>
            <w:tcBorders>
              <w:right w:val="nil"/>
            </w:tcBorders>
          </w:tcPr>
          <w:p w14:paraId="4C793D58" w14:textId="77777777" w:rsidR="00E4345F" w:rsidRPr="00E4345F" w:rsidRDefault="00E4345F" w:rsidP="001A06E7">
            <w:pPr>
              <w:jc w:val="left"/>
              <w:rPr>
                <w:rFonts w:asciiTheme="minorHAnsi" w:hAnsiTheme="minorHAnsi" w:cstheme="minorHAnsi"/>
              </w:rPr>
            </w:pPr>
            <w:r w:rsidRPr="00E4345F">
              <w:rPr>
                <w:rFonts w:asciiTheme="minorHAnsi" w:hAnsiTheme="minorHAnsi" w:cstheme="minorHAnsi"/>
              </w:rPr>
              <w:t>Time between procedure and death.</w:t>
            </w:r>
          </w:p>
        </w:tc>
      </w:tr>
    </w:tbl>
    <w:p w14:paraId="5FB2B212" w14:textId="77777777" w:rsidR="00E4345F" w:rsidRPr="00E4345F" w:rsidRDefault="00E4345F" w:rsidP="00E4345F">
      <w:pPr>
        <w:rPr>
          <w:rFonts w:asciiTheme="minorHAnsi" w:hAnsiTheme="minorHAnsi" w:cstheme="minorHAnsi"/>
        </w:rPr>
      </w:pPr>
      <w:r w:rsidRPr="00E4345F">
        <w:rPr>
          <w:rFonts w:asciiTheme="minorHAnsi" w:hAnsiTheme="minorHAnsi" w:cstheme="minorHAnsi"/>
        </w:rPr>
        <w:t>Abbreviations: ALT, alanine transaminase; AST, aspartate aminotransferase; eRFA, endobiliary radiofrequency ablation; MDT, multidisciplinary team.</w:t>
      </w:r>
    </w:p>
    <w:p w14:paraId="656640F1" w14:textId="77777777" w:rsidR="00E4345F" w:rsidRPr="00E4345F" w:rsidRDefault="00E4345F" w:rsidP="00E4345F">
      <w:pPr>
        <w:rPr>
          <w:rFonts w:asciiTheme="minorHAnsi" w:hAnsiTheme="minorHAnsi" w:cstheme="minorHAnsi"/>
        </w:rPr>
      </w:pPr>
    </w:p>
    <w:p w14:paraId="317599CC" w14:textId="77777777" w:rsidR="00E4345F" w:rsidRPr="00E4345F" w:rsidRDefault="00E4345F" w:rsidP="00E1684F">
      <w:pPr>
        <w:rPr>
          <w:rFonts w:asciiTheme="minorHAnsi" w:hAnsiTheme="minorHAnsi" w:cstheme="minorHAnsi"/>
        </w:rPr>
      </w:pPr>
    </w:p>
    <w:p w14:paraId="31DEA965" w14:textId="77777777" w:rsidR="00E4345F" w:rsidRPr="00E4345F" w:rsidRDefault="00E4345F" w:rsidP="00E4345F">
      <w:pPr>
        <w:pStyle w:val="EndNoteBibliography"/>
        <w:ind w:left="720" w:hanging="720"/>
        <w:rPr>
          <w:rFonts w:asciiTheme="minorHAnsi" w:hAnsiTheme="minorHAnsi" w:cstheme="minorHAnsi"/>
        </w:rPr>
      </w:pPr>
      <w:r w:rsidRPr="00E4345F">
        <w:rPr>
          <w:rFonts w:asciiTheme="minorHAnsi" w:hAnsiTheme="minorHAnsi" w:cstheme="minorHAnsi"/>
        </w:rPr>
        <w:fldChar w:fldCharType="begin"/>
      </w:r>
      <w:r w:rsidRPr="00E4345F">
        <w:rPr>
          <w:rFonts w:asciiTheme="minorHAnsi" w:hAnsiTheme="minorHAnsi" w:cstheme="minorHAnsi"/>
        </w:rPr>
        <w:instrText xml:space="preserve"> ADDIN EN.REFLIST </w:instrText>
      </w:r>
      <w:r w:rsidRPr="00E4345F">
        <w:rPr>
          <w:rFonts w:asciiTheme="minorHAnsi" w:hAnsiTheme="minorHAnsi" w:cstheme="minorHAnsi"/>
        </w:rPr>
        <w:fldChar w:fldCharType="separate"/>
      </w:r>
      <w:r w:rsidRPr="00E4345F">
        <w:rPr>
          <w:rFonts w:asciiTheme="minorHAnsi" w:hAnsiTheme="minorHAnsi" w:cstheme="minorHAnsi"/>
        </w:rPr>
        <w:t>1.</w:t>
      </w:r>
      <w:r w:rsidRPr="00E4345F">
        <w:rPr>
          <w:rFonts w:asciiTheme="minorHAnsi" w:hAnsiTheme="minorHAnsi" w:cstheme="minorHAnsi"/>
        </w:rPr>
        <w:tab/>
        <w:t>Cotton, P.B., et al., Endoscopic sphincterotomy complications and their management: an attempt at consensus. Gastrointest Endosc, 1991. 37(3): p. 383–93.</w:t>
      </w:r>
    </w:p>
    <w:p w14:paraId="1988CB83" w14:textId="782B5812" w:rsidR="00505539" w:rsidRPr="00E4345F" w:rsidRDefault="00E4345F" w:rsidP="00E1684F">
      <w:pPr>
        <w:rPr>
          <w:rFonts w:asciiTheme="minorHAnsi" w:hAnsiTheme="minorHAnsi" w:cstheme="minorHAnsi"/>
        </w:rPr>
      </w:pPr>
      <w:r w:rsidRPr="00E4345F">
        <w:rPr>
          <w:rFonts w:asciiTheme="minorHAnsi" w:hAnsiTheme="minorHAnsi" w:cstheme="minorHAnsi"/>
        </w:rPr>
        <w:fldChar w:fldCharType="end"/>
      </w:r>
    </w:p>
    <w:sectPr w:rsidR="00505539" w:rsidRPr="00E4345F" w:rsidSect="007505F9">
      <w:footerReference w:type="default" r:id="rId11"/>
      <w:pgSz w:w="11906" w:h="16838"/>
      <w:pgMar w:top="1417" w:right="1417" w:bottom="1417" w:left="1417"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39448" w14:textId="77777777" w:rsidR="007505F9" w:rsidRDefault="007505F9" w:rsidP="007505F9">
      <w:pPr>
        <w:spacing w:line="240" w:lineRule="auto"/>
      </w:pPr>
      <w:r>
        <w:separator/>
      </w:r>
    </w:p>
  </w:endnote>
  <w:endnote w:type="continuationSeparator" w:id="0">
    <w:p w14:paraId="58CD965D" w14:textId="77777777" w:rsidR="007505F9" w:rsidRDefault="007505F9" w:rsidP="007505F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Jost Light">
    <w:altName w:val="Calibri"/>
    <w:charset w:val="4D"/>
    <w:family w:val="auto"/>
    <w:pitch w:val="variable"/>
    <w:sig w:usb0="A00002EF" w:usb1="0000205B" w:usb2="00000010" w:usb3="00000000" w:csb0="00000097"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2116780"/>
      <w:docPartObj>
        <w:docPartGallery w:val="Page Numbers (Bottom of Page)"/>
        <w:docPartUnique/>
      </w:docPartObj>
    </w:sdtPr>
    <w:sdtContent>
      <w:p w14:paraId="49E80A59" w14:textId="6CA788DF" w:rsidR="007505F9" w:rsidRDefault="007505F9">
        <w:pPr>
          <w:pStyle w:val="Voettekst"/>
          <w:jc w:val="right"/>
        </w:pPr>
        <w:r>
          <w:fldChar w:fldCharType="begin"/>
        </w:r>
        <w:r>
          <w:instrText>PAGE   \* MERGEFORMAT</w:instrText>
        </w:r>
        <w:r>
          <w:fldChar w:fldCharType="separate"/>
        </w:r>
        <w:r>
          <w:rPr>
            <w:lang w:val="nl-NL"/>
          </w:rPr>
          <w:t>2</w:t>
        </w:r>
        <w:r>
          <w:fldChar w:fldCharType="end"/>
        </w:r>
      </w:p>
    </w:sdtContent>
  </w:sdt>
  <w:p w14:paraId="527A9E26" w14:textId="77777777" w:rsidR="007505F9" w:rsidRDefault="007505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C8B1C" w14:textId="77777777" w:rsidR="007505F9" w:rsidRDefault="007505F9" w:rsidP="007505F9">
      <w:pPr>
        <w:spacing w:line="240" w:lineRule="auto"/>
      </w:pPr>
      <w:r>
        <w:separator/>
      </w:r>
    </w:p>
  </w:footnote>
  <w:footnote w:type="continuationSeparator" w:id="0">
    <w:p w14:paraId="6A980750" w14:textId="77777777" w:rsidR="007505F9" w:rsidRDefault="007505F9" w:rsidP="007505F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940EB6"/>
    <w:multiLevelType w:val="hybridMultilevel"/>
    <w:tmpl w:val="138E8F4C"/>
    <w:lvl w:ilvl="0" w:tplc="F224100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4FD0D76"/>
    <w:multiLevelType w:val="hybridMultilevel"/>
    <w:tmpl w:val="25628CA0"/>
    <w:lvl w:ilvl="0" w:tplc="5C7C7880">
      <w:start w:val="1"/>
      <w:numFmt w:val="decimal"/>
      <w:pStyle w:val="Lijst"/>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D261423"/>
    <w:multiLevelType w:val="multilevel"/>
    <w:tmpl w:val="92BCE30E"/>
    <w:lvl w:ilvl="0">
      <w:start w:val="1"/>
      <w:numFmt w:val="decimal"/>
      <w:pStyle w:val="Kop1-genummerd"/>
      <w:lvlText w:val="%1."/>
      <w:lvlJc w:val="left"/>
      <w:pPr>
        <w:ind w:left="360" w:hanging="360"/>
      </w:pPr>
      <w:rPr>
        <w:rFonts w:hint="default"/>
      </w:rPr>
    </w:lvl>
    <w:lvl w:ilvl="1">
      <w:start w:val="1"/>
      <w:numFmt w:val="decimal"/>
      <w:lvlRestart w:val="0"/>
      <w:pStyle w:val="Kop2-genummerd"/>
      <w:lvlText w:val="%1.%2."/>
      <w:lvlJc w:val="left"/>
      <w:pPr>
        <w:ind w:left="720" w:hanging="360"/>
      </w:pPr>
      <w:rPr>
        <w:rFonts w:hint="default"/>
      </w:rPr>
    </w:lvl>
    <w:lvl w:ilvl="2">
      <w:start w:val="1"/>
      <w:numFmt w:val="decimal"/>
      <w:lvlRestart w:val="0"/>
      <w:pStyle w:val="Kop3-genummerd"/>
      <w:lvlText w:val="%1.%2.%3."/>
      <w:lvlJc w:val="left"/>
      <w:pPr>
        <w:ind w:left="107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E8B0F6F"/>
    <w:multiLevelType w:val="hybridMultilevel"/>
    <w:tmpl w:val="830A89C2"/>
    <w:lvl w:ilvl="0" w:tplc="F224100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48711AC"/>
    <w:multiLevelType w:val="hybridMultilevel"/>
    <w:tmpl w:val="342CE28C"/>
    <w:lvl w:ilvl="0" w:tplc="F224100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7120A29"/>
    <w:multiLevelType w:val="multilevel"/>
    <w:tmpl w:val="D7A6A850"/>
    <w:lvl w:ilvl="0">
      <w:start w:val="1"/>
      <w:numFmt w:val="bullet"/>
      <w:pStyle w:val="Lijstopsomteken"/>
      <w:lvlText w:val=""/>
      <w:lvlJc w:val="left"/>
      <w:pPr>
        <w:ind w:left="357" w:hanging="357"/>
      </w:pPr>
      <w:rPr>
        <w:rFonts w:ascii="Symbol" w:hAnsi="Symbol" w:hint="default"/>
      </w:rPr>
    </w:lvl>
    <w:lvl w:ilvl="1">
      <w:start w:val="1"/>
      <w:numFmt w:val="bullet"/>
      <w:pStyle w:val="Lijstopsomteken2"/>
      <w:lvlText w:val="o"/>
      <w:lvlJc w:val="left"/>
      <w:pPr>
        <w:ind w:left="720" w:hanging="363"/>
      </w:pPr>
      <w:rPr>
        <w:rFonts w:ascii="Courier New" w:hAnsi="Courier New" w:hint="default"/>
      </w:rPr>
    </w:lvl>
    <w:lvl w:ilvl="2">
      <w:start w:val="1"/>
      <w:numFmt w:val="bullet"/>
      <w:lvlRestart w:val="0"/>
      <w:pStyle w:val="Lijstopsomteken3"/>
      <w:lvlText w:val="-"/>
      <w:lvlJc w:val="left"/>
      <w:pPr>
        <w:ind w:left="1077" w:hanging="357"/>
      </w:pPr>
      <w:rPr>
        <w:rFonts w:ascii="Courier New" w:hAnsi="Courier New"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68107910"/>
    <w:multiLevelType w:val="multilevel"/>
    <w:tmpl w:val="AF2472BA"/>
    <w:lvl w:ilvl="0">
      <w:start w:val="1"/>
      <w:numFmt w:val="decimal"/>
      <w:pStyle w:val="Lijstnummering"/>
      <w:lvlText w:val="%1."/>
      <w:lvlJc w:val="left"/>
      <w:pPr>
        <w:ind w:left="357" w:hanging="357"/>
      </w:pPr>
      <w:rPr>
        <w:rFonts w:hint="default"/>
      </w:rPr>
    </w:lvl>
    <w:lvl w:ilvl="1">
      <w:start w:val="1"/>
      <w:numFmt w:val="lowerLetter"/>
      <w:pStyle w:val="Lijstnummering2"/>
      <w:lvlText w:val="%2."/>
      <w:lvlJc w:val="left"/>
      <w:pPr>
        <w:ind w:left="720" w:hanging="363"/>
      </w:pPr>
      <w:rPr>
        <w:rFonts w:hint="default"/>
      </w:rPr>
    </w:lvl>
    <w:lvl w:ilvl="2">
      <w:start w:val="1"/>
      <w:numFmt w:val="lowerRoman"/>
      <w:lvlRestart w:val="0"/>
      <w:pStyle w:val="Lijstnummering3"/>
      <w:lvlText w:val="%3."/>
      <w:lvlJc w:val="lef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6E7375D2"/>
    <w:multiLevelType w:val="hybridMultilevel"/>
    <w:tmpl w:val="A746C1EE"/>
    <w:lvl w:ilvl="0" w:tplc="F224100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B361A87"/>
    <w:multiLevelType w:val="hybridMultilevel"/>
    <w:tmpl w:val="DC88E7D6"/>
    <w:lvl w:ilvl="0" w:tplc="F224100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F941658"/>
    <w:multiLevelType w:val="hybridMultilevel"/>
    <w:tmpl w:val="25C098E8"/>
    <w:lvl w:ilvl="0" w:tplc="D98ED52E">
      <w:start w:val="1"/>
      <w:numFmt w:val="upperRoman"/>
      <w:pStyle w:val="Bijlage"/>
      <w:lvlText w:val="Bijlage %1."/>
      <w:lvlJc w:val="left"/>
      <w:pPr>
        <w:ind w:left="720" w:hanging="360"/>
      </w:pPr>
      <w:rPr>
        <w:rFonts w:hAnsi="Arial Unicode MS" w:hint="default"/>
        <w:b/>
        <w:bCs/>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36105191">
    <w:abstractNumId w:val="1"/>
  </w:num>
  <w:num w:numId="2" w16cid:durableId="1026445243">
    <w:abstractNumId w:val="5"/>
  </w:num>
  <w:num w:numId="3" w16cid:durableId="593171272">
    <w:abstractNumId w:val="6"/>
  </w:num>
  <w:num w:numId="4" w16cid:durableId="1008337569">
    <w:abstractNumId w:val="2"/>
  </w:num>
  <w:num w:numId="5" w16cid:durableId="1200053308">
    <w:abstractNumId w:val="9"/>
  </w:num>
  <w:num w:numId="6" w16cid:durableId="2086148160">
    <w:abstractNumId w:val="2"/>
  </w:num>
  <w:num w:numId="7" w16cid:durableId="108204942">
    <w:abstractNumId w:val="1"/>
  </w:num>
  <w:num w:numId="8" w16cid:durableId="1159425561">
    <w:abstractNumId w:val="5"/>
  </w:num>
  <w:num w:numId="9" w16cid:durableId="517307843">
    <w:abstractNumId w:val="6"/>
  </w:num>
  <w:num w:numId="10" w16cid:durableId="1375159396">
    <w:abstractNumId w:val="5"/>
  </w:num>
  <w:num w:numId="11" w16cid:durableId="1855998875">
    <w:abstractNumId w:val="5"/>
  </w:num>
  <w:num w:numId="12" w16cid:durableId="888762083">
    <w:abstractNumId w:val="6"/>
  </w:num>
  <w:num w:numId="13" w16cid:durableId="1421874605">
    <w:abstractNumId w:val="6"/>
  </w:num>
  <w:num w:numId="14" w16cid:durableId="2034304253">
    <w:abstractNumId w:val="2"/>
  </w:num>
  <w:num w:numId="15" w16cid:durableId="244612863">
    <w:abstractNumId w:val="2"/>
  </w:num>
  <w:num w:numId="16" w16cid:durableId="1683697826">
    <w:abstractNumId w:val="2"/>
  </w:num>
  <w:num w:numId="17" w16cid:durableId="1427270423">
    <w:abstractNumId w:val="9"/>
  </w:num>
  <w:num w:numId="18" w16cid:durableId="1286042416">
    <w:abstractNumId w:val="1"/>
  </w:num>
  <w:num w:numId="19" w16cid:durableId="322970271">
    <w:abstractNumId w:val="5"/>
  </w:num>
  <w:num w:numId="20" w16cid:durableId="616446539">
    <w:abstractNumId w:val="6"/>
  </w:num>
  <w:num w:numId="21" w16cid:durableId="1937398501">
    <w:abstractNumId w:val="5"/>
  </w:num>
  <w:num w:numId="22" w16cid:durableId="1575697738">
    <w:abstractNumId w:val="5"/>
  </w:num>
  <w:num w:numId="23" w16cid:durableId="1820882858">
    <w:abstractNumId w:val="6"/>
  </w:num>
  <w:num w:numId="24" w16cid:durableId="517737764">
    <w:abstractNumId w:val="6"/>
  </w:num>
  <w:num w:numId="25" w16cid:durableId="1748528906">
    <w:abstractNumId w:val="2"/>
  </w:num>
  <w:num w:numId="26" w16cid:durableId="1343433185">
    <w:abstractNumId w:val="2"/>
  </w:num>
  <w:num w:numId="27" w16cid:durableId="1574968135">
    <w:abstractNumId w:val="2"/>
  </w:num>
  <w:num w:numId="28" w16cid:durableId="714815390">
    <w:abstractNumId w:val="9"/>
  </w:num>
  <w:num w:numId="29" w16cid:durableId="946811711">
    <w:abstractNumId w:val="2"/>
  </w:num>
  <w:num w:numId="30" w16cid:durableId="996882843">
    <w:abstractNumId w:val="2"/>
  </w:num>
  <w:num w:numId="31" w16cid:durableId="1606185036">
    <w:abstractNumId w:val="9"/>
  </w:num>
  <w:num w:numId="32" w16cid:durableId="1115752548">
    <w:abstractNumId w:val="2"/>
  </w:num>
  <w:num w:numId="33" w16cid:durableId="108551630">
    <w:abstractNumId w:val="2"/>
  </w:num>
  <w:num w:numId="34" w16cid:durableId="140910734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344930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63388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6602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05621149">
    <w:abstractNumId w:val="2"/>
    <w:lvlOverride w:ilvl="0">
      <w:lvl w:ilvl="0">
        <w:start w:val="1"/>
        <w:numFmt w:val="decimal"/>
        <w:pStyle w:val="Kop1-genummerd"/>
        <w:lvlText w:val="%1."/>
        <w:lvlJc w:val="left"/>
        <w:pPr>
          <w:ind w:left="360" w:hanging="360"/>
        </w:pPr>
        <w:rPr>
          <w:rFonts w:hint="default"/>
        </w:rPr>
      </w:lvl>
    </w:lvlOverride>
    <w:lvlOverride w:ilvl="1">
      <w:lvl w:ilvl="1">
        <w:start w:val="1"/>
        <w:numFmt w:val="decimal"/>
        <w:lvlRestart w:val="0"/>
        <w:pStyle w:val="Kop2-genummerd"/>
        <w:lvlText w:val="%1.%2."/>
        <w:lvlJc w:val="left"/>
        <w:pPr>
          <w:ind w:left="0" w:firstLine="0"/>
        </w:pPr>
        <w:rPr>
          <w:rFonts w:hint="default"/>
        </w:rPr>
      </w:lvl>
    </w:lvlOverride>
    <w:lvlOverride w:ilvl="2">
      <w:lvl w:ilvl="2">
        <w:start w:val="1"/>
        <w:numFmt w:val="decimal"/>
        <w:lvlRestart w:val="0"/>
        <w:pStyle w:val="Kop3-genummerd"/>
        <w:lvlText w:val="%1.%2.%3."/>
        <w:lvlJc w:val="left"/>
        <w:pPr>
          <w:ind w:left="1077" w:hanging="35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9" w16cid:durableId="1537935865">
    <w:abstractNumId w:val="3"/>
  </w:num>
  <w:num w:numId="40" w16cid:durableId="507404619">
    <w:abstractNumId w:val="4"/>
  </w:num>
  <w:num w:numId="41" w16cid:durableId="925072329">
    <w:abstractNumId w:val="0"/>
  </w:num>
  <w:num w:numId="42" w16cid:durableId="318656443">
    <w:abstractNumId w:val="7"/>
  </w:num>
  <w:num w:numId="43" w16cid:durableId="296420458">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Numbered&lt;/Style&gt;&lt;LeftDelim&gt;{&lt;/LeftDelim&gt;&lt;RightDelim&gt;}&lt;/RightDelim&gt;&lt;FontName&gt;Jost Light&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p9zpdr29az9ese2dxlpzwxr0sszte20r0zs&quot;&gt;My EndNote Library&lt;record-ids&gt;&lt;item&gt;264&lt;/item&gt;&lt;/record-ids&gt;&lt;/item&gt;&lt;/Libraries&gt;"/>
  </w:docVars>
  <w:rsids>
    <w:rsidRoot w:val="00F34392"/>
    <w:rsid w:val="001A71D9"/>
    <w:rsid w:val="00225B02"/>
    <w:rsid w:val="00231E0C"/>
    <w:rsid w:val="00291CCF"/>
    <w:rsid w:val="00476272"/>
    <w:rsid w:val="004E10E2"/>
    <w:rsid w:val="00505539"/>
    <w:rsid w:val="00506189"/>
    <w:rsid w:val="005147C8"/>
    <w:rsid w:val="005B2AF3"/>
    <w:rsid w:val="005E4B36"/>
    <w:rsid w:val="006E1286"/>
    <w:rsid w:val="007505F9"/>
    <w:rsid w:val="007D0955"/>
    <w:rsid w:val="00821D64"/>
    <w:rsid w:val="00840A00"/>
    <w:rsid w:val="00870EFD"/>
    <w:rsid w:val="00872AD9"/>
    <w:rsid w:val="00915C38"/>
    <w:rsid w:val="00944185"/>
    <w:rsid w:val="009B60D0"/>
    <w:rsid w:val="00AD3036"/>
    <w:rsid w:val="00B42813"/>
    <w:rsid w:val="00BB0BD6"/>
    <w:rsid w:val="00CF0BFA"/>
    <w:rsid w:val="00D66FC4"/>
    <w:rsid w:val="00DF6498"/>
    <w:rsid w:val="00E1684F"/>
    <w:rsid w:val="00E366D2"/>
    <w:rsid w:val="00E4345F"/>
    <w:rsid w:val="00E55BEF"/>
    <w:rsid w:val="00E70A64"/>
    <w:rsid w:val="00F34392"/>
    <w:rsid w:val="00FF73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7B39F"/>
  <w15:chartTrackingRefBased/>
  <w15:docId w15:val="{F953ECB9-370C-406A-B60A-B49370353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1" w:unhideWhenUsed="1" w:qFormat="1"/>
    <w:lsdException w:name="heading 5" w:semiHidden="1" w:uiPriority="1" w:unhideWhenUsed="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unhideWhenUsed="1" w:qFormat="1"/>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4345F"/>
    <w:pPr>
      <w:spacing w:line="360" w:lineRule="auto"/>
      <w:jc w:val="both"/>
    </w:pPr>
    <w:rPr>
      <w:rFonts w:ascii="Jost Light" w:eastAsiaTheme="minorHAnsi" w:hAnsi="Jost Light" w:cstheme="minorBidi"/>
      <w:sz w:val="22"/>
      <w:szCs w:val="22"/>
      <w:lang w:val="en-GB"/>
    </w:rPr>
  </w:style>
  <w:style w:type="paragraph" w:styleId="Kop1">
    <w:name w:val="heading 1"/>
    <w:basedOn w:val="Standaard"/>
    <w:next w:val="Standaard"/>
    <w:link w:val="Kop1Char"/>
    <w:autoRedefine/>
    <w:uiPriority w:val="9"/>
    <w:qFormat/>
    <w:rsid w:val="00DF6498"/>
    <w:pPr>
      <w:keepNext/>
      <w:spacing w:before="240" w:after="60"/>
      <w:outlineLvl w:val="0"/>
    </w:pPr>
    <w:rPr>
      <w:rFonts w:eastAsiaTheme="majorEastAsia" w:cstheme="majorBidi"/>
      <w:b/>
      <w:bCs/>
      <w:kern w:val="32"/>
      <w:sz w:val="28"/>
      <w:szCs w:val="32"/>
    </w:rPr>
  </w:style>
  <w:style w:type="paragraph" w:styleId="Kop2">
    <w:name w:val="heading 2"/>
    <w:basedOn w:val="Standaard"/>
    <w:next w:val="Standaard"/>
    <w:link w:val="Kop2Char"/>
    <w:autoRedefine/>
    <w:uiPriority w:val="9"/>
    <w:qFormat/>
    <w:rsid w:val="00E55BEF"/>
    <w:pPr>
      <w:keepNext/>
      <w:spacing w:before="180" w:after="60"/>
      <w:outlineLvl w:val="1"/>
    </w:pPr>
    <w:rPr>
      <w:rFonts w:eastAsia="Times New Roman"/>
      <w:bCs/>
      <w:iCs/>
      <w:sz w:val="24"/>
      <w:szCs w:val="28"/>
    </w:rPr>
  </w:style>
  <w:style w:type="paragraph" w:styleId="Kop3">
    <w:name w:val="heading 3"/>
    <w:basedOn w:val="Standaard"/>
    <w:next w:val="Standaard"/>
    <w:link w:val="Kop3Char"/>
    <w:autoRedefine/>
    <w:uiPriority w:val="1"/>
    <w:unhideWhenUsed/>
    <w:qFormat/>
    <w:rsid w:val="00DF6498"/>
    <w:pPr>
      <w:keepNext/>
      <w:spacing w:before="120" w:after="60"/>
      <w:contextualSpacing/>
      <w:outlineLvl w:val="2"/>
    </w:pPr>
    <w:rPr>
      <w:rFonts w:eastAsia="Times New Roman"/>
      <w:b/>
      <w:bCs/>
      <w:smallCaps/>
      <w:szCs w:val="26"/>
    </w:rPr>
  </w:style>
  <w:style w:type="paragraph" w:styleId="Kop4">
    <w:name w:val="heading 4"/>
    <w:basedOn w:val="Standaard"/>
    <w:next w:val="Standaard"/>
    <w:link w:val="Kop4Char"/>
    <w:autoRedefine/>
    <w:uiPriority w:val="1"/>
    <w:unhideWhenUsed/>
    <w:rsid w:val="005B2AF3"/>
    <w:pPr>
      <w:keepNext/>
      <w:spacing w:before="60"/>
      <w:outlineLvl w:val="3"/>
    </w:pPr>
    <w:rPr>
      <w:rFonts w:eastAsiaTheme="minorEastAsia"/>
      <w:b/>
      <w:bCs/>
      <w:szCs w:val="28"/>
    </w:rPr>
  </w:style>
  <w:style w:type="paragraph" w:styleId="Kop5">
    <w:name w:val="heading 5"/>
    <w:basedOn w:val="Standaard"/>
    <w:next w:val="Standaard"/>
    <w:link w:val="Kop5Char"/>
    <w:uiPriority w:val="1"/>
    <w:semiHidden/>
    <w:unhideWhenUsed/>
    <w:rsid w:val="00F34392"/>
    <w:pPr>
      <w:keepNext/>
      <w:keepLines/>
      <w:spacing w:before="80" w:after="40"/>
      <w:outlineLvl w:val="4"/>
    </w:pPr>
    <w:rPr>
      <w:rFonts w:asciiTheme="minorHAnsi" w:eastAsiaTheme="majorEastAsia" w:hAnsiTheme="minorHAnsi" w:cstheme="majorBidi"/>
      <w:color w:val="365F91" w:themeColor="accent1" w:themeShade="BF"/>
    </w:rPr>
  </w:style>
  <w:style w:type="paragraph" w:styleId="Kop6">
    <w:name w:val="heading 6"/>
    <w:basedOn w:val="Standaard"/>
    <w:next w:val="Standaard"/>
    <w:link w:val="Kop6Char"/>
    <w:uiPriority w:val="1"/>
    <w:semiHidden/>
    <w:unhideWhenUsed/>
    <w:qFormat/>
    <w:rsid w:val="00F34392"/>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1"/>
    <w:semiHidden/>
    <w:unhideWhenUsed/>
    <w:qFormat/>
    <w:rsid w:val="00F34392"/>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1"/>
    <w:semiHidden/>
    <w:unhideWhenUsed/>
    <w:qFormat/>
    <w:rsid w:val="00F34392"/>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1"/>
    <w:semiHidden/>
    <w:unhideWhenUsed/>
    <w:qFormat/>
    <w:rsid w:val="00F34392"/>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uiPriority w:val="9"/>
    <w:rsid w:val="00E55BEF"/>
    <w:rPr>
      <w:rFonts w:ascii="Trebuchet MS" w:eastAsia="Times New Roman" w:hAnsi="Trebuchet MS"/>
      <w:bCs/>
      <w:iCs/>
      <w:sz w:val="24"/>
      <w:szCs w:val="28"/>
    </w:rPr>
  </w:style>
  <w:style w:type="character" w:customStyle="1" w:styleId="Kop3Char">
    <w:name w:val="Kop 3 Char"/>
    <w:link w:val="Kop3"/>
    <w:uiPriority w:val="1"/>
    <w:rsid w:val="00DF6498"/>
    <w:rPr>
      <w:rFonts w:ascii="Trebuchet MS" w:eastAsia="Times New Roman" w:hAnsi="Trebuchet MS"/>
      <w:b/>
      <w:bCs/>
      <w:smallCaps/>
      <w:sz w:val="22"/>
      <w:szCs w:val="26"/>
    </w:rPr>
  </w:style>
  <w:style w:type="character" w:customStyle="1" w:styleId="Kop1Char">
    <w:name w:val="Kop 1 Char"/>
    <w:link w:val="Kop1"/>
    <w:uiPriority w:val="9"/>
    <w:rsid w:val="00DF6498"/>
    <w:rPr>
      <w:rFonts w:ascii="Trebuchet MS" w:eastAsiaTheme="majorEastAsia" w:hAnsi="Trebuchet MS" w:cstheme="majorBidi"/>
      <w:b/>
      <w:bCs/>
      <w:kern w:val="32"/>
      <w:sz w:val="28"/>
      <w:szCs w:val="32"/>
    </w:rPr>
  </w:style>
  <w:style w:type="paragraph" w:styleId="Titel">
    <w:name w:val="Title"/>
    <w:basedOn w:val="Standaard"/>
    <w:next w:val="Standaard"/>
    <w:link w:val="TitelChar"/>
    <w:autoRedefine/>
    <w:qFormat/>
    <w:rsid w:val="00E4345F"/>
    <w:pPr>
      <w:spacing w:before="240" w:after="60"/>
      <w:jc w:val="left"/>
      <w:outlineLvl w:val="0"/>
    </w:pPr>
    <w:rPr>
      <w:rFonts w:eastAsiaTheme="majorEastAsia" w:cstheme="majorBidi"/>
      <w:b/>
      <w:bCs/>
      <w:kern w:val="28"/>
      <w:sz w:val="32"/>
      <w:szCs w:val="32"/>
    </w:rPr>
  </w:style>
  <w:style w:type="character" w:customStyle="1" w:styleId="TitelChar">
    <w:name w:val="Titel Char"/>
    <w:link w:val="Titel"/>
    <w:rsid w:val="00E4345F"/>
    <w:rPr>
      <w:rFonts w:ascii="Jost Light" w:eastAsiaTheme="majorEastAsia" w:hAnsi="Jost Light" w:cstheme="majorBidi"/>
      <w:b/>
      <w:bCs/>
      <w:kern w:val="28"/>
      <w:sz w:val="32"/>
      <w:szCs w:val="32"/>
      <w:lang w:val="en-GB"/>
    </w:rPr>
  </w:style>
  <w:style w:type="paragraph" w:styleId="Ondertitel">
    <w:name w:val="Subtitle"/>
    <w:basedOn w:val="Standaard"/>
    <w:next w:val="Standaard"/>
    <w:link w:val="OndertitelChar"/>
    <w:autoRedefine/>
    <w:uiPriority w:val="11"/>
    <w:qFormat/>
    <w:rsid w:val="00DF6498"/>
    <w:pPr>
      <w:spacing w:after="60"/>
      <w:jc w:val="center"/>
      <w:outlineLvl w:val="1"/>
    </w:pPr>
    <w:rPr>
      <w:rFonts w:eastAsia="Times New Roman"/>
      <w:sz w:val="24"/>
      <w:szCs w:val="24"/>
    </w:rPr>
  </w:style>
  <w:style w:type="character" w:customStyle="1" w:styleId="OndertitelChar">
    <w:name w:val="Ondertitel Char"/>
    <w:link w:val="Ondertitel"/>
    <w:uiPriority w:val="11"/>
    <w:rsid w:val="00DF6498"/>
    <w:rPr>
      <w:rFonts w:ascii="Trebuchet MS" w:eastAsia="Times New Roman" w:hAnsi="Trebuchet MS"/>
      <w:sz w:val="24"/>
      <w:szCs w:val="24"/>
    </w:rPr>
  </w:style>
  <w:style w:type="paragraph" w:styleId="Lijstalinea">
    <w:name w:val="List Paragraph"/>
    <w:basedOn w:val="Standaard"/>
    <w:uiPriority w:val="34"/>
    <w:qFormat/>
    <w:rsid w:val="005B2AF3"/>
    <w:pPr>
      <w:ind w:left="708"/>
    </w:pPr>
  </w:style>
  <w:style w:type="character" w:customStyle="1" w:styleId="Kop4Char">
    <w:name w:val="Kop 4 Char"/>
    <w:link w:val="Kop4"/>
    <w:uiPriority w:val="1"/>
    <w:rsid w:val="005B2AF3"/>
    <w:rPr>
      <w:rFonts w:eastAsiaTheme="minorEastAsia" w:cstheme="minorBidi"/>
      <w:b/>
      <w:bCs/>
      <w:sz w:val="22"/>
      <w:szCs w:val="28"/>
    </w:rPr>
  </w:style>
  <w:style w:type="paragraph" w:styleId="Lijstnummering">
    <w:name w:val="List Number"/>
    <w:basedOn w:val="Standaard"/>
    <w:autoRedefine/>
    <w:uiPriority w:val="4"/>
    <w:qFormat/>
    <w:rsid w:val="005B2AF3"/>
    <w:pPr>
      <w:numPr>
        <w:numId w:val="24"/>
      </w:numPr>
      <w:spacing w:before="20" w:after="20"/>
    </w:pPr>
    <w:rPr>
      <w:lang w:eastAsia="nl-NL"/>
    </w:rPr>
  </w:style>
  <w:style w:type="paragraph" w:styleId="Lijstopsomteken">
    <w:name w:val="List Bullet"/>
    <w:basedOn w:val="Standaard"/>
    <w:autoRedefine/>
    <w:uiPriority w:val="3"/>
    <w:qFormat/>
    <w:rsid w:val="005B2AF3"/>
    <w:pPr>
      <w:numPr>
        <w:numId w:val="22"/>
      </w:numPr>
      <w:spacing w:before="20" w:after="20"/>
    </w:pPr>
  </w:style>
  <w:style w:type="paragraph" w:styleId="Lijstopsomteken2">
    <w:name w:val="List Bullet 2"/>
    <w:basedOn w:val="Standaard"/>
    <w:autoRedefine/>
    <w:uiPriority w:val="3"/>
    <w:unhideWhenUsed/>
    <w:rsid w:val="005B2AF3"/>
    <w:pPr>
      <w:numPr>
        <w:ilvl w:val="1"/>
        <w:numId w:val="22"/>
      </w:numPr>
      <w:spacing w:before="20" w:after="20"/>
    </w:pPr>
  </w:style>
  <w:style w:type="paragraph" w:styleId="Lijstopsomteken3">
    <w:name w:val="List Bullet 3"/>
    <w:basedOn w:val="Standaard"/>
    <w:autoRedefine/>
    <w:uiPriority w:val="3"/>
    <w:unhideWhenUsed/>
    <w:rsid w:val="005B2AF3"/>
    <w:pPr>
      <w:numPr>
        <w:ilvl w:val="2"/>
        <w:numId w:val="22"/>
      </w:numPr>
      <w:spacing w:before="20" w:after="20"/>
    </w:pPr>
  </w:style>
  <w:style w:type="paragraph" w:styleId="Lijst">
    <w:name w:val="List"/>
    <w:basedOn w:val="Standaard"/>
    <w:autoRedefine/>
    <w:uiPriority w:val="99"/>
    <w:semiHidden/>
    <w:unhideWhenUsed/>
    <w:qFormat/>
    <w:rsid w:val="005B2AF3"/>
    <w:pPr>
      <w:numPr>
        <w:numId w:val="18"/>
      </w:numPr>
      <w:spacing w:before="20" w:after="20"/>
    </w:pPr>
  </w:style>
  <w:style w:type="paragraph" w:styleId="Lijstnummering3">
    <w:name w:val="List Number 3"/>
    <w:basedOn w:val="Standaard"/>
    <w:uiPriority w:val="4"/>
    <w:unhideWhenUsed/>
    <w:rsid w:val="005B2AF3"/>
    <w:pPr>
      <w:numPr>
        <w:ilvl w:val="2"/>
        <w:numId w:val="24"/>
      </w:numPr>
      <w:contextualSpacing/>
    </w:pPr>
  </w:style>
  <w:style w:type="paragraph" w:styleId="Lijstnummering2">
    <w:name w:val="List Number 2"/>
    <w:basedOn w:val="Standaard"/>
    <w:uiPriority w:val="4"/>
    <w:unhideWhenUsed/>
    <w:rsid w:val="005B2AF3"/>
    <w:pPr>
      <w:numPr>
        <w:ilvl w:val="1"/>
        <w:numId w:val="24"/>
      </w:numPr>
      <w:contextualSpacing/>
    </w:pPr>
  </w:style>
  <w:style w:type="paragraph" w:customStyle="1" w:styleId="Kop2-genummerd">
    <w:name w:val="Kop 2 - genummerd"/>
    <w:basedOn w:val="Kop2"/>
    <w:next w:val="Standaard"/>
    <w:autoRedefine/>
    <w:uiPriority w:val="2"/>
    <w:unhideWhenUsed/>
    <w:qFormat/>
    <w:rsid w:val="00E55BEF"/>
    <w:pPr>
      <w:numPr>
        <w:ilvl w:val="1"/>
        <w:numId w:val="38"/>
      </w:numPr>
    </w:pPr>
  </w:style>
  <w:style w:type="paragraph" w:customStyle="1" w:styleId="Kop1-genummerd">
    <w:name w:val="Kop 1 - genummerd"/>
    <w:basedOn w:val="Kop1"/>
    <w:next w:val="Standaard"/>
    <w:autoRedefine/>
    <w:uiPriority w:val="2"/>
    <w:qFormat/>
    <w:rsid w:val="00E55BEF"/>
    <w:pPr>
      <w:numPr>
        <w:numId w:val="4"/>
      </w:numPr>
    </w:pPr>
    <w:rPr>
      <w:rFonts w:eastAsia="Times New Roman" w:cs="Times New Roman"/>
    </w:rPr>
  </w:style>
  <w:style w:type="paragraph" w:customStyle="1" w:styleId="Kop3-genummerd">
    <w:name w:val="Kop 3 - genummerd"/>
    <w:basedOn w:val="Kop3"/>
    <w:next w:val="Standaard"/>
    <w:autoRedefine/>
    <w:uiPriority w:val="2"/>
    <w:unhideWhenUsed/>
    <w:qFormat/>
    <w:rsid w:val="00D66FC4"/>
    <w:pPr>
      <w:numPr>
        <w:ilvl w:val="2"/>
        <w:numId w:val="33"/>
      </w:numPr>
    </w:pPr>
  </w:style>
  <w:style w:type="paragraph" w:customStyle="1" w:styleId="Bijlage">
    <w:name w:val="Bijlage"/>
    <w:basedOn w:val="Kop1"/>
    <w:next w:val="Standaard"/>
    <w:autoRedefine/>
    <w:uiPriority w:val="3"/>
    <w:qFormat/>
    <w:rsid w:val="00E55BEF"/>
    <w:pPr>
      <w:numPr>
        <w:numId w:val="31"/>
      </w:numPr>
      <w:ind w:left="714" w:hanging="357"/>
      <w:contextualSpacing/>
    </w:pPr>
    <w:rPr>
      <w:rFonts w:eastAsia="Times New Roman" w:cs="Times New Roman"/>
    </w:rPr>
  </w:style>
  <w:style w:type="paragraph" w:styleId="Citaat">
    <w:name w:val="Quote"/>
    <w:basedOn w:val="Standaard"/>
    <w:next w:val="Standaard"/>
    <w:link w:val="CitaatChar"/>
    <w:uiPriority w:val="29"/>
    <w:qFormat/>
    <w:rsid w:val="00FF732F"/>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FF732F"/>
    <w:rPr>
      <w:rFonts w:ascii="Trebuchet MS" w:hAnsi="Trebuchet MS"/>
      <w:i/>
      <w:iCs/>
      <w:color w:val="404040" w:themeColor="text1" w:themeTint="BF"/>
    </w:rPr>
  </w:style>
  <w:style w:type="character" w:customStyle="1" w:styleId="Kop5Char">
    <w:name w:val="Kop 5 Char"/>
    <w:basedOn w:val="Standaardalinea-lettertype"/>
    <w:link w:val="Kop5"/>
    <w:uiPriority w:val="1"/>
    <w:semiHidden/>
    <w:rsid w:val="00F34392"/>
    <w:rPr>
      <w:rFonts w:asciiTheme="minorHAnsi" w:eastAsiaTheme="majorEastAsia" w:hAnsiTheme="minorHAnsi" w:cstheme="majorBidi"/>
      <w:color w:val="365F91" w:themeColor="accent1" w:themeShade="BF"/>
    </w:rPr>
  </w:style>
  <w:style w:type="character" w:customStyle="1" w:styleId="Kop6Char">
    <w:name w:val="Kop 6 Char"/>
    <w:basedOn w:val="Standaardalinea-lettertype"/>
    <w:link w:val="Kop6"/>
    <w:uiPriority w:val="1"/>
    <w:semiHidden/>
    <w:rsid w:val="00F34392"/>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1"/>
    <w:semiHidden/>
    <w:rsid w:val="00F34392"/>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1"/>
    <w:semiHidden/>
    <w:rsid w:val="00F34392"/>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1"/>
    <w:semiHidden/>
    <w:rsid w:val="00F34392"/>
    <w:rPr>
      <w:rFonts w:asciiTheme="minorHAnsi" w:eastAsiaTheme="majorEastAsia" w:hAnsiTheme="minorHAnsi" w:cstheme="majorBidi"/>
      <w:color w:val="272727" w:themeColor="text1" w:themeTint="D8"/>
    </w:rPr>
  </w:style>
  <w:style w:type="character" w:styleId="Intensievebenadrukking">
    <w:name w:val="Intense Emphasis"/>
    <w:basedOn w:val="Standaardalinea-lettertype"/>
    <w:uiPriority w:val="21"/>
    <w:rsid w:val="00F34392"/>
    <w:rPr>
      <w:i/>
      <w:iCs/>
      <w:color w:val="365F91" w:themeColor="accent1" w:themeShade="BF"/>
    </w:rPr>
  </w:style>
  <w:style w:type="paragraph" w:styleId="Duidelijkcitaat">
    <w:name w:val="Intense Quote"/>
    <w:basedOn w:val="Standaard"/>
    <w:next w:val="Standaard"/>
    <w:link w:val="DuidelijkcitaatChar"/>
    <w:uiPriority w:val="30"/>
    <w:rsid w:val="00F3439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F34392"/>
    <w:rPr>
      <w:rFonts w:ascii="Trebuchet MS" w:hAnsi="Trebuchet MS"/>
      <w:i/>
      <w:iCs/>
      <w:color w:val="365F91" w:themeColor="accent1" w:themeShade="BF"/>
    </w:rPr>
  </w:style>
  <w:style w:type="character" w:styleId="Intensieveverwijzing">
    <w:name w:val="Intense Reference"/>
    <w:basedOn w:val="Standaardalinea-lettertype"/>
    <w:uiPriority w:val="32"/>
    <w:rsid w:val="00F34392"/>
    <w:rPr>
      <w:b/>
      <w:bCs/>
      <w:smallCaps/>
      <w:color w:val="365F91" w:themeColor="accent1" w:themeShade="BF"/>
      <w:spacing w:val="5"/>
    </w:rPr>
  </w:style>
  <w:style w:type="table" w:styleId="Tabelraster">
    <w:name w:val="Table Grid"/>
    <w:basedOn w:val="Standaardtabel"/>
    <w:uiPriority w:val="39"/>
    <w:rsid w:val="00E4345F"/>
    <w:rPr>
      <w:rFonts w:asciiTheme="minorHAnsi" w:eastAsia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Kop1"/>
    <w:link w:val="EndNoteBibliographyTitleChar"/>
    <w:rsid w:val="00E4345F"/>
    <w:pPr>
      <w:keepNext w:val="0"/>
      <w:spacing w:before="0" w:after="0"/>
      <w:jc w:val="center"/>
      <w:outlineLvl w:val="9"/>
    </w:pPr>
    <w:rPr>
      <w:rFonts w:eastAsiaTheme="minorHAnsi" w:cstheme="minorBidi"/>
      <w:b w:val="0"/>
      <w:bCs w:val="0"/>
      <w:noProof/>
      <w:kern w:val="2"/>
      <w:sz w:val="22"/>
      <w:szCs w:val="22"/>
      <w:lang w:val="en-US"/>
    </w:rPr>
  </w:style>
  <w:style w:type="character" w:customStyle="1" w:styleId="EndNoteBibliographyTitleChar">
    <w:name w:val="EndNote Bibliography Title Char"/>
    <w:basedOn w:val="Kop1Char"/>
    <w:link w:val="EndNoteBibliographyTitle"/>
    <w:rsid w:val="00E4345F"/>
    <w:rPr>
      <w:rFonts w:ascii="Jost Light" w:eastAsiaTheme="minorHAnsi" w:hAnsi="Jost Light" w:cstheme="minorBidi"/>
      <w:b w:val="0"/>
      <w:bCs w:val="0"/>
      <w:noProof/>
      <w:kern w:val="32"/>
      <w:sz w:val="22"/>
      <w:szCs w:val="22"/>
      <w:lang w:val="en-US"/>
    </w:rPr>
  </w:style>
  <w:style w:type="paragraph" w:customStyle="1" w:styleId="EndNoteBibliography">
    <w:name w:val="EndNote Bibliography"/>
    <w:basedOn w:val="Kop1"/>
    <w:link w:val="EndNoteBibliographyChar"/>
    <w:rsid w:val="00E4345F"/>
    <w:pPr>
      <w:keepNext w:val="0"/>
      <w:spacing w:before="0" w:after="0" w:line="240" w:lineRule="auto"/>
      <w:outlineLvl w:val="9"/>
    </w:pPr>
    <w:rPr>
      <w:rFonts w:eastAsiaTheme="minorHAnsi" w:cstheme="minorBidi"/>
      <w:b w:val="0"/>
      <w:bCs w:val="0"/>
      <w:noProof/>
      <w:kern w:val="2"/>
      <w:sz w:val="22"/>
      <w:szCs w:val="22"/>
      <w:lang w:val="en-US"/>
    </w:rPr>
  </w:style>
  <w:style w:type="character" w:customStyle="1" w:styleId="EndNoteBibliographyChar">
    <w:name w:val="EndNote Bibliography Char"/>
    <w:basedOn w:val="Kop1Char"/>
    <w:link w:val="EndNoteBibliography"/>
    <w:rsid w:val="00E4345F"/>
    <w:rPr>
      <w:rFonts w:ascii="Jost Light" w:eastAsiaTheme="minorHAnsi" w:hAnsi="Jost Light" w:cstheme="minorBidi"/>
      <w:b w:val="0"/>
      <w:bCs w:val="0"/>
      <w:noProof/>
      <w:kern w:val="32"/>
      <w:sz w:val="22"/>
      <w:szCs w:val="22"/>
      <w:lang w:val="en-US"/>
    </w:rPr>
  </w:style>
  <w:style w:type="character" w:styleId="Regelnummer">
    <w:name w:val="line number"/>
    <w:basedOn w:val="Standaardalinea-lettertype"/>
    <w:uiPriority w:val="99"/>
    <w:semiHidden/>
    <w:unhideWhenUsed/>
    <w:rsid w:val="007505F9"/>
  </w:style>
  <w:style w:type="paragraph" w:styleId="Koptekst">
    <w:name w:val="header"/>
    <w:basedOn w:val="Standaard"/>
    <w:link w:val="KoptekstChar"/>
    <w:uiPriority w:val="99"/>
    <w:unhideWhenUsed/>
    <w:rsid w:val="007505F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505F9"/>
    <w:rPr>
      <w:rFonts w:ascii="Jost Light" w:eastAsiaTheme="minorHAnsi" w:hAnsi="Jost Light" w:cstheme="minorBidi"/>
      <w:sz w:val="22"/>
      <w:szCs w:val="22"/>
      <w:lang w:val="en-GB"/>
    </w:rPr>
  </w:style>
  <w:style w:type="paragraph" w:styleId="Voettekst">
    <w:name w:val="footer"/>
    <w:basedOn w:val="Standaard"/>
    <w:link w:val="VoettekstChar"/>
    <w:uiPriority w:val="99"/>
    <w:unhideWhenUsed/>
    <w:rsid w:val="007505F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505F9"/>
    <w:rPr>
      <w:rFonts w:ascii="Jost Light" w:eastAsiaTheme="minorHAnsi" w:hAnsi="Jost Light"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5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5D81473C3445442BDF3E26564559A3B" ma:contentTypeVersion="2" ma:contentTypeDescription="Een nieuw document maken." ma:contentTypeScope="" ma:versionID="1ed84e6ff209cc0ba7e5214966a74913">
  <xsd:schema xmlns:xsd="http://www.w3.org/2001/XMLSchema" xmlns:xs="http://www.w3.org/2001/XMLSchema" xmlns:p="http://schemas.microsoft.com/office/2006/metadata/properties" xmlns:ns2="cfdd5b53-9357-4da0-b98a-83bb99318b32" targetNamespace="http://schemas.microsoft.com/office/2006/metadata/properties" ma:root="true" ma:fieldsID="cdeb3c6ebd7cc2d2934b580c44adbdee" ns2:_="">
    <xsd:import namespace="cfdd5b53-9357-4da0-b98a-83bb99318b3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d5b53-9357-4da0-b98a-83bb99318b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233EB2-64DC-4406-8894-6E9FA12C8971}">
  <ds:schemaRefs>
    <ds:schemaRef ds:uri="http://schemas.microsoft.com/sharepoint/v3/contenttype/forms"/>
  </ds:schemaRefs>
</ds:datastoreItem>
</file>

<file path=customXml/itemProps2.xml><?xml version="1.0" encoding="utf-8"?>
<ds:datastoreItem xmlns:ds="http://schemas.openxmlformats.org/officeDocument/2006/customXml" ds:itemID="{5B9D113B-D6E8-413A-A3E9-AD46BCB3E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d5b53-9357-4da0-b98a-83bb99318b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1EA6E3-639A-4968-B0FF-9D4D4193949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1564</Words>
  <Characters>8605</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 E. (Esmee)</dc:creator>
  <cp:keywords/>
  <dc:description/>
  <cp:lastModifiedBy>Smit, E. (Esmee)</cp:lastModifiedBy>
  <cp:revision>3</cp:revision>
  <dcterms:created xsi:type="dcterms:W3CDTF">2026-03-16T13:41:00Z</dcterms:created>
  <dcterms:modified xsi:type="dcterms:W3CDTF">2026-03-23T13:45:00Z</dcterms:modified>
</cp:coreProperties>
</file>