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77978B" w14:textId="77777777" w:rsidR="003F7001" w:rsidRPr="007147B7" w:rsidRDefault="003F7001" w:rsidP="003F7001">
      <w:pPr>
        <w:pStyle w:val="Tableofcontents"/>
        <w:spacing w:line="360" w:lineRule="auto"/>
        <w:jc w:val="both"/>
        <w:rPr>
          <w:rFonts w:eastAsiaTheme="minorEastAsia"/>
          <w:b/>
          <w:lang w:eastAsia="ko-KR"/>
        </w:rPr>
      </w:pPr>
      <w:r w:rsidRPr="007147B7">
        <w:rPr>
          <w:rFonts w:eastAsiaTheme="minorEastAsia"/>
          <w:b/>
          <w:lang w:eastAsia="ko-KR"/>
        </w:rPr>
        <w:t>Cooperative shell softening effect for lithium-metal battery electrolytes</w:t>
      </w:r>
    </w:p>
    <w:p w14:paraId="6C931233" w14:textId="1455D80E" w:rsidR="000F7378" w:rsidRPr="007147B7" w:rsidRDefault="000F7378" w:rsidP="00DF6EC1">
      <w:pPr>
        <w:pStyle w:val="Addresses"/>
        <w:spacing w:line="360" w:lineRule="auto"/>
        <w:jc w:val="both"/>
        <w:rPr>
          <w:rFonts w:eastAsiaTheme="minorEastAsia"/>
          <w:iCs/>
          <w:kern w:val="2"/>
          <w:lang w:eastAsia="ko-KR"/>
        </w:rPr>
      </w:pPr>
      <w:r w:rsidRPr="007147B7">
        <w:rPr>
          <w:rFonts w:eastAsiaTheme="minorEastAsia"/>
          <w:iCs/>
          <w:kern w:val="2"/>
          <w:lang w:eastAsia="ko-KR"/>
        </w:rPr>
        <w:t>Hyun-Wook Lee,</w:t>
      </w:r>
      <w:r w:rsidRPr="007147B7">
        <w:rPr>
          <w:rFonts w:eastAsiaTheme="minorEastAsia"/>
          <w:iCs/>
          <w:kern w:val="2"/>
          <w:vertAlign w:val="superscript"/>
          <w:lang w:eastAsia="ko-KR"/>
        </w:rPr>
        <w:t>1†</w:t>
      </w:r>
      <w:r w:rsidRPr="007147B7">
        <w:rPr>
          <w:rFonts w:eastAsiaTheme="minorEastAsia"/>
          <w:iCs/>
          <w:kern w:val="2"/>
          <w:lang w:eastAsia="ko-KR"/>
        </w:rPr>
        <w:t xml:space="preserve"> </w:t>
      </w:r>
      <w:proofErr w:type="spellStart"/>
      <w:r w:rsidRPr="007147B7">
        <w:rPr>
          <w:rFonts w:eastAsiaTheme="minorEastAsia"/>
          <w:iCs/>
          <w:kern w:val="2"/>
          <w:lang w:eastAsia="ko-KR"/>
        </w:rPr>
        <w:t>Youngoh</w:t>
      </w:r>
      <w:proofErr w:type="spellEnd"/>
      <w:r w:rsidRPr="007147B7">
        <w:rPr>
          <w:rFonts w:eastAsiaTheme="minorEastAsia"/>
          <w:iCs/>
          <w:kern w:val="2"/>
          <w:lang w:eastAsia="ko-KR"/>
        </w:rPr>
        <w:t xml:space="preserve"> Kim,</w:t>
      </w:r>
      <w:r w:rsidRPr="007147B7">
        <w:rPr>
          <w:rFonts w:eastAsiaTheme="minorEastAsia"/>
          <w:iCs/>
          <w:kern w:val="2"/>
          <w:vertAlign w:val="superscript"/>
          <w:lang w:eastAsia="ko-KR"/>
        </w:rPr>
        <w:t>2,3†</w:t>
      </w:r>
      <w:r w:rsidRPr="007147B7">
        <w:rPr>
          <w:rFonts w:eastAsiaTheme="minorEastAsia"/>
          <w:iCs/>
          <w:kern w:val="2"/>
          <w:lang w:eastAsia="ko-KR"/>
        </w:rPr>
        <w:t xml:space="preserve"> Dong-Ha Kim,</w:t>
      </w:r>
      <w:r w:rsidRPr="007147B7">
        <w:rPr>
          <w:rFonts w:eastAsiaTheme="minorEastAsia"/>
          <w:iCs/>
          <w:kern w:val="2"/>
          <w:vertAlign w:val="superscript"/>
          <w:lang w:eastAsia="ko-KR"/>
        </w:rPr>
        <w:t>1</w:t>
      </w:r>
      <w:r w:rsidRPr="007147B7">
        <w:rPr>
          <w:rFonts w:eastAsiaTheme="minorEastAsia"/>
          <w:iCs/>
          <w:kern w:val="2"/>
          <w:lang w:eastAsia="ko-KR"/>
        </w:rPr>
        <w:t xml:space="preserve"> Ho-Jeong Ji,</w:t>
      </w:r>
      <w:r w:rsidRPr="007147B7">
        <w:rPr>
          <w:rFonts w:eastAsiaTheme="minorEastAsia"/>
          <w:iCs/>
          <w:kern w:val="2"/>
          <w:vertAlign w:val="superscript"/>
          <w:lang w:eastAsia="ko-KR"/>
        </w:rPr>
        <w:t>1</w:t>
      </w:r>
      <w:r w:rsidRPr="007147B7">
        <w:rPr>
          <w:rFonts w:eastAsiaTheme="minorEastAsia"/>
          <w:iCs/>
          <w:kern w:val="2"/>
          <w:lang w:eastAsia="ko-KR"/>
        </w:rPr>
        <w:t xml:space="preserve"> Hong-Bin Youn,</w:t>
      </w:r>
      <w:r w:rsidRPr="007147B7">
        <w:rPr>
          <w:rFonts w:eastAsiaTheme="minorEastAsia"/>
          <w:iCs/>
          <w:kern w:val="2"/>
          <w:vertAlign w:val="superscript"/>
          <w:lang w:eastAsia="ko-KR"/>
        </w:rPr>
        <w:t>1</w:t>
      </w:r>
      <w:r w:rsidRPr="007147B7">
        <w:rPr>
          <w:rFonts w:eastAsiaTheme="minorEastAsia"/>
          <w:iCs/>
          <w:kern w:val="2"/>
          <w:lang w:eastAsia="ko-KR"/>
        </w:rPr>
        <w:t xml:space="preserve"> Hyo-Gyeong Kwon,</w:t>
      </w:r>
      <w:r w:rsidRPr="007147B7">
        <w:rPr>
          <w:rFonts w:eastAsiaTheme="minorEastAsia"/>
          <w:iCs/>
          <w:kern w:val="2"/>
          <w:vertAlign w:val="superscript"/>
          <w:lang w:eastAsia="ko-KR"/>
        </w:rPr>
        <w:t>1</w:t>
      </w:r>
      <w:r w:rsidRPr="007147B7">
        <w:rPr>
          <w:rFonts w:eastAsiaTheme="minorEastAsia"/>
          <w:iCs/>
          <w:kern w:val="2"/>
          <w:lang w:eastAsia="ko-KR"/>
        </w:rPr>
        <w:t xml:space="preserve"> Seo-Young Park,</w:t>
      </w:r>
      <w:r w:rsidRPr="007147B7">
        <w:rPr>
          <w:rFonts w:eastAsiaTheme="minorEastAsia"/>
          <w:iCs/>
          <w:kern w:val="2"/>
          <w:vertAlign w:val="superscript"/>
          <w:lang w:eastAsia="ko-KR"/>
        </w:rPr>
        <w:t>1</w:t>
      </w:r>
      <w:r w:rsidRPr="007147B7">
        <w:rPr>
          <w:rFonts w:eastAsiaTheme="minorEastAsia"/>
          <w:iCs/>
          <w:kern w:val="2"/>
          <w:lang w:eastAsia="ko-KR"/>
        </w:rPr>
        <w:t xml:space="preserve"> Hong-Geun Lee,</w:t>
      </w:r>
      <w:r w:rsidRPr="007147B7">
        <w:rPr>
          <w:rFonts w:eastAsiaTheme="minorEastAsia"/>
          <w:iCs/>
          <w:kern w:val="2"/>
          <w:vertAlign w:val="superscript"/>
          <w:lang w:eastAsia="ko-KR"/>
        </w:rPr>
        <w:t>1</w:t>
      </w:r>
      <w:r w:rsidR="000674C4" w:rsidRPr="007147B7">
        <w:rPr>
          <w:rFonts w:eastAsiaTheme="minorEastAsia"/>
          <w:iCs/>
          <w:kern w:val="2"/>
          <w:vertAlign w:val="superscript"/>
          <w:lang w:eastAsia="ko-KR"/>
        </w:rPr>
        <w:t xml:space="preserve"> </w:t>
      </w:r>
      <w:r w:rsidR="000674C4" w:rsidRPr="007147B7">
        <w:rPr>
          <w:rFonts w:eastAsiaTheme="minorEastAsia"/>
          <w:iCs/>
          <w:kern w:val="2"/>
          <w:lang w:eastAsia="ko-KR"/>
        </w:rPr>
        <w:t>Sun-Phil Han,</w:t>
      </w:r>
      <w:r w:rsidR="000674C4" w:rsidRPr="007147B7">
        <w:rPr>
          <w:rFonts w:eastAsiaTheme="minorEastAsia"/>
          <w:iCs/>
          <w:kern w:val="2"/>
          <w:vertAlign w:val="superscript"/>
          <w:lang w:eastAsia="ko-KR"/>
        </w:rPr>
        <w:t>4</w:t>
      </w:r>
      <w:r w:rsidRPr="007147B7">
        <w:rPr>
          <w:rFonts w:eastAsiaTheme="minorEastAsia"/>
          <w:iCs/>
          <w:kern w:val="2"/>
          <w:lang w:eastAsia="ko-KR"/>
        </w:rPr>
        <w:t xml:space="preserve"> </w:t>
      </w:r>
      <w:proofErr w:type="spellStart"/>
      <w:r w:rsidRPr="007147B7">
        <w:rPr>
          <w:rFonts w:eastAsiaTheme="minorEastAsia"/>
          <w:iCs/>
          <w:kern w:val="2"/>
          <w:lang w:eastAsia="ko-KR"/>
        </w:rPr>
        <w:t>Joonmyung</w:t>
      </w:r>
      <w:proofErr w:type="spellEnd"/>
      <w:r w:rsidRPr="007147B7">
        <w:rPr>
          <w:rFonts w:eastAsiaTheme="minorEastAsia"/>
          <w:iCs/>
          <w:kern w:val="2"/>
          <w:lang w:eastAsia="ko-KR"/>
        </w:rPr>
        <w:t xml:space="preserve"> Choi</w:t>
      </w:r>
      <w:r w:rsidR="000674C4" w:rsidRPr="007147B7">
        <w:rPr>
          <w:rFonts w:eastAsiaTheme="minorEastAsia"/>
          <w:iCs/>
          <w:kern w:val="2"/>
          <w:vertAlign w:val="superscript"/>
          <w:lang w:eastAsia="ko-KR"/>
        </w:rPr>
        <w:t>5</w:t>
      </w:r>
      <w:r w:rsidRPr="007147B7">
        <w:rPr>
          <w:rFonts w:eastAsiaTheme="minorEastAsia"/>
          <w:iCs/>
          <w:kern w:val="2"/>
          <w:lang w:eastAsia="ko-KR"/>
        </w:rPr>
        <w:t>* and Won-Jin Kwak</w:t>
      </w:r>
      <w:r w:rsidRPr="007147B7">
        <w:rPr>
          <w:rFonts w:eastAsiaTheme="minorEastAsia"/>
          <w:iCs/>
          <w:kern w:val="2"/>
          <w:vertAlign w:val="superscript"/>
          <w:lang w:eastAsia="ko-KR"/>
        </w:rPr>
        <w:t>1</w:t>
      </w:r>
      <w:r w:rsidRPr="007147B7">
        <w:rPr>
          <w:rFonts w:eastAsiaTheme="minorEastAsia"/>
          <w:iCs/>
          <w:kern w:val="2"/>
          <w:lang w:eastAsia="ko-KR"/>
        </w:rPr>
        <w:t>*</w:t>
      </w:r>
    </w:p>
    <w:p w14:paraId="6FAD3753" w14:textId="77777777" w:rsidR="002A74C0" w:rsidRPr="007147B7" w:rsidRDefault="002A74C0" w:rsidP="00DF6EC1">
      <w:pPr>
        <w:pStyle w:val="Addresses"/>
        <w:spacing w:line="360" w:lineRule="auto"/>
        <w:jc w:val="both"/>
        <w:rPr>
          <w:rFonts w:eastAsiaTheme="minorEastAsia"/>
          <w:lang w:eastAsia="ko-KR"/>
        </w:rPr>
      </w:pPr>
    </w:p>
    <w:p w14:paraId="612E1F11" w14:textId="77777777" w:rsidR="000F7378" w:rsidRPr="007147B7" w:rsidRDefault="000F7378" w:rsidP="000F7378">
      <w:pPr>
        <w:pStyle w:val="Addresses"/>
        <w:spacing w:line="360" w:lineRule="auto"/>
      </w:pPr>
      <w:r w:rsidRPr="007147B7">
        <w:rPr>
          <w:vertAlign w:val="superscript"/>
        </w:rPr>
        <w:t>1</w:t>
      </w:r>
      <w:r w:rsidRPr="007147B7">
        <w:t>School of Energy and Chemical Engineering, UNIST, Ulsan, 44919, Republic of Korea</w:t>
      </w:r>
    </w:p>
    <w:p w14:paraId="75B04DAA" w14:textId="77777777" w:rsidR="0041525A" w:rsidRPr="0041525A" w:rsidRDefault="0041525A" w:rsidP="0041525A">
      <w:pPr>
        <w:pStyle w:val="Addresses"/>
        <w:spacing w:line="360" w:lineRule="auto"/>
      </w:pPr>
      <w:r w:rsidRPr="0041525A">
        <w:rPr>
          <w:vertAlign w:val="superscript"/>
        </w:rPr>
        <w:t>2</w:t>
      </w:r>
      <w:r w:rsidRPr="0041525A">
        <w:t>Next-Generation Battery Research Center, Battery Research Division, Korea Electrotechnology Research Institute, Republic of Korea</w:t>
      </w:r>
    </w:p>
    <w:p w14:paraId="07A058E4" w14:textId="77777777" w:rsidR="0041525A" w:rsidRPr="0041525A" w:rsidRDefault="0041525A" w:rsidP="0041525A">
      <w:pPr>
        <w:pStyle w:val="Addresses"/>
        <w:spacing w:line="360" w:lineRule="auto"/>
        <w:rPr>
          <w:rFonts w:eastAsiaTheme="minorEastAsia"/>
          <w:lang w:eastAsia="ko-KR"/>
        </w:rPr>
      </w:pPr>
      <w:r w:rsidRPr="0041525A">
        <w:rPr>
          <w:rFonts w:eastAsiaTheme="minorEastAsia"/>
          <w:vertAlign w:val="superscript"/>
          <w:lang w:eastAsia="ko-KR"/>
        </w:rPr>
        <w:t>3</w:t>
      </w:r>
      <w:r w:rsidRPr="0041525A">
        <w:rPr>
          <w:rFonts w:eastAsiaTheme="minorEastAsia"/>
          <w:lang w:eastAsia="ko-KR"/>
        </w:rPr>
        <w:t>Electric Energy Materials Engineering, KERI School, University of Science and Technology, Republic of Korea</w:t>
      </w:r>
    </w:p>
    <w:p w14:paraId="6FAD5045" w14:textId="77777777" w:rsidR="000674C4" w:rsidRPr="007147B7" w:rsidRDefault="000674C4" w:rsidP="000674C4">
      <w:pPr>
        <w:pStyle w:val="Addresses"/>
        <w:spacing w:line="360" w:lineRule="auto"/>
        <w:rPr>
          <w:rFonts w:eastAsiaTheme="minorEastAsia"/>
          <w:lang w:eastAsia="ko-KR"/>
        </w:rPr>
      </w:pPr>
      <w:r w:rsidRPr="007147B7">
        <w:rPr>
          <w:rFonts w:eastAsiaTheme="minorEastAsia"/>
          <w:vertAlign w:val="superscript"/>
          <w:lang w:eastAsia="ko-KR"/>
        </w:rPr>
        <w:t>4</w:t>
      </w:r>
      <w:r w:rsidRPr="007147B7">
        <w:rPr>
          <w:rFonts w:eastAsiaTheme="minorEastAsia"/>
          <w:lang w:eastAsia="ko-KR"/>
        </w:rPr>
        <w:t>Office of Research Facilities and Training, UNIST, Ulsan, 44919, Republic of Korea</w:t>
      </w:r>
    </w:p>
    <w:p w14:paraId="43F696A8" w14:textId="0C111D0F" w:rsidR="000F7378" w:rsidRPr="007147B7" w:rsidRDefault="000674C4" w:rsidP="000F7378">
      <w:pPr>
        <w:pStyle w:val="Addresses"/>
        <w:spacing w:line="360" w:lineRule="auto"/>
      </w:pPr>
      <w:r w:rsidRPr="007147B7">
        <w:rPr>
          <w:vertAlign w:val="superscript"/>
        </w:rPr>
        <w:t>5</w:t>
      </w:r>
      <w:r w:rsidR="000F7378" w:rsidRPr="007147B7">
        <w:t xml:space="preserve">School of Mechanical Engineering, Sungkyunkwan University, Suwon 16419, Republic of </w:t>
      </w:r>
      <w:r w:rsidR="00DF6EC1" w:rsidRPr="007147B7">
        <w:t>K</w:t>
      </w:r>
      <w:r w:rsidR="000F7378" w:rsidRPr="007147B7">
        <w:t>orea</w:t>
      </w:r>
    </w:p>
    <w:p w14:paraId="48835215" w14:textId="77777777" w:rsidR="00DF6EC1" w:rsidRPr="007147B7" w:rsidRDefault="00DF6EC1" w:rsidP="000F7378">
      <w:pPr>
        <w:pStyle w:val="Addresses"/>
        <w:spacing w:line="360" w:lineRule="auto"/>
        <w:rPr>
          <w:rFonts w:eastAsiaTheme="minorEastAsia"/>
          <w:lang w:eastAsia="ko-KR"/>
        </w:rPr>
      </w:pPr>
    </w:p>
    <w:p w14:paraId="079D24A9" w14:textId="71156353" w:rsidR="000F7378" w:rsidRPr="007147B7" w:rsidRDefault="000F7378" w:rsidP="00616F2C">
      <w:pPr>
        <w:pStyle w:val="Addresses"/>
      </w:pPr>
      <w:r w:rsidRPr="007147B7">
        <w:t>e-mail: joonchoi@skku.edu; wjkwak@unist.ac.kr</w:t>
      </w:r>
      <w:bookmarkStart w:id="0" w:name="_Hlk493685409"/>
      <w:bookmarkEnd w:id="0"/>
    </w:p>
    <w:p w14:paraId="3984EDD3" w14:textId="77777777" w:rsidR="004F7FC6" w:rsidRPr="007147B7" w:rsidRDefault="004F7FC6">
      <w:pPr>
        <w:widowControl/>
        <w:wordWrap/>
        <w:autoSpaceDE/>
        <w:autoSpaceDN/>
        <w:rPr>
          <w:rFonts w:ascii="Times New Roman" w:eastAsia="바탕" w:hAnsi="Times New Roman" w:cs="Times New Roman"/>
          <w:kern w:val="0"/>
          <w:sz w:val="24"/>
          <w:szCs w:val="24"/>
          <w:lang w:eastAsia="en-US"/>
        </w:rPr>
      </w:pPr>
      <w:r w:rsidRPr="007147B7">
        <w:rPr>
          <w:rFonts w:ascii="Times New Roman" w:eastAsia="바탕" w:hAnsi="Times New Roman" w:cs="Times New Roman"/>
          <w:kern w:val="0"/>
          <w:sz w:val="24"/>
          <w:szCs w:val="24"/>
          <w:lang w:eastAsia="en-US"/>
        </w:rPr>
        <w:br w:type="page"/>
      </w:r>
    </w:p>
    <w:p w14:paraId="2984C9E2" w14:textId="3B56659D" w:rsidR="00B05C10" w:rsidRPr="007147B7" w:rsidRDefault="00C169CB" w:rsidP="00C169CB">
      <w:pPr>
        <w:jc w:val="center"/>
        <w:rPr>
          <w:rFonts w:ascii="Times New Roman"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41E62554" wp14:editId="3AB34412">
            <wp:extent cx="3248993" cy="3981582"/>
            <wp:effectExtent l="0" t="0" r="8890" b="0"/>
            <wp:docPr id="24987618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76188" name="그림 1"/>
                    <pic:cNvPicPr>
                      <a:picLocks noChangeAspect="1" noChangeArrowheads="1"/>
                    </pic:cNvPicPr>
                  </pic:nvPicPr>
                  <pic:blipFill>
                    <a:blip r:embed="rId8"/>
                    <a:stretch>
                      <a:fillRect/>
                    </a:stretch>
                  </pic:blipFill>
                  <pic:spPr bwMode="auto">
                    <a:xfrm>
                      <a:off x="0" y="0"/>
                      <a:ext cx="3248993" cy="3981582"/>
                    </a:xfrm>
                    <a:prstGeom prst="rect">
                      <a:avLst/>
                    </a:prstGeom>
                    <a:noFill/>
                    <a:ln>
                      <a:noFill/>
                    </a:ln>
                  </pic:spPr>
                </pic:pic>
              </a:graphicData>
            </a:graphic>
          </wp:inline>
        </w:drawing>
      </w:r>
    </w:p>
    <w:p w14:paraId="74C81D30" w14:textId="2DCEAD17" w:rsidR="001C7769" w:rsidRPr="007147B7" w:rsidRDefault="001C7769" w:rsidP="001C7769">
      <w:pPr>
        <w:rPr>
          <w:rFonts w:ascii="Times New Roman" w:hAnsi="Times New Roman" w:cs="Times New Roman"/>
          <w:sz w:val="24"/>
          <w:szCs w:val="24"/>
        </w:rPr>
      </w:pPr>
      <w:r w:rsidRPr="007147B7">
        <w:rPr>
          <w:rFonts w:ascii="Times New Roman" w:hAnsi="Times New Roman" w:cs="Times New Roman"/>
          <w:b/>
          <w:bCs/>
          <w:sz w:val="24"/>
          <w:szCs w:val="24"/>
        </w:rPr>
        <w:t>Supplementary Fig. 1</w:t>
      </w:r>
      <w:r w:rsidRPr="007147B7">
        <w:rPr>
          <w:rFonts w:ascii="Times New Roman" w:hAnsi="Times New Roman" w:cs="Times New Roman"/>
          <w:sz w:val="24"/>
          <w:szCs w:val="24"/>
        </w:rPr>
        <w:t xml:space="preserve"> Raman spectra of electrolytes in 680-900 cm</w:t>
      </w:r>
      <w:r w:rsidRPr="007147B7">
        <w:rPr>
          <w:rFonts w:ascii="Times New Roman" w:hAnsi="Times New Roman" w:cs="Times New Roman"/>
          <w:sz w:val="24"/>
          <w:szCs w:val="24"/>
          <w:vertAlign w:val="superscript"/>
        </w:rPr>
        <w:t>-1</w:t>
      </w:r>
      <w:r w:rsidRPr="007147B7">
        <w:rPr>
          <w:rFonts w:ascii="Times New Roman" w:hAnsi="Times New Roman" w:cs="Times New Roman"/>
          <w:sz w:val="24"/>
          <w:szCs w:val="24"/>
        </w:rPr>
        <w:t xml:space="preserve">, and area for </w:t>
      </w:r>
      <w:r w:rsidR="0028074A" w:rsidRPr="007147B7">
        <w:rPr>
          <w:rFonts w:ascii="Times New Roman" w:hAnsi="Times New Roman" w:cs="Times New Roman"/>
          <w:sz w:val="24"/>
          <w:szCs w:val="24"/>
        </w:rPr>
        <w:t>corresponding</w:t>
      </w:r>
      <w:r w:rsidRPr="007147B7">
        <w:rPr>
          <w:rFonts w:ascii="Times New Roman" w:hAnsi="Times New Roman" w:cs="Times New Roman"/>
          <w:sz w:val="24"/>
          <w:szCs w:val="24"/>
        </w:rPr>
        <w:t xml:space="preserve"> chemicals are assigned as boxes.</w:t>
      </w:r>
    </w:p>
    <w:p w14:paraId="351860CF" w14:textId="16DEA998" w:rsidR="001C7769" w:rsidRPr="007147B7" w:rsidRDefault="001C7769">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4B134034" w14:textId="403258C6" w:rsidR="00C169CB" w:rsidRPr="007147B7" w:rsidRDefault="00C169CB" w:rsidP="00C169CB">
      <w:pPr>
        <w:jc w:val="center"/>
        <w:rPr>
          <w:rFonts w:ascii="Times New Roman"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6A34F042" wp14:editId="334E5F5A">
            <wp:extent cx="5908331" cy="1785202"/>
            <wp:effectExtent l="0" t="0" r="0" b="5715"/>
            <wp:docPr id="79208059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80598" name="그림 2"/>
                    <pic:cNvPicPr>
                      <a:picLocks noChangeAspect="1" noChangeArrowheads="1"/>
                    </pic:cNvPicPr>
                  </pic:nvPicPr>
                  <pic:blipFill>
                    <a:blip r:embed="rId9"/>
                    <a:stretch>
                      <a:fillRect/>
                    </a:stretch>
                  </pic:blipFill>
                  <pic:spPr bwMode="auto">
                    <a:xfrm>
                      <a:off x="0" y="0"/>
                      <a:ext cx="5908331" cy="1785202"/>
                    </a:xfrm>
                    <a:prstGeom prst="rect">
                      <a:avLst/>
                    </a:prstGeom>
                    <a:noFill/>
                    <a:ln>
                      <a:noFill/>
                    </a:ln>
                  </pic:spPr>
                </pic:pic>
              </a:graphicData>
            </a:graphic>
          </wp:inline>
        </w:drawing>
      </w:r>
    </w:p>
    <w:p w14:paraId="24C77114" w14:textId="5D1C3372" w:rsidR="00F364FE" w:rsidRPr="007147B7" w:rsidRDefault="00F364FE" w:rsidP="00BB14BD">
      <w:pPr>
        <w:rPr>
          <w:rFonts w:ascii="Times New Roman" w:hAnsi="Times New Roman" w:cs="Times New Roman"/>
          <w:sz w:val="24"/>
          <w:szCs w:val="24"/>
        </w:rPr>
      </w:pPr>
      <w:r w:rsidRPr="007147B7">
        <w:rPr>
          <w:rFonts w:ascii="Times New Roman" w:hAnsi="Times New Roman" w:cs="Times New Roman"/>
          <w:b/>
          <w:bCs/>
          <w:sz w:val="24"/>
          <w:szCs w:val="24"/>
        </w:rPr>
        <w:t>Supplementary Fig. 2</w:t>
      </w:r>
      <w:r w:rsidRPr="007147B7">
        <w:rPr>
          <w:rFonts w:ascii="Times New Roman" w:hAnsi="Times New Roman" w:cs="Times New Roman"/>
          <w:sz w:val="24"/>
          <w:szCs w:val="24"/>
        </w:rPr>
        <w:t xml:space="preserve"> (a) </w:t>
      </w:r>
      <w:r w:rsidRPr="007147B7">
        <w:rPr>
          <w:rFonts w:ascii="Times New Roman" w:hAnsi="Times New Roman" w:cs="Times New Roman"/>
          <w:sz w:val="24"/>
          <w:szCs w:val="24"/>
          <w:vertAlign w:val="superscript"/>
        </w:rPr>
        <w:t>7</w:t>
      </w:r>
      <w:r w:rsidRPr="007147B7">
        <w:rPr>
          <w:rFonts w:ascii="Times New Roman" w:hAnsi="Times New Roman" w:cs="Times New Roman"/>
          <w:sz w:val="24"/>
          <w:szCs w:val="24"/>
        </w:rPr>
        <w:t xml:space="preserve">Li, (b) </w:t>
      </w:r>
      <w:r w:rsidRPr="007147B7">
        <w:rPr>
          <w:rFonts w:ascii="Times New Roman" w:hAnsi="Times New Roman" w:cs="Times New Roman"/>
          <w:sz w:val="24"/>
          <w:szCs w:val="24"/>
          <w:vertAlign w:val="superscript"/>
        </w:rPr>
        <w:t>19</w:t>
      </w:r>
      <w:r w:rsidRPr="007147B7">
        <w:rPr>
          <w:rFonts w:ascii="Times New Roman" w:hAnsi="Times New Roman" w:cs="Times New Roman"/>
          <w:sz w:val="24"/>
          <w:szCs w:val="24"/>
        </w:rPr>
        <w:t xml:space="preserve">F, and (c) </w:t>
      </w:r>
      <w:r w:rsidRPr="007147B7">
        <w:rPr>
          <w:rFonts w:ascii="Times New Roman" w:hAnsi="Times New Roman" w:cs="Times New Roman"/>
          <w:sz w:val="24"/>
          <w:szCs w:val="24"/>
          <w:vertAlign w:val="superscript"/>
        </w:rPr>
        <w:t>1</w:t>
      </w:r>
      <w:r w:rsidRPr="007147B7">
        <w:rPr>
          <w:rFonts w:ascii="Times New Roman" w:hAnsi="Times New Roman" w:cs="Times New Roman"/>
          <w:sz w:val="24"/>
          <w:szCs w:val="24"/>
        </w:rPr>
        <w:t xml:space="preserve">H NMR spectra of electrolytes. </w:t>
      </w:r>
      <w:r w:rsidRPr="007147B7">
        <w:rPr>
          <w:rFonts w:ascii="Times New Roman" w:hAnsi="Times New Roman" w:cs="Times New Roman"/>
          <w:sz w:val="24"/>
          <w:szCs w:val="24"/>
          <w:vertAlign w:val="superscript"/>
        </w:rPr>
        <w:t>7</w:t>
      </w:r>
      <w:r w:rsidRPr="007147B7">
        <w:rPr>
          <w:rFonts w:ascii="Times New Roman" w:hAnsi="Times New Roman" w:cs="Times New Roman"/>
          <w:sz w:val="24"/>
          <w:szCs w:val="24"/>
        </w:rPr>
        <w:t xml:space="preserve">Li, </w:t>
      </w:r>
      <w:r w:rsidRPr="007147B7">
        <w:rPr>
          <w:rFonts w:ascii="Times New Roman" w:hAnsi="Times New Roman" w:cs="Times New Roman"/>
          <w:sz w:val="24"/>
          <w:szCs w:val="24"/>
          <w:vertAlign w:val="superscript"/>
        </w:rPr>
        <w:t>19</w:t>
      </w:r>
      <w:r w:rsidRPr="007147B7">
        <w:rPr>
          <w:rFonts w:ascii="Times New Roman" w:hAnsi="Times New Roman" w:cs="Times New Roman"/>
          <w:sz w:val="24"/>
          <w:szCs w:val="24"/>
        </w:rPr>
        <w:t xml:space="preserve">F, and </w:t>
      </w:r>
      <w:r w:rsidRPr="007147B7">
        <w:rPr>
          <w:rFonts w:ascii="Times New Roman" w:hAnsi="Times New Roman" w:cs="Times New Roman"/>
          <w:sz w:val="24"/>
          <w:szCs w:val="24"/>
          <w:vertAlign w:val="superscript"/>
        </w:rPr>
        <w:t>1</w:t>
      </w:r>
      <w:r w:rsidRPr="007147B7">
        <w:rPr>
          <w:rFonts w:ascii="Times New Roman" w:hAnsi="Times New Roman" w:cs="Times New Roman"/>
          <w:sz w:val="24"/>
          <w:szCs w:val="24"/>
        </w:rPr>
        <w:t xml:space="preserve">H NMR are referenced to LiCl, </w:t>
      </w:r>
      <w:proofErr w:type="spellStart"/>
      <w:r w:rsidRPr="007147B7">
        <w:rPr>
          <w:rFonts w:ascii="Times New Roman" w:hAnsi="Times New Roman" w:cs="Times New Roman"/>
          <w:sz w:val="24"/>
          <w:szCs w:val="24"/>
        </w:rPr>
        <w:t>hexafluorobenzene</w:t>
      </w:r>
      <w:proofErr w:type="spellEnd"/>
      <w:r w:rsidR="00BB14BD" w:rsidRPr="007147B7">
        <w:rPr>
          <w:rFonts w:ascii="Times New Roman" w:hAnsi="Times New Roman" w:cs="Times New Roman"/>
          <w:sz w:val="24"/>
          <w:szCs w:val="24"/>
        </w:rPr>
        <w:t xml:space="preserve">, and </w:t>
      </w:r>
      <w:proofErr w:type="spellStart"/>
      <w:r w:rsidR="00BB14BD" w:rsidRPr="007147B7">
        <w:rPr>
          <w:rFonts w:ascii="Times New Roman" w:hAnsi="Times New Roman" w:cs="Times New Roman"/>
          <w:sz w:val="24"/>
          <w:szCs w:val="24"/>
        </w:rPr>
        <w:t>tetramethylsilane</w:t>
      </w:r>
      <w:proofErr w:type="spellEnd"/>
      <w:r w:rsidR="00BB14BD" w:rsidRPr="007147B7">
        <w:rPr>
          <w:rFonts w:ascii="Times New Roman" w:hAnsi="Times New Roman" w:cs="Times New Roman"/>
          <w:sz w:val="24"/>
          <w:szCs w:val="24"/>
        </w:rPr>
        <w:t>, respectively</w:t>
      </w:r>
    </w:p>
    <w:p w14:paraId="2E35DF86" w14:textId="68329D58" w:rsidR="00F364FE" w:rsidRPr="007147B7" w:rsidRDefault="00F364FE" w:rsidP="00F364FE">
      <w:pPr>
        <w:rPr>
          <w:rFonts w:ascii="Times New Roman" w:hAnsi="Times New Roman" w:cs="Times New Roman"/>
          <w:sz w:val="24"/>
          <w:szCs w:val="24"/>
        </w:rPr>
      </w:pPr>
    </w:p>
    <w:p w14:paraId="66847141" w14:textId="77777777" w:rsidR="00C169CB" w:rsidRPr="007147B7" w:rsidRDefault="00C169CB">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01053797" w14:textId="4C5EB179" w:rsidR="00C169CB" w:rsidRPr="007147B7" w:rsidRDefault="00C169CB" w:rsidP="00C169CB">
      <w:pPr>
        <w:jc w:val="center"/>
        <w:rPr>
          <w:rFonts w:ascii="Times New Roman"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52249AC3" wp14:editId="2C071553">
            <wp:extent cx="5939790" cy="1889125"/>
            <wp:effectExtent l="0" t="0" r="3810" b="0"/>
            <wp:docPr id="1926108830"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1889125"/>
                    </a:xfrm>
                    <a:prstGeom prst="rect">
                      <a:avLst/>
                    </a:prstGeom>
                    <a:noFill/>
                    <a:ln>
                      <a:noFill/>
                    </a:ln>
                  </pic:spPr>
                </pic:pic>
              </a:graphicData>
            </a:graphic>
          </wp:inline>
        </w:drawing>
      </w:r>
    </w:p>
    <w:p w14:paraId="5F0B3A88" w14:textId="6B30CE39" w:rsidR="00F364FE" w:rsidRPr="007147B7" w:rsidRDefault="00F364FE" w:rsidP="00F364FE">
      <w:pPr>
        <w:rPr>
          <w:rFonts w:ascii="Times New Roman" w:hAnsi="Times New Roman" w:cs="Times New Roman"/>
          <w:sz w:val="24"/>
          <w:szCs w:val="24"/>
        </w:rPr>
      </w:pPr>
      <w:r w:rsidRPr="007147B7">
        <w:rPr>
          <w:rFonts w:ascii="Times New Roman" w:hAnsi="Times New Roman" w:cs="Times New Roman"/>
          <w:b/>
          <w:bCs/>
          <w:sz w:val="24"/>
          <w:szCs w:val="24"/>
        </w:rPr>
        <w:t>Supplementary Fig. 3</w:t>
      </w:r>
      <w:r w:rsidRPr="007147B7">
        <w:rPr>
          <w:rFonts w:ascii="Times New Roman" w:hAnsi="Times New Roman" w:cs="Times New Roman"/>
          <w:sz w:val="24"/>
          <w:szCs w:val="24"/>
        </w:rPr>
        <w:t xml:space="preserve"> Full H-H NOESY NMR spectra of (a) </w:t>
      </w:r>
      <w:r w:rsidR="00D303F8" w:rsidRPr="007147B7">
        <w:rPr>
          <w:rFonts w:ascii="Times New Roman" w:hAnsi="Times New Roman" w:cs="Times New Roman"/>
          <w:sz w:val="24"/>
          <w:szCs w:val="24"/>
        </w:rPr>
        <w:t>C</w:t>
      </w:r>
      <w:r w:rsidRPr="007147B7">
        <w:rPr>
          <w:rFonts w:ascii="Times New Roman" w:hAnsi="Times New Roman" w:cs="Times New Roman"/>
          <w:sz w:val="24"/>
          <w:szCs w:val="24"/>
        </w:rPr>
        <w:t xml:space="preserve">E, (b) </w:t>
      </w:r>
      <w:r w:rsidR="00D303F8" w:rsidRPr="007147B7">
        <w:rPr>
          <w:rFonts w:ascii="Times New Roman" w:hAnsi="Times New Roman" w:cs="Times New Roman"/>
          <w:sz w:val="24"/>
          <w:szCs w:val="24"/>
        </w:rPr>
        <w:t>WS</w:t>
      </w:r>
      <w:r w:rsidRPr="007147B7">
        <w:rPr>
          <w:rFonts w:ascii="Times New Roman" w:hAnsi="Times New Roman" w:cs="Times New Roman"/>
          <w:sz w:val="24"/>
          <w:szCs w:val="24"/>
        </w:rPr>
        <w:t xml:space="preserve">E, and (c) </w:t>
      </w:r>
      <w:r w:rsidR="00B55D27" w:rsidRPr="007147B7">
        <w:rPr>
          <w:rFonts w:ascii="Times New Roman" w:hAnsi="Times New Roman" w:cs="Times New Roman"/>
          <w:sz w:val="24"/>
          <w:szCs w:val="24"/>
        </w:rPr>
        <w:t>CSSE</w:t>
      </w:r>
      <w:r w:rsidRPr="007147B7">
        <w:rPr>
          <w:rFonts w:ascii="Times New Roman" w:hAnsi="Times New Roman" w:cs="Times New Roman"/>
          <w:sz w:val="24"/>
          <w:szCs w:val="24"/>
        </w:rPr>
        <w:t>.</w:t>
      </w:r>
    </w:p>
    <w:p w14:paraId="11BD0056" w14:textId="0E75FA2D" w:rsidR="00F364FE" w:rsidRPr="007147B7" w:rsidRDefault="00F364FE" w:rsidP="00F364FE">
      <w:pPr>
        <w:rPr>
          <w:rFonts w:ascii="Times New Roman" w:hAnsi="Times New Roman" w:cs="Times New Roman"/>
          <w:sz w:val="24"/>
          <w:szCs w:val="24"/>
        </w:rPr>
      </w:pPr>
    </w:p>
    <w:p w14:paraId="67CB4C9E" w14:textId="77777777" w:rsidR="00C169CB" w:rsidRPr="007147B7" w:rsidRDefault="00C169CB">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6012CD66" w14:textId="3993318F" w:rsidR="00C169CB" w:rsidRPr="007147B7" w:rsidRDefault="00BE29AE" w:rsidP="00C169CB">
      <w:pPr>
        <w:jc w:val="center"/>
        <w:rPr>
          <w:rFonts w:ascii="Times New Roman"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18050086" wp14:editId="429EC969">
            <wp:extent cx="4647952" cy="4455795"/>
            <wp:effectExtent l="0" t="0" r="635" b="1905"/>
            <wp:docPr id="2109928169"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28169" name="그림 11"/>
                    <pic:cNvPicPr>
                      <a:picLocks noChangeAspect="1" noChangeArrowheads="1"/>
                    </pic:cNvPicPr>
                  </pic:nvPicPr>
                  <pic:blipFill>
                    <a:blip r:embed="rId11"/>
                    <a:stretch>
                      <a:fillRect/>
                    </a:stretch>
                  </pic:blipFill>
                  <pic:spPr bwMode="auto">
                    <a:xfrm>
                      <a:off x="0" y="0"/>
                      <a:ext cx="4647952" cy="4455795"/>
                    </a:xfrm>
                    <a:prstGeom prst="rect">
                      <a:avLst/>
                    </a:prstGeom>
                    <a:noFill/>
                    <a:ln>
                      <a:noFill/>
                    </a:ln>
                  </pic:spPr>
                </pic:pic>
              </a:graphicData>
            </a:graphic>
          </wp:inline>
        </w:drawing>
      </w:r>
    </w:p>
    <w:p w14:paraId="298D4C35" w14:textId="4D9E5271" w:rsidR="00BB14BD" w:rsidRPr="007147B7" w:rsidRDefault="00BB14BD" w:rsidP="00BB14BD">
      <w:pPr>
        <w:rPr>
          <w:rFonts w:ascii="Times New Roman" w:hAnsi="Times New Roman" w:cs="Times New Roman"/>
          <w:sz w:val="24"/>
          <w:szCs w:val="24"/>
        </w:rPr>
      </w:pPr>
      <w:r w:rsidRPr="007147B7">
        <w:rPr>
          <w:rFonts w:ascii="Times New Roman" w:hAnsi="Times New Roman" w:cs="Times New Roman"/>
          <w:b/>
          <w:bCs/>
          <w:sz w:val="24"/>
          <w:szCs w:val="24"/>
        </w:rPr>
        <w:t>Supplementary Fig. 4</w:t>
      </w:r>
      <w:r w:rsidRPr="007147B7">
        <w:rPr>
          <w:rFonts w:ascii="Times New Roman" w:hAnsi="Times New Roman" w:cs="Times New Roman"/>
          <w:sz w:val="24"/>
          <w:szCs w:val="24"/>
        </w:rPr>
        <w:t xml:space="preserve"> Full</w:t>
      </w:r>
      <w:r w:rsidR="00CF6E38" w:rsidRPr="007147B7">
        <w:rPr>
          <w:rFonts w:ascii="Times New Roman" w:hAnsi="Times New Roman" w:cs="Times New Roman"/>
          <w:sz w:val="24"/>
          <w:szCs w:val="24"/>
        </w:rPr>
        <w:t xml:space="preserve"> and enlarged </w:t>
      </w:r>
      <w:r w:rsidRPr="007147B7">
        <w:rPr>
          <w:rFonts w:ascii="Times New Roman" w:hAnsi="Times New Roman" w:cs="Times New Roman"/>
          <w:sz w:val="24"/>
          <w:szCs w:val="24"/>
        </w:rPr>
        <w:t>H</w:t>
      </w:r>
      <w:r w:rsidR="004970B4" w:rsidRPr="007147B7">
        <w:rPr>
          <w:rFonts w:ascii="Times New Roman" w:hAnsi="Times New Roman" w:cs="Times New Roman"/>
          <w:sz w:val="24"/>
          <w:szCs w:val="24"/>
        </w:rPr>
        <w:t>-H</w:t>
      </w:r>
      <w:r w:rsidRPr="007147B7">
        <w:rPr>
          <w:rFonts w:ascii="Times New Roman" w:hAnsi="Times New Roman" w:cs="Times New Roman"/>
          <w:sz w:val="24"/>
          <w:szCs w:val="24"/>
        </w:rPr>
        <w:t xml:space="preserve"> NOESY NMR spectra of </w:t>
      </w:r>
      <w:r w:rsidR="00CF6E38" w:rsidRPr="007147B7">
        <w:rPr>
          <w:rFonts w:ascii="Times New Roman" w:hAnsi="Times New Roman" w:cs="Times New Roman"/>
          <w:sz w:val="24"/>
          <w:szCs w:val="24"/>
        </w:rPr>
        <w:t>electrolytes in different ratio of solvents</w:t>
      </w:r>
      <w:r w:rsidRPr="007147B7">
        <w:rPr>
          <w:rFonts w:ascii="Times New Roman" w:hAnsi="Times New Roman" w:cs="Times New Roman"/>
          <w:sz w:val="24"/>
          <w:szCs w:val="24"/>
        </w:rPr>
        <w:t>.</w:t>
      </w:r>
      <w:r w:rsidR="00CF6E38" w:rsidRPr="007147B7">
        <w:rPr>
          <w:rFonts w:ascii="Times New Roman" w:hAnsi="Times New Roman" w:cs="Times New Roman"/>
          <w:sz w:val="24"/>
          <w:szCs w:val="24"/>
        </w:rPr>
        <w:t xml:space="preserve"> (a) DME:THP=2:1 vol % (2D1T) and (b) DME:THP=1:2 vol % (1D2T).</w:t>
      </w:r>
      <w:r w:rsidR="004910C4" w:rsidRPr="007147B7">
        <w:rPr>
          <w:rFonts w:ascii="Times New Roman" w:hAnsi="Times New Roman" w:cs="Times New Roman"/>
          <w:sz w:val="24"/>
          <w:szCs w:val="24"/>
        </w:rPr>
        <w:t xml:space="preserve"> 2D1T exhibits NOE shown in DE</w:t>
      </w:r>
      <w:r w:rsidR="006E0CCF" w:rsidRPr="007147B7">
        <w:rPr>
          <w:rFonts w:ascii="Times New Roman" w:hAnsi="Times New Roman" w:cs="Times New Roman"/>
          <w:sz w:val="24"/>
          <w:szCs w:val="24"/>
        </w:rPr>
        <w:t xml:space="preserve">, which indicates THP does not participate </w:t>
      </w:r>
      <w:r w:rsidR="0005546A" w:rsidRPr="007147B7">
        <w:rPr>
          <w:rFonts w:ascii="Times New Roman" w:hAnsi="Times New Roman" w:cs="Times New Roman"/>
          <w:sz w:val="24"/>
          <w:szCs w:val="24"/>
        </w:rPr>
        <w:t xml:space="preserve">in the </w:t>
      </w:r>
      <w:r w:rsidR="006E0CCF" w:rsidRPr="007147B7">
        <w:rPr>
          <w:rFonts w:ascii="Times New Roman" w:hAnsi="Times New Roman" w:cs="Times New Roman"/>
          <w:sz w:val="24"/>
          <w:szCs w:val="24"/>
        </w:rPr>
        <w:t xml:space="preserve">solvation shell. In the case of </w:t>
      </w:r>
      <w:r w:rsidR="004910C4" w:rsidRPr="007147B7">
        <w:rPr>
          <w:rFonts w:ascii="Times New Roman" w:hAnsi="Times New Roman" w:cs="Times New Roman"/>
          <w:sz w:val="24"/>
          <w:szCs w:val="24"/>
        </w:rPr>
        <w:t>1D2T</w:t>
      </w:r>
      <w:r w:rsidR="006E0CCF" w:rsidRPr="007147B7">
        <w:rPr>
          <w:rFonts w:ascii="Times New Roman" w:hAnsi="Times New Roman" w:cs="Times New Roman"/>
          <w:sz w:val="24"/>
          <w:szCs w:val="24"/>
        </w:rPr>
        <w:t>,</w:t>
      </w:r>
      <w:r w:rsidR="004910C4" w:rsidRPr="007147B7">
        <w:rPr>
          <w:rFonts w:ascii="Times New Roman" w:hAnsi="Times New Roman" w:cs="Times New Roman"/>
          <w:sz w:val="24"/>
          <w:szCs w:val="24"/>
        </w:rPr>
        <w:t xml:space="preserve"> NOE of </w:t>
      </w:r>
      <w:r w:rsidR="0005546A" w:rsidRPr="007147B7">
        <w:rPr>
          <w:rFonts w:ascii="Times New Roman" w:hAnsi="Times New Roman" w:cs="Times New Roman"/>
          <w:sz w:val="24"/>
          <w:szCs w:val="24"/>
        </w:rPr>
        <w:t xml:space="preserve">the </w:t>
      </w:r>
      <w:r w:rsidR="006E0CCF" w:rsidRPr="007147B7">
        <w:rPr>
          <w:rFonts w:ascii="Times New Roman" w:hAnsi="Times New Roman" w:cs="Times New Roman"/>
          <w:sz w:val="24"/>
          <w:szCs w:val="24"/>
        </w:rPr>
        <w:t xml:space="preserve">mixture is shown, implying that DME cannot participate </w:t>
      </w:r>
      <w:r w:rsidR="0005546A" w:rsidRPr="007147B7">
        <w:rPr>
          <w:rFonts w:ascii="Times New Roman" w:hAnsi="Times New Roman" w:cs="Times New Roman"/>
          <w:sz w:val="24"/>
          <w:szCs w:val="24"/>
        </w:rPr>
        <w:t xml:space="preserve">in the </w:t>
      </w:r>
      <w:r w:rsidR="006E0CCF" w:rsidRPr="007147B7">
        <w:rPr>
          <w:rFonts w:ascii="Times New Roman" w:hAnsi="Times New Roman" w:cs="Times New Roman"/>
          <w:sz w:val="24"/>
          <w:szCs w:val="24"/>
        </w:rPr>
        <w:t>solvation shell.</w:t>
      </w:r>
    </w:p>
    <w:p w14:paraId="2514C9C5" w14:textId="6E9CB27C" w:rsidR="008E5E59" w:rsidRPr="007147B7" w:rsidRDefault="008E5E59">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68F480E5" w14:textId="609A9CBE" w:rsidR="008E5E59" w:rsidRPr="007147B7" w:rsidRDefault="008E5E59" w:rsidP="008E5E59">
      <w:pPr>
        <w:rPr>
          <w:rFonts w:ascii="Times New Roman" w:hAnsi="Times New Roman" w:cs="Times New Roman"/>
          <w:sz w:val="24"/>
          <w:szCs w:val="24"/>
        </w:rPr>
      </w:pPr>
      <w:r w:rsidRPr="007147B7">
        <w:rPr>
          <w:rFonts w:ascii="굴림" w:eastAsia="굴림" w:hAnsi="굴림" w:cs="굴림"/>
          <w:noProof/>
          <w:kern w:val="0"/>
          <w:sz w:val="24"/>
          <w:szCs w:val="24"/>
        </w:rPr>
        <w:lastRenderedPageBreak/>
        <w:drawing>
          <wp:anchor distT="0" distB="0" distL="114300" distR="114300" simplePos="0" relativeHeight="251661312" behindDoc="0" locked="0" layoutInCell="1" allowOverlap="1" wp14:anchorId="11B22528" wp14:editId="39483356">
            <wp:simplePos x="0" y="0"/>
            <wp:positionH relativeFrom="margin">
              <wp:align>center</wp:align>
            </wp:positionH>
            <wp:positionV relativeFrom="paragraph">
              <wp:posOffset>243</wp:posOffset>
            </wp:positionV>
            <wp:extent cx="4892675" cy="4566920"/>
            <wp:effectExtent l="0" t="0" r="3175" b="5080"/>
            <wp:wrapTopAndBottom/>
            <wp:docPr id="259771664" name="그림 16" descr="텍스트, 도표, 지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71664" name="그림 16" descr="텍스트, 도표, 지도이(가) 표시된 사진&#10;&#10;자동 생성된 설명"/>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92675" cy="4566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hAnsi="Times New Roman" w:cs="Times New Roman"/>
          <w:b/>
          <w:bCs/>
          <w:sz w:val="24"/>
          <w:szCs w:val="24"/>
        </w:rPr>
        <w:t>Supplementary Fig. 5</w:t>
      </w:r>
      <w:r w:rsidRPr="007147B7">
        <w:rPr>
          <w:rFonts w:ascii="Times New Roman" w:hAnsi="Times New Roman" w:cs="Times New Roman"/>
          <w:sz w:val="24"/>
          <w:szCs w:val="24"/>
        </w:rPr>
        <w:t xml:space="preserve"> Full and enlarged H</w:t>
      </w:r>
      <w:r w:rsidR="004970B4" w:rsidRPr="007147B7">
        <w:rPr>
          <w:rFonts w:ascii="Times New Roman" w:hAnsi="Times New Roman" w:cs="Times New Roman"/>
          <w:sz w:val="24"/>
          <w:szCs w:val="24"/>
        </w:rPr>
        <w:t>-H</w:t>
      </w:r>
      <w:r w:rsidRPr="007147B7">
        <w:rPr>
          <w:rFonts w:ascii="Times New Roman" w:hAnsi="Times New Roman" w:cs="Times New Roman"/>
          <w:sz w:val="24"/>
          <w:szCs w:val="24"/>
        </w:rPr>
        <w:t xml:space="preserve"> NOESY NMR spectra of solvents. (a) DM</w:t>
      </w:r>
      <w:r w:rsidR="000F5035" w:rsidRPr="007147B7">
        <w:rPr>
          <w:rFonts w:ascii="Times New Roman" w:hAnsi="Times New Roman" w:cs="Times New Roman"/>
          <w:sz w:val="24"/>
          <w:szCs w:val="24"/>
        </w:rPr>
        <w:t>E</w:t>
      </w:r>
      <w:r w:rsidRPr="007147B7">
        <w:rPr>
          <w:rFonts w:ascii="Times New Roman" w:hAnsi="Times New Roman" w:cs="Times New Roman"/>
          <w:sz w:val="24"/>
          <w:szCs w:val="24"/>
        </w:rPr>
        <w:t xml:space="preserve"> and (b) DME:THP=1:</w:t>
      </w:r>
      <w:r w:rsidR="000F5035" w:rsidRPr="007147B7">
        <w:rPr>
          <w:rFonts w:ascii="Times New Roman" w:hAnsi="Times New Roman" w:cs="Times New Roman"/>
          <w:sz w:val="24"/>
          <w:szCs w:val="24"/>
        </w:rPr>
        <w:t>1</w:t>
      </w:r>
      <w:r w:rsidRPr="007147B7">
        <w:rPr>
          <w:rFonts w:ascii="Times New Roman" w:hAnsi="Times New Roman" w:cs="Times New Roman"/>
          <w:sz w:val="24"/>
          <w:szCs w:val="24"/>
        </w:rPr>
        <w:t xml:space="preserve"> vol%. </w:t>
      </w:r>
      <w:r w:rsidR="000F5035" w:rsidRPr="007147B7">
        <w:rPr>
          <w:rFonts w:ascii="Times New Roman" w:hAnsi="Times New Roman" w:cs="Times New Roman"/>
          <w:sz w:val="24"/>
          <w:szCs w:val="24"/>
        </w:rPr>
        <w:t xml:space="preserve">From these spectra, it is predictable that patterns shown in DE or CSSE appear only when DME participates </w:t>
      </w:r>
      <w:r w:rsidR="0005546A" w:rsidRPr="007147B7">
        <w:rPr>
          <w:rFonts w:ascii="Times New Roman" w:hAnsi="Times New Roman" w:cs="Times New Roman"/>
          <w:sz w:val="24"/>
          <w:szCs w:val="24"/>
        </w:rPr>
        <w:t xml:space="preserve">in the </w:t>
      </w:r>
      <w:r w:rsidR="000F5035" w:rsidRPr="007147B7">
        <w:rPr>
          <w:rFonts w:ascii="Times New Roman" w:hAnsi="Times New Roman" w:cs="Times New Roman"/>
          <w:sz w:val="24"/>
          <w:szCs w:val="24"/>
        </w:rPr>
        <w:t>solvation shell.</w:t>
      </w:r>
    </w:p>
    <w:p w14:paraId="0C781F7C" w14:textId="1B863071" w:rsidR="00876239" w:rsidRPr="007147B7" w:rsidRDefault="00876239">
      <w:pPr>
        <w:widowControl/>
        <w:wordWrap/>
        <w:autoSpaceDE/>
        <w:autoSpaceDN/>
        <w:rPr>
          <w:rFonts w:ascii="굴림" w:eastAsia="굴림" w:hAnsi="굴림" w:cs="굴림"/>
          <w:kern w:val="0"/>
          <w:sz w:val="24"/>
          <w:szCs w:val="24"/>
        </w:rPr>
      </w:pPr>
      <w:r w:rsidRPr="007147B7">
        <w:rPr>
          <w:rFonts w:ascii="굴림" w:eastAsia="굴림" w:hAnsi="굴림" w:cs="굴림"/>
          <w:kern w:val="0"/>
          <w:sz w:val="24"/>
          <w:szCs w:val="24"/>
        </w:rPr>
        <w:br w:type="page"/>
      </w:r>
    </w:p>
    <w:p w14:paraId="05FD1C59" w14:textId="3A30EF4A" w:rsidR="00BB14BD" w:rsidRPr="007147B7" w:rsidRDefault="00876239" w:rsidP="008E5E59">
      <w:pPr>
        <w:widowControl/>
        <w:wordWrap/>
        <w:autoSpaceDE/>
        <w:autoSpaceDN/>
        <w:spacing w:before="100" w:beforeAutospacing="1" w:after="100" w:afterAutospacing="1" w:line="240" w:lineRule="auto"/>
        <w:jc w:val="left"/>
        <w:rPr>
          <w:rFonts w:ascii="Times New Roman" w:hAnsi="Times New Roman" w:cs="Times New Roman"/>
          <w:sz w:val="24"/>
          <w:szCs w:val="24"/>
        </w:rPr>
      </w:pPr>
      <w:r w:rsidRPr="007147B7">
        <w:rPr>
          <w:rFonts w:ascii="Times New Roman" w:hAnsi="Times New Roman" w:cs="Times New Roman"/>
          <w:b/>
          <w:bCs/>
          <w:sz w:val="24"/>
          <w:szCs w:val="24"/>
        </w:rPr>
        <w:lastRenderedPageBreak/>
        <w:t>Supplementary Fig. 6</w:t>
      </w:r>
      <w:r w:rsidRPr="007147B7">
        <w:rPr>
          <w:rFonts w:ascii="Times New Roman" w:hAnsi="Times New Roman" w:cs="Times New Roman"/>
          <w:sz w:val="24"/>
          <w:szCs w:val="24"/>
        </w:rPr>
        <w:t xml:space="preserve"> Long-term cyclability test under high-power conditions of electrolytes at different solvent ratios with </w:t>
      </w:r>
      <w:proofErr w:type="spellStart"/>
      <w:r w:rsidRPr="007147B7">
        <w:rPr>
          <w:rFonts w:ascii="Times New Roman" w:hAnsi="Times New Roman" w:cs="Times New Roman"/>
          <w:sz w:val="24"/>
          <w:szCs w:val="24"/>
        </w:rPr>
        <w:t>Li‖NCM</w:t>
      </w:r>
      <w:proofErr w:type="spellEnd"/>
      <w:r w:rsidRPr="007147B7">
        <w:rPr>
          <w:rFonts w:ascii="Times New Roman" w:hAnsi="Times New Roman" w:cs="Times New Roman"/>
          <w:sz w:val="24"/>
          <w:szCs w:val="24"/>
        </w:rPr>
        <w:t xml:space="preserve"> coin-cells</w:t>
      </w:r>
      <w:r w:rsidRPr="007147B7">
        <w:rPr>
          <w:rFonts w:ascii="굴림" w:eastAsia="굴림" w:hAnsi="굴림" w:cs="굴림" w:hint="eastAsia"/>
          <w:noProof/>
          <w:kern w:val="0"/>
          <w:sz w:val="24"/>
          <w:szCs w:val="24"/>
        </w:rPr>
        <w:drawing>
          <wp:anchor distT="0" distB="0" distL="114300" distR="114300" simplePos="0" relativeHeight="251662336" behindDoc="0" locked="0" layoutInCell="1" allowOverlap="1" wp14:anchorId="187F8C10" wp14:editId="26F5FE3A">
            <wp:simplePos x="0" y="0"/>
            <wp:positionH relativeFrom="margin">
              <wp:align>center</wp:align>
            </wp:positionH>
            <wp:positionV relativeFrom="paragraph">
              <wp:posOffset>0</wp:posOffset>
            </wp:positionV>
            <wp:extent cx="5236210" cy="2256790"/>
            <wp:effectExtent l="0" t="0" r="2540" b="0"/>
            <wp:wrapTopAndBottom/>
            <wp:docPr id="385475436"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36210" cy="2256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hAnsi="Times New Roman" w:cs="Times New Roman"/>
          <w:sz w:val="24"/>
          <w:szCs w:val="24"/>
        </w:rPr>
        <w:t>. 1:1 vol% of CSSE exhibited superior cyclability, indicating participation of both solvents in the solvation shell is crucial for long cycle life.</w:t>
      </w:r>
    </w:p>
    <w:p w14:paraId="70CB8D61" w14:textId="7F81E89C" w:rsidR="0092505C" w:rsidRPr="007147B7" w:rsidRDefault="0092505C">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78BE4264" w14:textId="20B5DC56" w:rsidR="0092505C" w:rsidRPr="007147B7" w:rsidRDefault="0092505C" w:rsidP="0092505C">
      <w:pPr>
        <w:spacing w:line="360" w:lineRule="auto"/>
        <w:rPr>
          <w:rFonts w:ascii="Times New Roman" w:hAnsi="Times New Roman" w:cs="Times New Roman"/>
          <w:sz w:val="24"/>
          <w:szCs w:val="24"/>
        </w:rPr>
      </w:pPr>
      <w:r w:rsidRPr="007147B7">
        <w:rPr>
          <w:rFonts w:ascii="Times New Roman" w:eastAsiaTheme="minorEastAsia" w:hAnsi="Times New Roman" w:cs="Times New Roman"/>
          <w:noProof/>
          <w:kern w:val="0"/>
          <w:sz w:val="24"/>
          <w:szCs w:val="24"/>
        </w:rPr>
        <w:lastRenderedPageBreak/>
        <w:drawing>
          <wp:anchor distT="0" distB="0" distL="114300" distR="114300" simplePos="0" relativeHeight="251663360" behindDoc="0" locked="0" layoutInCell="1" allowOverlap="1" wp14:anchorId="1F45D501" wp14:editId="06503DEE">
            <wp:simplePos x="0" y="0"/>
            <wp:positionH relativeFrom="margin">
              <wp:posOffset>1168400</wp:posOffset>
            </wp:positionH>
            <wp:positionV relativeFrom="paragraph">
              <wp:posOffset>9525</wp:posOffset>
            </wp:positionV>
            <wp:extent cx="3585845" cy="2628265"/>
            <wp:effectExtent l="0" t="0" r="0" b="635"/>
            <wp:wrapTopAndBottom/>
            <wp:docPr id="83717648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76481" name="그림 1"/>
                    <pic:cNvPicPr>
                      <a:picLocks noChangeAspect="1" noChangeArrowheads="1"/>
                    </pic:cNvPicPr>
                  </pic:nvPicPr>
                  <pic:blipFill>
                    <a:blip r:embed="rId14"/>
                    <a:stretch>
                      <a:fillRect/>
                    </a:stretch>
                  </pic:blipFill>
                  <pic:spPr bwMode="auto">
                    <a:xfrm>
                      <a:off x="0" y="0"/>
                      <a:ext cx="3585845" cy="2628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hAnsi="Times New Roman" w:cs="Times New Roman"/>
          <w:b/>
          <w:bCs/>
          <w:sz w:val="24"/>
          <w:szCs w:val="24"/>
        </w:rPr>
        <w:t xml:space="preserve">Supplementary Fig. 7 </w:t>
      </w:r>
      <w:r w:rsidRPr="007147B7">
        <w:rPr>
          <w:rFonts w:ascii="Times New Roman" w:hAnsi="Times New Roman" w:cs="Times New Roman"/>
          <w:sz w:val="24"/>
          <w:szCs w:val="24"/>
        </w:rPr>
        <w:t>Radial distribution functions (</w:t>
      </w:r>
      <w:r w:rsidRPr="007147B7">
        <w:rPr>
          <w:rFonts w:ascii="Times New Roman" w:hAnsi="Times New Roman" w:cs="Times New Roman"/>
          <w:i/>
          <w:iCs/>
          <w:sz w:val="24"/>
          <w:szCs w:val="24"/>
        </w:rPr>
        <w:t>g(r)</w:t>
      </w:r>
      <w:r w:rsidRPr="007147B7">
        <w:rPr>
          <w:rFonts w:ascii="Times New Roman" w:hAnsi="Times New Roman" w:cs="Times New Roman"/>
          <w:sz w:val="24"/>
          <w:szCs w:val="24"/>
        </w:rPr>
        <w:t xml:space="preserve">, RDFs) for anion binding sites around Li. </w:t>
      </w:r>
    </w:p>
    <w:p w14:paraId="35C59E16" w14:textId="4CFCCE5D" w:rsidR="0092505C" w:rsidRPr="007147B7" w:rsidRDefault="0092505C">
      <w:pPr>
        <w:widowControl/>
        <w:wordWrap/>
        <w:autoSpaceDE/>
        <w:autoSpaceDN/>
        <w:rPr>
          <w:rFonts w:ascii="굴림" w:eastAsiaTheme="minorEastAsia" w:hAnsi="굴림" w:cs="굴림"/>
          <w:kern w:val="0"/>
          <w:sz w:val="24"/>
          <w:szCs w:val="24"/>
        </w:rPr>
      </w:pPr>
      <w:r w:rsidRPr="007147B7">
        <w:rPr>
          <w:rFonts w:ascii="굴림" w:eastAsiaTheme="minorEastAsia" w:hAnsi="굴림" w:cs="굴림"/>
          <w:kern w:val="0"/>
          <w:sz w:val="24"/>
          <w:szCs w:val="24"/>
        </w:rPr>
        <w:br w:type="page"/>
      </w:r>
    </w:p>
    <w:p w14:paraId="4023AD08" w14:textId="2990BEA0" w:rsidR="0092505C" w:rsidRPr="007147B7" w:rsidRDefault="0092505C" w:rsidP="0092505C">
      <w:pPr>
        <w:spacing w:line="360" w:lineRule="auto"/>
        <w:rPr>
          <w:rFonts w:ascii="Times New Roman" w:hAnsi="Times New Roman" w:cs="Times New Roman"/>
          <w:sz w:val="24"/>
          <w:szCs w:val="24"/>
        </w:rPr>
      </w:pPr>
      <w:r w:rsidRPr="007147B7">
        <w:rPr>
          <w:rFonts w:ascii="Times New Roman" w:eastAsiaTheme="minorEastAsia" w:hAnsi="Times New Roman" w:cs="Times New Roman"/>
          <w:noProof/>
          <w:kern w:val="0"/>
          <w:sz w:val="24"/>
          <w:szCs w:val="24"/>
        </w:rPr>
        <w:lastRenderedPageBreak/>
        <w:drawing>
          <wp:anchor distT="0" distB="0" distL="114300" distR="114300" simplePos="0" relativeHeight="251664384" behindDoc="0" locked="0" layoutInCell="1" allowOverlap="1" wp14:anchorId="67294F30" wp14:editId="12849579">
            <wp:simplePos x="0" y="0"/>
            <wp:positionH relativeFrom="margin">
              <wp:align>center</wp:align>
            </wp:positionH>
            <wp:positionV relativeFrom="paragraph">
              <wp:posOffset>336</wp:posOffset>
            </wp:positionV>
            <wp:extent cx="5350510" cy="2491740"/>
            <wp:effectExtent l="0" t="0" r="2540" b="3810"/>
            <wp:wrapTopAndBottom/>
            <wp:docPr id="1025650181"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0510" cy="2491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hAnsi="Times New Roman" w:cs="Times New Roman"/>
          <w:b/>
          <w:bCs/>
          <w:sz w:val="24"/>
          <w:szCs w:val="24"/>
        </w:rPr>
        <w:t>Supplementary Fig. 8 Coordination number (</w:t>
      </w:r>
      <w:r w:rsidRPr="007147B7">
        <w:rPr>
          <w:rFonts w:ascii="Times New Roman" w:hAnsi="Times New Roman" w:cs="Times New Roman"/>
          <w:b/>
          <w:bCs/>
          <w:i/>
          <w:iCs/>
          <w:sz w:val="24"/>
          <w:szCs w:val="24"/>
        </w:rPr>
        <w:t>N</w:t>
      </w:r>
      <w:r w:rsidRPr="007147B7">
        <w:rPr>
          <w:rFonts w:ascii="Times New Roman" w:hAnsi="Times New Roman" w:cs="Times New Roman"/>
          <w:b/>
          <w:bCs/>
          <w:i/>
          <w:iCs/>
          <w:sz w:val="24"/>
          <w:szCs w:val="24"/>
          <w:vertAlign w:val="subscript"/>
        </w:rPr>
        <w:t>Li-O</w:t>
      </w:r>
      <w:r w:rsidRPr="007147B7">
        <w:rPr>
          <w:rFonts w:ascii="Times New Roman" w:hAnsi="Times New Roman" w:cs="Times New Roman"/>
          <w:b/>
          <w:bCs/>
          <w:sz w:val="24"/>
          <w:szCs w:val="24"/>
        </w:rPr>
        <w:t xml:space="preserve">) spectra of </w:t>
      </w:r>
      <w:r w:rsidR="003739AB">
        <w:rPr>
          <w:rFonts w:ascii="Times New Roman" w:hAnsi="Times New Roman" w:cs="Times New Roman"/>
          <w:b/>
          <w:bCs/>
          <w:sz w:val="24"/>
          <w:szCs w:val="24"/>
        </w:rPr>
        <w:t>CE</w:t>
      </w:r>
      <w:r w:rsidRPr="007147B7">
        <w:rPr>
          <w:rFonts w:ascii="Times New Roman" w:hAnsi="Times New Roman" w:cs="Times New Roman"/>
          <w:b/>
          <w:bCs/>
          <w:sz w:val="24"/>
          <w:szCs w:val="24"/>
        </w:rPr>
        <w:t xml:space="preserve"> and </w:t>
      </w:r>
      <w:r w:rsidR="003739AB">
        <w:rPr>
          <w:rFonts w:ascii="Times New Roman" w:hAnsi="Times New Roman" w:cs="Times New Roman"/>
          <w:b/>
          <w:bCs/>
          <w:sz w:val="24"/>
          <w:szCs w:val="24"/>
        </w:rPr>
        <w:t>WSE</w:t>
      </w:r>
      <w:r w:rsidRPr="007147B7">
        <w:rPr>
          <w:rFonts w:ascii="Times New Roman" w:hAnsi="Times New Roman" w:cs="Times New Roman"/>
          <w:b/>
          <w:bCs/>
          <w:sz w:val="24"/>
          <w:szCs w:val="24"/>
        </w:rPr>
        <w:t xml:space="preserve"> for solvent and anion binding sites around Li</w:t>
      </w:r>
      <w:r w:rsidRPr="007147B7">
        <w:rPr>
          <w:rFonts w:ascii="Times New Roman" w:hAnsi="Times New Roman" w:cs="Times New Roman"/>
          <w:b/>
          <w:bCs/>
          <w:sz w:val="24"/>
          <w:szCs w:val="24"/>
          <w:vertAlign w:val="superscript"/>
        </w:rPr>
        <w:t>+</w:t>
      </w:r>
      <w:r w:rsidRPr="007147B7">
        <w:rPr>
          <w:rFonts w:ascii="Times New Roman" w:hAnsi="Times New Roman" w:cs="Times New Roman"/>
          <w:b/>
          <w:bCs/>
          <w:sz w:val="24"/>
          <w:szCs w:val="24"/>
        </w:rPr>
        <w:t xml:space="preserve">. </w:t>
      </w:r>
      <w:r w:rsidRPr="007147B7">
        <w:rPr>
          <w:rFonts w:ascii="Times New Roman" w:hAnsi="Times New Roman" w:cs="Times New Roman"/>
          <w:sz w:val="24"/>
          <w:szCs w:val="24"/>
        </w:rPr>
        <w:t>The coordination numbers of solvent molecules and anions are plotted along the x and y axes, respectively. Color intensity represents the population density of each coordination configuration, where brighter regions correspond to higher populations.</w:t>
      </w:r>
    </w:p>
    <w:p w14:paraId="1985A1E0" w14:textId="64C78E08" w:rsidR="0092505C" w:rsidRPr="007147B7" w:rsidRDefault="0092505C">
      <w:pPr>
        <w:widowControl/>
        <w:wordWrap/>
        <w:autoSpaceDE/>
        <w:autoSpaceDN/>
        <w:rPr>
          <w:rFonts w:ascii="굴림" w:eastAsiaTheme="minorEastAsia" w:hAnsi="굴림" w:cs="굴림"/>
          <w:kern w:val="0"/>
          <w:sz w:val="24"/>
          <w:szCs w:val="24"/>
        </w:rPr>
      </w:pPr>
      <w:r w:rsidRPr="007147B7">
        <w:rPr>
          <w:rFonts w:ascii="굴림" w:eastAsiaTheme="minorEastAsia" w:hAnsi="굴림" w:cs="굴림"/>
          <w:kern w:val="0"/>
          <w:sz w:val="24"/>
          <w:szCs w:val="24"/>
        </w:rPr>
        <w:br w:type="page"/>
      </w:r>
    </w:p>
    <w:p w14:paraId="56A0AB83" w14:textId="33A04858" w:rsidR="0092505C" w:rsidRPr="007147B7" w:rsidRDefault="0092505C" w:rsidP="0092505C">
      <w:pPr>
        <w:widowControl/>
        <w:wordWrap/>
        <w:autoSpaceDE/>
        <w:autoSpaceDN/>
        <w:spacing w:before="100" w:beforeAutospacing="1" w:after="100" w:afterAutospacing="1" w:line="240" w:lineRule="auto"/>
        <w:rPr>
          <w:rFonts w:ascii="굴림" w:eastAsiaTheme="minorEastAsia" w:hAnsi="굴림" w:cs="굴림"/>
          <w:kern w:val="0"/>
          <w:sz w:val="24"/>
          <w:szCs w:val="24"/>
        </w:rPr>
      </w:pPr>
      <w:r w:rsidRPr="007147B7">
        <w:rPr>
          <w:rFonts w:ascii="굴림" w:eastAsiaTheme="minorEastAsia" w:hAnsi="굴림" w:cs="굴림" w:hint="eastAsia"/>
          <w:noProof/>
          <w:kern w:val="0"/>
          <w:sz w:val="24"/>
          <w:szCs w:val="24"/>
        </w:rPr>
        <w:lastRenderedPageBreak/>
        <w:drawing>
          <wp:inline distT="0" distB="0" distL="0" distR="0" wp14:anchorId="17B52B8A" wp14:editId="16757899">
            <wp:extent cx="5943600" cy="4177665"/>
            <wp:effectExtent l="0" t="0" r="0" b="0"/>
            <wp:docPr id="905524108"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177665"/>
                    </a:xfrm>
                    <a:prstGeom prst="rect">
                      <a:avLst/>
                    </a:prstGeom>
                    <a:noFill/>
                    <a:ln>
                      <a:noFill/>
                    </a:ln>
                  </pic:spPr>
                </pic:pic>
              </a:graphicData>
            </a:graphic>
          </wp:inline>
        </w:drawing>
      </w:r>
    </w:p>
    <w:p w14:paraId="16A38C39" w14:textId="26DACA18" w:rsidR="0092505C" w:rsidRPr="007147B7" w:rsidRDefault="0092505C" w:rsidP="0092505C">
      <w:pPr>
        <w:spacing w:line="360" w:lineRule="auto"/>
        <w:rPr>
          <w:rFonts w:ascii="Times New Roman" w:hAnsi="Times New Roman" w:cs="Times New Roman"/>
          <w:sz w:val="24"/>
          <w:szCs w:val="24"/>
        </w:rPr>
      </w:pPr>
      <w:r w:rsidRPr="007147B7">
        <w:rPr>
          <w:rFonts w:ascii="Times New Roman" w:hAnsi="Times New Roman" w:cs="Times New Roman"/>
          <w:b/>
          <w:bCs/>
          <w:sz w:val="24"/>
          <w:szCs w:val="24"/>
        </w:rPr>
        <w:t xml:space="preserve">Supplementary Fig. 9 Representative solvation motifs in </w:t>
      </w:r>
      <w:r w:rsidR="003739AB">
        <w:rPr>
          <w:rFonts w:ascii="Times New Roman" w:hAnsi="Times New Roman" w:cs="Times New Roman"/>
          <w:b/>
          <w:bCs/>
          <w:sz w:val="24"/>
          <w:szCs w:val="24"/>
        </w:rPr>
        <w:t>CE</w:t>
      </w:r>
      <w:r w:rsidRPr="007147B7">
        <w:rPr>
          <w:rFonts w:ascii="Times New Roman" w:hAnsi="Times New Roman" w:cs="Times New Roman"/>
          <w:b/>
          <w:bCs/>
          <w:sz w:val="24"/>
          <w:szCs w:val="24"/>
        </w:rPr>
        <w:t xml:space="preserve">, </w:t>
      </w:r>
      <w:r w:rsidR="003739AB">
        <w:rPr>
          <w:rFonts w:ascii="Times New Roman" w:hAnsi="Times New Roman" w:cs="Times New Roman"/>
          <w:b/>
          <w:bCs/>
          <w:sz w:val="24"/>
          <w:szCs w:val="24"/>
        </w:rPr>
        <w:t>WSE</w:t>
      </w:r>
      <w:r w:rsidRPr="007147B7">
        <w:rPr>
          <w:rFonts w:ascii="Times New Roman" w:hAnsi="Times New Roman" w:cs="Times New Roman"/>
          <w:b/>
          <w:bCs/>
          <w:sz w:val="24"/>
          <w:szCs w:val="24"/>
        </w:rPr>
        <w:t xml:space="preserve">, and </w:t>
      </w:r>
      <w:r w:rsidR="003739AB">
        <w:rPr>
          <w:rFonts w:ascii="Times New Roman" w:hAnsi="Times New Roman" w:cs="Times New Roman"/>
          <w:b/>
          <w:bCs/>
          <w:sz w:val="24"/>
          <w:szCs w:val="24"/>
        </w:rPr>
        <w:t>CSSE</w:t>
      </w:r>
      <w:r w:rsidRPr="007147B7">
        <w:rPr>
          <w:rFonts w:ascii="Times New Roman" w:hAnsi="Times New Roman" w:cs="Times New Roman"/>
          <w:b/>
          <w:bCs/>
          <w:sz w:val="24"/>
          <w:szCs w:val="24"/>
        </w:rPr>
        <w:t xml:space="preserve"> electrolytes. </w:t>
      </w:r>
      <w:r w:rsidRPr="007147B7">
        <w:rPr>
          <w:rFonts w:ascii="Times New Roman" w:hAnsi="Times New Roman" w:cs="Times New Roman"/>
          <w:sz w:val="24"/>
          <w:szCs w:val="24"/>
        </w:rPr>
        <w:t xml:space="preserve">In </w:t>
      </w:r>
      <w:r w:rsidR="003739AB">
        <w:rPr>
          <w:rFonts w:ascii="Times New Roman" w:hAnsi="Times New Roman" w:cs="Times New Roman"/>
          <w:sz w:val="24"/>
          <w:szCs w:val="24"/>
        </w:rPr>
        <w:t>CE</w:t>
      </w:r>
      <w:r w:rsidRPr="007147B7">
        <w:rPr>
          <w:rFonts w:ascii="Times New Roman" w:hAnsi="Times New Roman" w:cs="Times New Roman"/>
          <w:sz w:val="24"/>
          <w:szCs w:val="24"/>
        </w:rPr>
        <w:t>, the dominant coordination motif (</w:t>
      </w:r>
      <w:r w:rsidRPr="007147B7">
        <w:rPr>
          <w:rFonts w:ascii="Cambria Math" w:hAnsi="Cambria Math" w:cs="Cambria Math"/>
          <w:sz w:val="24"/>
          <w:szCs w:val="24"/>
        </w:rPr>
        <w:t>𝑁</w:t>
      </w:r>
      <w:r w:rsidRPr="007147B7">
        <w:rPr>
          <w:rFonts w:ascii="Times New Roman" w:hAnsi="Times New Roman" w:cs="Times New Roman"/>
          <w:sz w:val="24"/>
          <w:szCs w:val="24"/>
          <w:vertAlign w:val="subscript"/>
        </w:rPr>
        <w:t>Li–O</w:t>
      </w:r>
      <w:r w:rsidRPr="007147B7">
        <w:rPr>
          <w:rFonts w:ascii="Times New Roman" w:hAnsi="Times New Roman" w:cs="Times New Roman"/>
          <w:sz w:val="24"/>
          <w:szCs w:val="24"/>
        </w:rPr>
        <w:t>=5) primarily consists of Li</w:t>
      </w:r>
      <w:r w:rsidRPr="007147B7">
        <w:rPr>
          <w:rFonts w:ascii="Times New Roman" w:hAnsi="Times New Roman" w:cs="Times New Roman"/>
          <w:sz w:val="24"/>
          <w:szCs w:val="24"/>
          <w:vertAlign w:val="superscript"/>
        </w:rPr>
        <w:t>+</w:t>
      </w:r>
      <w:r w:rsidRPr="007147B7">
        <w:rPr>
          <w:rFonts w:ascii="Times New Roman" w:hAnsi="Times New Roman" w:cs="Times New Roman"/>
          <w:sz w:val="24"/>
          <w:szCs w:val="24"/>
        </w:rPr>
        <w:t>DME</w:t>
      </w:r>
      <w:r w:rsidRPr="007147B7">
        <w:rPr>
          <w:rFonts w:ascii="Times New Roman" w:hAnsi="Times New Roman" w:cs="Times New Roman"/>
          <w:sz w:val="24"/>
          <w:szCs w:val="24"/>
          <w:vertAlign w:val="subscript"/>
        </w:rPr>
        <w:t>1</w:t>
      </w:r>
      <w:r w:rsidRPr="007147B7">
        <w:rPr>
          <w:rFonts w:ascii="Times New Roman" w:hAnsi="Times New Roman" w:cs="Times New Roman"/>
          <w:sz w:val="24"/>
          <w:szCs w:val="24"/>
        </w:rPr>
        <w:t>FSI</w:t>
      </w:r>
      <w:r w:rsidRPr="007147B7">
        <w:rPr>
          <w:rFonts w:ascii="Times New Roman" w:hAnsi="Times New Roman" w:cs="Times New Roman"/>
          <w:sz w:val="24"/>
          <w:szCs w:val="24"/>
          <w:vertAlign w:val="subscript"/>
        </w:rPr>
        <w:t>3</w:t>
      </w:r>
      <w:r w:rsidRPr="007147B7">
        <w:rPr>
          <w:rFonts w:ascii="Times New Roman" w:hAnsi="Times New Roman" w:cs="Times New Roman"/>
          <w:sz w:val="24"/>
          <w:szCs w:val="24"/>
        </w:rPr>
        <w:t xml:space="preserve">, whereas </w:t>
      </w:r>
      <w:r w:rsidR="003739AB">
        <w:rPr>
          <w:rFonts w:ascii="Times New Roman" w:hAnsi="Times New Roman" w:cs="Times New Roman"/>
          <w:sz w:val="24"/>
          <w:szCs w:val="24"/>
        </w:rPr>
        <w:t>WSE</w:t>
      </w:r>
      <w:r w:rsidRPr="007147B7">
        <w:rPr>
          <w:rFonts w:ascii="Times New Roman" w:hAnsi="Times New Roman" w:cs="Times New Roman"/>
          <w:sz w:val="24"/>
          <w:szCs w:val="24"/>
        </w:rPr>
        <w:t xml:space="preserve"> is dominated by the </w:t>
      </w:r>
      <w:r w:rsidRPr="007147B7">
        <w:rPr>
          <w:rFonts w:ascii="Cambria Math" w:hAnsi="Cambria Math" w:cs="Cambria Math"/>
          <w:sz w:val="24"/>
          <w:szCs w:val="24"/>
        </w:rPr>
        <w:t>𝑁</w:t>
      </w:r>
      <w:r w:rsidRPr="007147B7">
        <w:rPr>
          <w:rFonts w:ascii="Times New Roman" w:hAnsi="Times New Roman" w:cs="Times New Roman"/>
          <w:sz w:val="24"/>
          <w:szCs w:val="24"/>
          <w:vertAlign w:val="subscript"/>
        </w:rPr>
        <w:t>Li–O</w:t>
      </w:r>
      <w:r w:rsidRPr="007147B7">
        <w:rPr>
          <w:rFonts w:ascii="Times New Roman" w:hAnsi="Times New Roman" w:cs="Times New Roman"/>
          <w:sz w:val="24"/>
          <w:szCs w:val="24"/>
        </w:rPr>
        <w:t>=4 motif Li</w:t>
      </w:r>
      <w:r w:rsidRPr="007147B7">
        <w:rPr>
          <w:rFonts w:ascii="Times New Roman" w:hAnsi="Times New Roman" w:cs="Times New Roman"/>
          <w:sz w:val="24"/>
          <w:szCs w:val="24"/>
          <w:vertAlign w:val="superscript"/>
        </w:rPr>
        <w:t>+</w:t>
      </w:r>
      <w:r w:rsidRPr="007147B7">
        <w:rPr>
          <w:rFonts w:ascii="Times New Roman" w:hAnsi="Times New Roman" w:cs="Times New Roman"/>
          <w:sz w:val="24"/>
          <w:szCs w:val="24"/>
        </w:rPr>
        <w:t>THP</w:t>
      </w:r>
      <w:r w:rsidRPr="007147B7">
        <w:rPr>
          <w:rFonts w:ascii="Times New Roman" w:hAnsi="Times New Roman" w:cs="Times New Roman"/>
          <w:sz w:val="24"/>
          <w:szCs w:val="24"/>
          <w:vertAlign w:val="subscript"/>
        </w:rPr>
        <w:t>1</w:t>
      </w:r>
      <w:r w:rsidRPr="007147B7">
        <w:rPr>
          <w:rFonts w:ascii="Times New Roman" w:hAnsi="Times New Roman" w:cs="Times New Roman"/>
          <w:sz w:val="24"/>
          <w:szCs w:val="24"/>
        </w:rPr>
        <w:t>FSI</w:t>
      </w:r>
      <w:r w:rsidRPr="007147B7">
        <w:rPr>
          <w:rFonts w:ascii="Times New Roman" w:hAnsi="Times New Roman" w:cs="Times New Roman"/>
          <w:sz w:val="24"/>
          <w:szCs w:val="24"/>
          <w:vertAlign w:val="subscript"/>
        </w:rPr>
        <w:t>3</w:t>
      </w:r>
      <w:r w:rsidRPr="007147B7">
        <w:rPr>
          <w:rFonts w:ascii="Times New Roman" w:hAnsi="Times New Roman" w:cs="Times New Roman"/>
          <w:sz w:val="24"/>
          <w:szCs w:val="24"/>
        </w:rPr>
        <w:t xml:space="preserve">. In </w:t>
      </w:r>
      <w:r w:rsidR="003739AB">
        <w:rPr>
          <w:rFonts w:ascii="Times New Roman" w:hAnsi="Times New Roman" w:cs="Times New Roman"/>
          <w:sz w:val="24"/>
          <w:szCs w:val="24"/>
        </w:rPr>
        <w:t>CSSE</w:t>
      </w:r>
      <w:r w:rsidRPr="007147B7">
        <w:rPr>
          <w:rFonts w:ascii="Times New Roman" w:hAnsi="Times New Roman" w:cs="Times New Roman"/>
          <w:sz w:val="24"/>
          <w:szCs w:val="24"/>
        </w:rPr>
        <w:t>, both DME and THP participate in the first solvation shell, generating diverse hybrid coordination motifs such as Li</w:t>
      </w:r>
      <w:r w:rsidRPr="007147B7">
        <w:rPr>
          <w:rFonts w:ascii="Times New Roman" w:hAnsi="Times New Roman" w:cs="Times New Roman"/>
          <w:sz w:val="24"/>
          <w:szCs w:val="24"/>
          <w:vertAlign w:val="superscript"/>
        </w:rPr>
        <w:t>+</w:t>
      </w:r>
      <w:r w:rsidRPr="007147B7">
        <w:rPr>
          <w:rFonts w:ascii="Times New Roman" w:hAnsi="Times New Roman" w:cs="Times New Roman"/>
          <w:sz w:val="24"/>
          <w:szCs w:val="24"/>
        </w:rPr>
        <w:t>DME</w:t>
      </w:r>
      <w:r w:rsidRPr="007147B7">
        <w:rPr>
          <w:rFonts w:ascii="Times New Roman" w:hAnsi="Times New Roman" w:cs="Times New Roman"/>
          <w:sz w:val="24"/>
          <w:szCs w:val="24"/>
          <w:vertAlign w:val="subscript"/>
        </w:rPr>
        <w:t>1</w:t>
      </w:r>
      <w:r w:rsidRPr="007147B7">
        <w:rPr>
          <w:rFonts w:ascii="Times New Roman" w:hAnsi="Times New Roman" w:cs="Times New Roman"/>
          <w:sz w:val="24"/>
          <w:szCs w:val="24"/>
        </w:rPr>
        <w:t>THP</w:t>
      </w:r>
      <w:r w:rsidRPr="007147B7">
        <w:rPr>
          <w:rFonts w:ascii="Times New Roman" w:hAnsi="Times New Roman" w:cs="Times New Roman"/>
          <w:sz w:val="24"/>
          <w:szCs w:val="24"/>
          <w:vertAlign w:val="subscript"/>
        </w:rPr>
        <w:t>1</w:t>
      </w:r>
      <w:r w:rsidRPr="007147B7">
        <w:rPr>
          <w:rFonts w:ascii="Times New Roman" w:hAnsi="Times New Roman" w:cs="Times New Roman"/>
          <w:sz w:val="24"/>
          <w:szCs w:val="24"/>
        </w:rPr>
        <w:t>FSI</w:t>
      </w:r>
      <w:r w:rsidRPr="007147B7">
        <w:rPr>
          <w:rFonts w:ascii="Times New Roman" w:hAnsi="Times New Roman" w:cs="Times New Roman"/>
          <w:sz w:val="24"/>
          <w:szCs w:val="24"/>
          <w:vertAlign w:val="subscript"/>
        </w:rPr>
        <w:t>2</w:t>
      </w:r>
      <w:r w:rsidRPr="007147B7">
        <w:rPr>
          <w:rFonts w:ascii="Times New Roman" w:hAnsi="Times New Roman" w:cs="Times New Roman"/>
          <w:sz w:val="24"/>
          <w:szCs w:val="24"/>
        </w:rPr>
        <w:t xml:space="preserve"> and Li</w:t>
      </w:r>
      <w:r w:rsidRPr="007147B7">
        <w:rPr>
          <w:rFonts w:ascii="Times New Roman" w:hAnsi="Times New Roman" w:cs="Times New Roman"/>
          <w:sz w:val="24"/>
          <w:szCs w:val="24"/>
          <w:vertAlign w:val="superscript"/>
        </w:rPr>
        <w:t>+</w:t>
      </w:r>
      <w:r w:rsidRPr="007147B7">
        <w:rPr>
          <w:rFonts w:ascii="Times New Roman" w:hAnsi="Times New Roman" w:cs="Times New Roman"/>
          <w:sz w:val="24"/>
          <w:szCs w:val="24"/>
        </w:rPr>
        <w:t>DME</w:t>
      </w:r>
      <w:r w:rsidRPr="007147B7">
        <w:rPr>
          <w:rFonts w:ascii="Times New Roman" w:hAnsi="Times New Roman" w:cs="Times New Roman"/>
          <w:sz w:val="24"/>
          <w:szCs w:val="24"/>
          <w:vertAlign w:val="subscript"/>
        </w:rPr>
        <w:t>1</w:t>
      </w:r>
      <w:r w:rsidRPr="007147B7">
        <w:rPr>
          <w:rFonts w:ascii="Times New Roman" w:hAnsi="Times New Roman" w:cs="Times New Roman"/>
          <w:sz w:val="24"/>
          <w:szCs w:val="24"/>
        </w:rPr>
        <w:t>THP</w:t>
      </w:r>
      <w:r w:rsidRPr="007147B7">
        <w:rPr>
          <w:rFonts w:ascii="Times New Roman" w:hAnsi="Times New Roman" w:cs="Times New Roman"/>
          <w:sz w:val="24"/>
          <w:szCs w:val="24"/>
          <w:vertAlign w:val="subscript"/>
        </w:rPr>
        <w:t>2</w:t>
      </w:r>
      <w:r w:rsidRPr="007147B7">
        <w:rPr>
          <w:rFonts w:ascii="Times New Roman" w:hAnsi="Times New Roman" w:cs="Times New Roman"/>
          <w:sz w:val="24"/>
          <w:szCs w:val="24"/>
        </w:rPr>
        <w:t>FSI</w:t>
      </w:r>
      <w:r w:rsidRPr="007147B7">
        <w:rPr>
          <w:rFonts w:ascii="Times New Roman" w:hAnsi="Times New Roman" w:cs="Times New Roman"/>
          <w:sz w:val="24"/>
          <w:szCs w:val="24"/>
          <w:vertAlign w:val="subscript"/>
        </w:rPr>
        <w:t>2</w:t>
      </w:r>
      <w:r w:rsidRPr="007147B7">
        <w:rPr>
          <w:rFonts w:ascii="Times New Roman" w:hAnsi="Times New Roman" w:cs="Times New Roman"/>
          <w:sz w:val="24"/>
          <w:szCs w:val="24"/>
        </w:rPr>
        <w:t>.</w:t>
      </w:r>
    </w:p>
    <w:p w14:paraId="610EFA41" w14:textId="77777777" w:rsidR="0092505C" w:rsidRPr="007147B7" w:rsidRDefault="0092505C" w:rsidP="0092505C">
      <w:pPr>
        <w:widowControl/>
        <w:wordWrap/>
        <w:autoSpaceDE/>
        <w:autoSpaceDN/>
        <w:spacing w:before="100" w:beforeAutospacing="1" w:after="100" w:afterAutospacing="1" w:line="240" w:lineRule="auto"/>
        <w:rPr>
          <w:rFonts w:ascii="굴림" w:eastAsiaTheme="minorEastAsia" w:hAnsi="굴림" w:cs="굴림"/>
          <w:kern w:val="0"/>
          <w:sz w:val="24"/>
          <w:szCs w:val="24"/>
        </w:rPr>
      </w:pPr>
    </w:p>
    <w:p w14:paraId="0D21E026" w14:textId="77777777" w:rsidR="00095C12" w:rsidRPr="007147B7" w:rsidRDefault="00C169CB">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r w:rsidR="00095C12" w:rsidRPr="007147B7">
        <w:rPr>
          <w:rFonts w:ascii="Times New Roman" w:hAnsi="Times New Roman" w:cs="Times New Roman"/>
          <w:noProof/>
          <w:sz w:val="24"/>
          <w:szCs w:val="24"/>
        </w:rPr>
        <w:lastRenderedPageBreak/>
        <w:drawing>
          <wp:inline distT="0" distB="0" distL="0" distR="0" wp14:anchorId="721A6362" wp14:editId="492A5728">
            <wp:extent cx="5875924" cy="1573131"/>
            <wp:effectExtent l="0" t="0" r="0" b="8255"/>
            <wp:docPr id="1793031255"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31255" name="그림 12"/>
                    <pic:cNvPicPr>
                      <a:picLocks noChangeAspect="1" noChangeArrowheads="1"/>
                    </pic:cNvPicPr>
                  </pic:nvPicPr>
                  <pic:blipFill>
                    <a:blip r:embed="rId17"/>
                    <a:stretch>
                      <a:fillRect/>
                    </a:stretch>
                  </pic:blipFill>
                  <pic:spPr bwMode="auto">
                    <a:xfrm>
                      <a:off x="0" y="0"/>
                      <a:ext cx="5875924" cy="1573131"/>
                    </a:xfrm>
                    <a:prstGeom prst="rect">
                      <a:avLst/>
                    </a:prstGeom>
                    <a:noFill/>
                    <a:ln>
                      <a:noFill/>
                    </a:ln>
                  </pic:spPr>
                </pic:pic>
              </a:graphicData>
            </a:graphic>
          </wp:inline>
        </w:drawing>
      </w:r>
    </w:p>
    <w:p w14:paraId="56D4DCEA" w14:textId="18195122" w:rsidR="00095C12" w:rsidRPr="007147B7" w:rsidRDefault="00095C12">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hint="eastAsia"/>
          <w:b/>
          <w:bCs/>
          <w:sz w:val="24"/>
          <w:szCs w:val="24"/>
        </w:rPr>
        <w:t>S</w:t>
      </w:r>
      <w:r w:rsidRPr="007147B7">
        <w:rPr>
          <w:rFonts w:ascii="Times New Roman" w:eastAsiaTheme="minorEastAsia" w:hAnsi="Times New Roman" w:cs="Times New Roman"/>
          <w:b/>
          <w:bCs/>
          <w:sz w:val="24"/>
          <w:szCs w:val="24"/>
        </w:rPr>
        <w:t xml:space="preserve">upplementary Fig. </w:t>
      </w:r>
      <w:r w:rsidR="00A36DB1" w:rsidRPr="007147B7">
        <w:rPr>
          <w:rFonts w:ascii="Times New Roman" w:eastAsiaTheme="minorEastAsia" w:hAnsi="Times New Roman" w:cs="Times New Roman"/>
          <w:b/>
          <w:bCs/>
          <w:sz w:val="24"/>
          <w:szCs w:val="24"/>
        </w:rPr>
        <w:t>10</w:t>
      </w:r>
      <w:r w:rsidRPr="007147B7">
        <w:rPr>
          <w:rFonts w:ascii="Times New Roman" w:eastAsiaTheme="minorEastAsia" w:hAnsi="Times New Roman" w:cs="Times New Roman"/>
          <w:sz w:val="24"/>
          <w:szCs w:val="24"/>
        </w:rPr>
        <w:t xml:space="preserve"> Electrochemical impedance spectroscopy and chronoamperometry results to measure transference number of electrolytes.</w:t>
      </w:r>
    </w:p>
    <w:p w14:paraId="2695968C" w14:textId="77777777" w:rsidR="007E64F3" w:rsidRPr="007147B7" w:rsidRDefault="007E64F3">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582527F3" w14:textId="202B11EC" w:rsidR="007E64F3" w:rsidRPr="007147B7" w:rsidRDefault="007E64F3">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noProof/>
          <w:sz w:val="24"/>
          <w:szCs w:val="24"/>
        </w:rPr>
        <w:lastRenderedPageBreak/>
        <w:drawing>
          <wp:anchor distT="0" distB="0" distL="114300" distR="114300" simplePos="0" relativeHeight="251660288" behindDoc="0" locked="0" layoutInCell="1" allowOverlap="1" wp14:anchorId="712424DC" wp14:editId="66FA720F">
            <wp:simplePos x="0" y="0"/>
            <wp:positionH relativeFrom="margin">
              <wp:posOffset>69215</wp:posOffset>
            </wp:positionH>
            <wp:positionV relativeFrom="paragraph">
              <wp:posOffset>31750</wp:posOffset>
            </wp:positionV>
            <wp:extent cx="5805805" cy="1600835"/>
            <wp:effectExtent l="0" t="0" r="4445" b="0"/>
            <wp:wrapTopAndBottom/>
            <wp:docPr id="1211878209"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78209" name="그림 15"/>
                    <pic:cNvPicPr>
                      <a:picLocks noChangeAspect="1" noChangeArrowheads="1"/>
                    </pic:cNvPicPr>
                  </pic:nvPicPr>
                  <pic:blipFill>
                    <a:blip r:embed="rId18"/>
                    <a:stretch>
                      <a:fillRect/>
                    </a:stretch>
                  </pic:blipFill>
                  <pic:spPr bwMode="auto">
                    <a:xfrm>
                      <a:off x="0" y="0"/>
                      <a:ext cx="5805805" cy="1600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eastAsiaTheme="minorEastAsia" w:hAnsi="Times New Roman" w:cs="Times New Roman" w:hint="eastAsia"/>
          <w:b/>
          <w:bCs/>
          <w:sz w:val="24"/>
          <w:szCs w:val="24"/>
        </w:rPr>
        <w:t>S</w:t>
      </w:r>
      <w:r w:rsidRPr="007147B7">
        <w:rPr>
          <w:rFonts w:ascii="Times New Roman" w:eastAsiaTheme="minorEastAsia" w:hAnsi="Times New Roman" w:cs="Times New Roman"/>
          <w:b/>
          <w:bCs/>
          <w:sz w:val="24"/>
          <w:szCs w:val="24"/>
        </w:rPr>
        <w:t xml:space="preserve">upplementary Fig. </w:t>
      </w:r>
      <w:r w:rsidR="00A36DB1" w:rsidRPr="007147B7">
        <w:rPr>
          <w:rFonts w:ascii="Times New Roman" w:eastAsiaTheme="minorEastAsia" w:hAnsi="Times New Roman" w:cs="Times New Roman"/>
          <w:b/>
          <w:bCs/>
          <w:sz w:val="24"/>
          <w:szCs w:val="24"/>
        </w:rPr>
        <w:t>11</w:t>
      </w:r>
      <w:r w:rsidRPr="007147B7">
        <w:rPr>
          <w:rFonts w:ascii="Times New Roman" w:eastAsiaTheme="minorEastAsia" w:hAnsi="Times New Roman" w:cs="Times New Roman"/>
          <w:sz w:val="24"/>
          <w:szCs w:val="24"/>
        </w:rPr>
        <w:t xml:space="preserve"> Exchange current density measurement results for electrolytes.</w:t>
      </w:r>
    </w:p>
    <w:p w14:paraId="569EB641" w14:textId="04187A43" w:rsidR="00095C12" w:rsidRPr="007147B7" w:rsidRDefault="00095C12">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62F990F3" w14:textId="0E57DCE7" w:rsidR="006E0CCF" w:rsidRPr="007147B7" w:rsidRDefault="00C169CB" w:rsidP="006E0CCF">
      <w:pPr>
        <w:jc w:val="center"/>
        <w:rPr>
          <w:rFonts w:ascii="Times New Roman"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6F8F2D7D" wp14:editId="7D6AB04A">
            <wp:extent cx="5355497" cy="2199740"/>
            <wp:effectExtent l="0" t="0" r="0" b="0"/>
            <wp:docPr id="96064973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49739" name="그림 5"/>
                    <pic:cNvPicPr>
                      <a:picLocks noChangeAspect="1" noChangeArrowheads="1"/>
                    </pic:cNvPicPr>
                  </pic:nvPicPr>
                  <pic:blipFill>
                    <a:blip r:embed="rId19"/>
                    <a:stretch>
                      <a:fillRect/>
                    </a:stretch>
                  </pic:blipFill>
                  <pic:spPr bwMode="auto">
                    <a:xfrm>
                      <a:off x="0" y="0"/>
                      <a:ext cx="5355497" cy="2199740"/>
                    </a:xfrm>
                    <a:prstGeom prst="rect">
                      <a:avLst/>
                    </a:prstGeom>
                    <a:noFill/>
                    <a:ln>
                      <a:noFill/>
                    </a:ln>
                  </pic:spPr>
                </pic:pic>
              </a:graphicData>
            </a:graphic>
          </wp:inline>
        </w:drawing>
      </w:r>
    </w:p>
    <w:p w14:paraId="451364DD" w14:textId="117CF106" w:rsidR="006E0CCF" w:rsidRPr="007147B7" w:rsidRDefault="006E0CCF" w:rsidP="006E0CCF">
      <w:pPr>
        <w:rPr>
          <w:rFonts w:ascii="Times New Roman" w:hAnsi="Times New Roman" w:cs="Times New Roman"/>
          <w:sz w:val="24"/>
          <w:szCs w:val="24"/>
        </w:rPr>
      </w:pPr>
      <w:r w:rsidRPr="007147B7">
        <w:rPr>
          <w:rFonts w:ascii="Times New Roman" w:hAnsi="Times New Roman" w:cs="Times New Roman"/>
          <w:b/>
          <w:bCs/>
          <w:sz w:val="24"/>
          <w:szCs w:val="24"/>
        </w:rPr>
        <w:t xml:space="preserve">Supplementary Fig. </w:t>
      </w:r>
      <w:r w:rsidR="00A36DB1" w:rsidRPr="007147B7">
        <w:rPr>
          <w:rFonts w:ascii="Times New Roman" w:hAnsi="Times New Roman" w:cs="Times New Roman"/>
          <w:b/>
          <w:bCs/>
          <w:sz w:val="24"/>
          <w:szCs w:val="24"/>
        </w:rPr>
        <w:t>12</w:t>
      </w:r>
      <w:r w:rsidRPr="007147B7">
        <w:rPr>
          <w:rFonts w:ascii="Times New Roman" w:hAnsi="Times New Roman" w:cs="Times New Roman"/>
          <w:sz w:val="24"/>
          <w:szCs w:val="24"/>
        </w:rPr>
        <w:t xml:space="preserve"> Li symmetric test at 8.0 mA cm</w:t>
      </w:r>
      <w:r w:rsidR="003F7001" w:rsidRPr="007147B7">
        <w:rPr>
          <w:rFonts w:ascii="Times New Roman" w:hAnsi="Times New Roman" w:cs="Times New Roman"/>
          <w:sz w:val="24"/>
          <w:szCs w:val="24"/>
          <w:vertAlign w:val="superscript"/>
        </w:rPr>
        <w:t>−</w:t>
      </w:r>
      <w:r w:rsidRPr="007147B7">
        <w:rPr>
          <w:rFonts w:ascii="Times New Roman" w:hAnsi="Times New Roman" w:cs="Times New Roman"/>
          <w:sz w:val="24"/>
          <w:szCs w:val="24"/>
          <w:vertAlign w:val="superscript"/>
        </w:rPr>
        <w:t>2</w:t>
      </w:r>
      <w:r w:rsidRPr="007147B7">
        <w:rPr>
          <w:rFonts w:ascii="Times New Roman" w:hAnsi="Times New Roman" w:cs="Times New Roman"/>
          <w:sz w:val="24"/>
          <w:szCs w:val="24"/>
        </w:rPr>
        <w:t xml:space="preserve"> of 4.0 mAh cm</w:t>
      </w:r>
      <w:r w:rsidR="003F7001" w:rsidRPr="007147B7">
        <w:rPr>
          <w:rFonts w:ascii="Times New Roman" w:hAnsi="Times New Roman" w:cs="Times New Roman"/>
          <w:sz w:val="24"/>
          <w:szCs w:val="24"/>
          <w:vertAlign w:val="superscript"/>
        </w:rPr>
        <w:t>−</w:t>
      </w:r>
      <w:r w:rsidRPr="007147B7">
        <w:rPr>
          <w:rFonts w:ascii="Times New Roman" w:hAnsi="Times New Roman" w:cs="Times New Roman"/>
          <w:sz w:val="24"/>
          <w:szCs w:val="24"/>
          <w:vertAlign w:val="superscript"/>
        </w:rPr>
        <w:t>2</w:t>
      </w:r>
      <w:r w:rsidRPr="007147B7">
        <w:rPr>
          <w:rFonts w:ascii="Times New Roman" w:hAnsi="Times New Roman" w:cs="Times New Roman"/>
          <w:sz w:val="24"/>
          <w:szCs w:val="24"/>
        </w:rPr>
        <w:t>.</w:t>
      </w:r>
      <w:r w:rsidR="005947D7" w:rsidRPr="007147B7">
        <w:rPr>
          <w:rFonts w:ascii="Times New Roman" w:hAnsi="Times New Roman" w:cs="Times New Roman"/>
          <w:sz w:val="24"/>
          <w:szCs w:val="24"/>
        </w:rPr>
        <w:t xml:space="preserve"> To stabilize Li electrodes before cycling, 10 cycles of pre-cycling at low current is conducted.</w:t>
      </w:r>
    </w:p>
    <w:p w14:paraId="3266E27F" w14:textId="77777777" w:rsidR="00A36DB1" w:rsidRPr="007147B7" w:rsidRDefault="00A36DB1">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30620F87" w14:textId="56955DE8" w:rsidR="00A36DB1" w:rsidRPr="0010476F" w:rsidRDefault="00A36DB1" w:rsidP="00A36DB1">
      <w:pPr>
        <w:spacing w:line="360" w:lineRule="auto"/>
        <w:rPr>
          <w:rFonts w:ascii="Times New Roman" w:hAnsi="Times New Roman" w:cs="Times New Roman"/>
          <w:sz w:val="24"/>
          <w:szCs w:val="24"/>
        </w:rPr>
      </w:pPr>
      <w:r w:rsidRPr="007147B7">
        <w:rPr>
          <w:rFonts w:ascii="Times New Roman" w:hAnsi="Times New Roman" w:cs="Times New Roman"/>
          <w:noProof/>
          <w:sz w:val="24"/>
          <w:szCs w:val="24"/>
        </w:rPr>
        <w:lastRenderedPageBreak/>
        <w:drawing>
          <wp:anchor distT="0" distB="0" distL="114300" distR="114300" simplePos="0" relativeHeight="251665408" behindDoc="0" locked="0" layoutInCell="1" allowOverlap="1" wp14:anchorId="49108E5A" wp14:editId="5B0F3F4A">
            <wp:simplePos x="0" y="0"/>
            <wp:positionH relativeFrom="margin">
              <wp:align>center</wp:align>
            </wp:positionH>
            <wp:positionV relativeFrom="paragraph">
              <wp:posOffset>0</wp:posOffset>
            </wp:positionV>
            <wp:extent cx="4256405" cy="3020695"/>
            <wp:effectExtent l="0" t="0" r="0" b="8255"/>
            <wp:wrapTopAndBottom/>
            <wp:docPr id="1978959293"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6405" cy="3020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hAnsi="Times New Roman" w:cs="Times New Roman"/>
          <w:b/>
          <w:bCs/>
          <w:sz w:val="24"/>
          <w:szCs w:val="24"/>
        </w:rPr>
        <w:t xml:space="preserve">Supplementary Fig. 13 </w:t>
      </w:r>
      <w:r w:rsidRPr="0010476F">
        <w:rPr>
          <w:rFonts w:ascii="Times New Roman" w:hAnsi="Times New Roman" w:cs="Times New Roman"/>
          <w:sz w:val="24"/>
          <w:szCs w:val="24"/>
        </w:rPr>
        <w:t>Potential energy (</w:t>
      </w:r>
      <w:r w:rsidRPr="0010476F">
        <w:rPr>
          <w:rFonts w:ascii="Times New Roman" w:hAnsi="Times New Roman" w:cs="Times New Roman"/>
          <w:i/>
          <w:iCs/>
          <w:sz w:val="24"/>
          <w:szCs w:val="24"/>
        </w:rPr>
        <w:t>E</w:t>
      </w:r>
      <w:r w:rsidRPr="0010476F">
        <w:rPr>
          <w:rFonts w:ascii="Times New Roman" w:hAnsi="Times New Roman" w:cs="Times New Roman"/>
          <w:i/>
          <w:iCs/>
          <w:sz w:val="24"/>
          <w:szCs w:val="24"/>
          <w:vertAlign w:val="subscript"/>
        </w:rPr>
        <w:t>p</w:t>
      </w:r>
      <w:r w:rsidRPr="0010476F">
        <w:rPr>
          <w:rFonts w:ascii="Times New Roman" w:hAnsi="Times New Roman" w:cs="Times New Roman"/>
          <w:sz w:val="24"/>
          <w:szCs w:val="24"/>
        </w:rPr>
        <w:t>) distributions of Li</w:t>
      </w:r>
      <w:r w:rsidRPr="0010476F">
        <w:rPr>
          <w:rFonts w:ascii="Times New Roman" w:hAnsi="Times New Roman" w:cs="Times New Roman"/>
          <w:sz w:val="24"/>
          <w:szCs w:val="24"/>
          <w:vertAlign w:val="superscript"/>
        </w:rPr>
        <w:t>+</w:t>
      </w:r>
      <w:r w:rsidRPr="0010476F">
        <w:rPr>
          <w:rFonts w:ascii="Times New Roman" w:hAnsi="Times New Roman" w:cs="Times New Roman"/>
          <w:sz w:val="24"/>
          <w:szCs w:val="24"/>
        </w:rPr>
        <w:t xml:space="preserve"> near the Li metal surface under polarized conditions and the corresponding population distributions for different electrolytes.</w:t>
      </w:r>
    </w:p>
    <w:p w14:paraId="5B91C822" w14:textId="51FB9E9C" w:rsidR="00C169CB" w:rsidRPr="007147B7" w:rsidRDefault="00C169CB">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2419C71E" w14:textId="78E758F9" w:rsidR="00880576" w:rsidRPr="007147B7" w:rsidRDefault="00C169CB" w:rsidP="00C169CB">
      <w:pPr>
        <w:jc w:val="center"/>
        <w:rPr>
          <w:rFonts w:ascii="Times New Roman"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73C1BEDB" wp14:editId="54CE6986">
            <wp:extent cx="5939790" cy="1783714"/>
            <wp:effectExtent l="0" t="0" r="3810" b="7620"/>
            <wp:docPr id="2129146232"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46232" name="그림 6"/>
                    <pic:cNvPicPr>
                      <a:picLocks noChangeAspect="1" noChangeArrowheads="1"/>
                    </pic:cNvPicPr>
                  </pic:nvPicPr>
                  <pic:blipFill>
                    <a:blip r:embed="rId21"/>
                    <a:stretch>
                      <a:fillRect/>
                    </a:stretch>
                  </pic:blipFill>
                  <pic:spPr bwMode="auto">
                    <a:xfrm>
                      <a:off x="0" y="0"/>
                      <a:ext cx="5939790" cy="1783714"/>
                    </a:xfrm>
                    <a:prstGeom prst="rect">
                      <a:avLst/>
                    </a:prstGeom>
                    <a:noFill/>
                    <a:ln>
                      <a:noFill/>
                    </a:ln>
                  </pic:spPr>
                </pic:pic>
              </a:graphicData>
            </a:graphic>
          </wp:inline>
        </w:drawing>
      </w:r>
    </w:p>
    <w:p w14:paraId="63803B40" w14:textId="1E331F42" w:rsidR="005947D7" w:rsidRPr="007147B7" w:rsidRDefault="005947D7" w:rsidP="005947D7">
      <w:pPr>
        <w:rPr>
          <w:rFonts w:ascii="Times New Roman" w:hAnsi="Times New Roman" w:cs="Times New Roman"/>
          <w:sz w:val="24"/>
          <w:szCs w:val="24"/>
        </w:rPr>
      </w:pPr>
      <w:r w:rsidRPr="007147B7">
        <w:rPr>
          <w:rFonts w:ascii="Times New Roman" w:hAnsi="Times New Roman" w:cs="Times New Roman"/>
          <w:b/>
          <w:bCs/>
          <w:sz w:val="24"/>
          <w:szCs w:val="24"/>
        </w:rPr>
        <w:t xml:space="preserve">Supplementary Fig. </w:t>
      </w:r>
      <w:r w:rsidR="00A36DB1" w:rsidRPr="007147B7">
        <w:rPr>
          <w:rFonts w:ascii="Times New Roman" w:hAnsi="Times New Roman" w:cs="Times New Roman"/>
          <w:b/>
          <w:bCs/>
          <w:sz w:val="24"/>
          <w:szCs w:val="24"/>
        </w:rPr>
        <w:t>14</w:t>
      </w:r>
      <w:r w:rsidRPr="007147B7">
        <w:rPr>
          <w:rFonts w:ascii="Times New Roman" w:hAnsi="Times New Roman" w:cs="Times New Roman"/>
          <w:sz w:val="24"/>
          <w:szCs w:val="24"/>
        </w:rPr>
        <w:t xml:space="preserve"> </w:t>
      </w:r>
      <w:r w:rsidRPr="007147B7">
        <w:rPr>
          <w:rFonts w:ascii="Times New Roman" w:eastAsia="맑은 고딕" w:hAnsi="Times New Roman" w:cs="Times New Roman"/>
          <w:sz w:val="24"/>
          <w:szCs w:val="24"/>
        </w:rPr>
        <w:t>FFT images of SEI formed during Li deposition at 3.2 mA cm</w:t>
      </w:r>
      <w:r w:rsidR="003F7001" w:rsidRPr="007147B7">
        <w:rPr>
          <w:rFonts w:ascii="Times New Roman" w:eastAsia="맑은 고딕" w:hAnsi="Times New Roman" w:cs="Times New Roman"/>
          <w:sz w:val="24"/>
          <w:szCs w:val="24"/>
          <w:vertAlign w:val="superscript"/>
        </w:rPr>
        <w:t>−</w:t>
      </w:r>
      <w:r w:rsidRPr="007147B7">
        <w:rPr>
          <w:rFonts w:ascii="Times New Roman" w:eastAsia="맑은 고딕" w:hAnsi="Times New Roman" w:cs="Times New Roman"/>
          <w:sz w:val="24"/>
          <w:szCs w:val="24"/>
          <w:vertAlign w:val="superscript"/>
        </w:rPr>
        <w:t>2</w:t>
      </w:r>
      <w:r w:rsidRPr="007147B7">
        <w:rPr>
          <w:rFonts w:ascii="Times New Roman" w:eastAsia="맑은 고딕" w:hAnsi="Times New Roman" w:cs="Times New Roman"/>
          <w:sz w:val="24"/>
          <w:szCs w:val="24"/>
        </w:rPr>
        <w:t xml:space="preserve"> for 0.5 mAh cm</w:t>
      </w:r>
      <w:r w:rsidR="003F7001" w:rsidRPr="007147B7">
        <w:rPr>
          <w:rFonts w:ascii="Times New Roman" w:eastAsia="맑은 고딕" w:hAnsi="Times New Roman" w:cs="Times New Roman"/>
          <w:sz w:val="24"/>
          <w:szCs w:val="24"/>
          <w:vertAlign w:val="superscript"/>
        </w:rPr>
        <w:t>−</w:t>
      </w:r>
      <w:r w:rsidRPr="007147B7">
        <w:rPr>
          <w:rFonts w:ascii="Times New Roman" w:eastAsia="맑은 고딕" w:hAnsi="Times New Roman" w:cs="Times New Roman"/>
          <w:sz w:val="24"/>
          <w:szCs w:val="24"/>
          <w:vertAlign w:val="superscript"/>
        </w:rPr>
        <w:t>2</w:t>
      </w:r>
      <w:r w:rsidRPr="007147B7">
        <w:rPr>
          <w:rFonts w:ascii="Times New Roman" w:eastAsia="맑은 고딕" w:hAnsi="Times New Roman" w:cs="Times New Roman"/>
          <w:sz w:val="24"/>
          <w:szCs w:val="24"/>
        </w:rPr>
        <w:t>.</w:t>
      </w:r>
    </w:p>
    <w:p w14:paraId="5E4D3387" w14:textId="63877D80" w:rsidR="00880576" w:rsidRPr="007147B7" w:rsidRDefault="00880576">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45481200" w14:textId="412A6C61" w:rsidR="00880576" w:rsidRPr="007147B7" w:rsidRDefault="00880576" w:rsidP="00C169CB">
      <w:pPr>
        <w:jc w:val="center"/>
        <w:rPr>
          <w:rFonts w:ascii="Times New Roman" w:eastAsiaTheme="minorEastAsia"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7E205915" wp14:editId="2EC142ED">
            <wp:extent cx="5744429" cy="3236480"/>
            <wp:effectExtent l="0" t="0" r="0" b="2540"/>
            <wp:docPr id="1423802994"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02994" name="그림 7"/>
                    <pic:cNvPicPr>
                      <a:picLocks noChangeAspect="1" noChangeArrowheads="1"/>
                    </pic:cNvPicPr>
                  </pic:nvPicPr>
                  <pic:blipFill>
                    <a:blip r:embed="rId22"/>
                    <a:stretch>
                      <a:fillRect/>
                    </a:stretch>
                  </pic:blipFill>
                  <pic:spPr bwMode="auto">
                    <a:xfrm>
                      <a:off x="0" y="0"/>
                      <a:ext cx="5744429" cy="3236480"/>
                    </a:xfrm>
                    <a:prstGeom prst="rect">
                      <a:avLst/>
                    </a:prstGeom>
                    <a:noFill/>
                    <a:ln>
                      <a:noFill/>
                    </a:ln>
                  </pic:spPr>
                </pic:pic>
              </a:graphicData>
            </a:graphic>
          </wp:inline>
        </w:drawing>
      </w:r>
    </w:p>
    <w:p w14:paraId="31F02DA6" w14:textId="3C8D9F96" w:rsidR="005947D7" w:rsidRPr="007147B7" w:rsidRDefault="005947D7" w:rsidP="005947D7">
      <w:pPr>
        <w:rPr>
          <w:rFonts w:ascii="Times New Roman" w:eastAsiaTheme="minorEastAsia" w:hAnsi="Times New Roman" w:cs="Times New Roman"/>
          <w:sz w:val="24"/>
          <w:szCs w:val="24"/>
        </w:rPr>
      </w:pPr>
      <w:r w:rsidRPr="007147B7">
        <w:rPr>
          <w:rFonts w:ascii="Times New Roman" w:eastAsiaTheme="minorEastAsia" w:hAnsi="Times New Roman" w:cs="Times New Roman"/>
          <w:b/>
          <w:bCs/>
          <w:sz w:val="24"/>
          <w:szCs w:val="24"/>
        </w:rPr>
        <w:t xml:space="preserve">Supplementary Fig. </w:t>
      </w:r>
      <w:r w:rsidR="00A36DB1" w:rsidRPr="007147B7">
        <w:rPr>
          <w:rFonts w:ascii="Times New Roman" w:eastAsiaTheme="minorEastAsia" w:hAnsi="Times New Roman" w:cs="Times New Roman"/>
          <w:b/>
          <w:bCs/>
          <w:sz w:val="24"/>
          <w:szCs w:val="24"/>
        </w:rPr>
        <w:t>15</w:t>
      </w:r>
      <w:r w:rsidRPr="007147B7">
        <w:rPr>
          <w:rFonts w:ascii="Times New Roman" w:eastAsiaTheme="minorEastAsia" w:hAnsi="Times New Roman" w:cs="Times New Roman"/>
          <w:sz w:val="24"/>
          <w:szCs w:val="24"/>
        </w:rPr>
        <w:t xml:space="preserve"> </w:t>
      </w:r>
      <w:r w:rsidR="00436E0C" w:rsidRPr="007147B7">
        <w:rPr>
          <w:rFonts w:ascii="Times New Roman" w:eastAsiaTheme="minorEastAsia" w:hAnsi="Times New Roman" w:cs="Times New Roman"/>
          <w:sz w:val="24"/>
          <w:szCs w:val="24"/>
        </w:rPr>
        <w:t xml:space="preserve">(a-c) </w:t>
      </w:r>
      <w:r w:rsidRPr="007147B7">
        <w:rPr>
          <w:rFonts w:ascii="Times New Roman" w:eastAsiaTheme="minorEastAsia" w:hAnsi="Times New Roman" w:cs="Times New Roman"/>
          <w:sz w:val="24"/>
          <w:szCs w:val="24"/>
        </w:rPr>
        <w:t>10 cycles of cyclic voltammetry of electrolytes in Li</w:t>
      </w:r>
      <w:r w:rsidRPr="007147B7">
        <w:rPr>
          <w:rFonts w:ascii="Times New Roman" w:eastAsia="MS Mincho" w:hAnsi="Times New Roman" w:cs="Times New Roman"/>
          <w:sz w:val="24"/>
          <w:szCs w:val="24"/>
        </w:rPr>
        <w:t>‖</w:t>
      </w:r>
      <w:r w:rsidRPr="007147B7">
        <w:rPr>
          <w:rFonts w:ascii="Times New Roman" w:eastAsiaTheme="minorEastAsia" w:hAnsi="Times New Roman" w:cs="Times New Roman"/>
          <w:sz w:val="24"/>
          <w:szCs w:val="24"/>
        </w:rPr>
        <w:t>Cu cell scanned at 10 mV s</w:t>
      </w:r>
      <w:r w:rsidR="003F7001" w:rsidRPr="007147B7">
        <w:rPr>
          <w:rFonts w:ascii="Times New Roman" w:eastAsiaTheme="minorEastAsia" w:hAnsi="Times New Roman" w:cs="Times New Roman"/>
          <w:sz w:val="24"/>
          <w:szCs w:val="24"/>
          <w:vertAlign w:val="superscript"/>
        </w:rPr>
        <w:t>−</w:t>
      </w:r>
      <w:r w:rsidRPr="007147B7">
        <w:rPr>
          <w:rFonts w:ascii="Times New Roman" w:eastAsiaTheme="minorEastAsia" w:hAnsi="Times New Roman" w:cs="Times New Roman"/>
          <w:sz w:val="24"/>
          <w:szCs w:val="24"/>
          <w:vertAlign w:val="superscript"/>
        </w:rPr>
        <w:t>1</w:t>
      </w:r>
      <w:r w:rsidR="00436E0C" w:rsidRPr="007147B7">
        <w:rPr>
          <w:rFonts w:ascii="Times New Roman" w:eastAsiaTheme="minorEastAsia" w:hAnsi="Times New Roman" w:cs="Times New Roman"/>
          <w:sz w:val="24"/>
          <w:szCs w:val="24"/>
        </w:rPr>
        <w:t>. (d) R2 and (e) O1 current over 10 cycles.</w:t>
      </w:r>
    </w:p>
    <w:p w14:paraId="138CA107" w14:textId="77777777" w:rsidR="00880576" w:rsidRPr="007147B7" w:rsidRDefault="00880576">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730C7D28" w14:textId="297A061F" w:rsidR="00880576" w:rsidRPr="007147B7" w:rsidRDefault="00880576" w:rsidP="00C169CB">
      <w:pPr>
        <w:jc w:val="center"/>
        <w:rPr>
          <w:rFonts w:ascii="Times New Roman" w:eastAsiaTheme="minorEastAsia"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4958B62A" wp14:editId="479AAB4E">
            <wp:extent cx="3133527" cy="2612167"/>
            <wp:effectExtent l="0" t="0" r="0" b="0"/>
            <wp:docPr id="867074315"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74315" name="그림 8"/>
                    <pic:cNvPicPr>
                      <a:picLocks noChangeAspect="1" noChangeArrowheads="1"/>
                    </pic:cNvPicPr>
                  </pic:nvPicPr>
                  <pic:blipFill>
                    <a:blip r:embed="rId23"/>
                    <a:srcRect t="543" b="543"/>
                    <a:stretch>
                      <a:fillRect/>
                    </a:stretch>
                  </pic:blipFill>
                  <pic:spPr bwMode="auto">
                    <a:xfrm>
                      <a:off x="0" y="0"/>
                      <a:ext cx="3133527" cy="2612167"/>
                    </a:xfrm>
                    <a:prstGeom prst="rect">
                      <a:avLst/>
                    </a:prstGeom>
                    <a:noFill/>
                    <a:ln>
                      <a:noFill/>
                    </a:ln>
                    <a:extLst>
                      <a:ext uri="{53640926-AAD7-44D8-BBD7-CCE9431645EC}">
                        <a14:shadowObscured xmlns:a14="http://schemas.microsoft.com/office/drawing/2010/main"/>
                      </a:ext>
                    </a:extLst>
                  </pic:spPr>
                </pic:pic>
              </a:graphicData>
            </a:graphic>
          </wp:inline>
        </w:drawing>
      </w:r>
    </w:p>
    <w:p w14:paraId="630BDD20" w14:textId="135487FD" w:rsidR="00436E0C" w:rsidRPr="007147B7" w:rsidRDefault="00436E0C" w:rsidP="00436E0C">
      <w:pPr>
        <w:rPr>
          <w:rFonts w:ascii="Times New Roman" w:eastAsiaTheme="minorEastAsia" w:hAnsi="Times New Roman" w:cs="Times New Roman"/>
          <w:sz w:val="24"/>
          <w:szCs w:val="24"/>
        </w:rPr>
      </w:pPr>
      <w:r w:rsidRPr="007147B7">
        <w:rPr>
          <w:rFonts w:ascii="Times New Roman" w:eastAsiaTheme="minorEastAsia" w:hAnsi="Times New Roman" w:cs="Times New Roman"/>
          <w:b/>
          <w:bCs/>
          <w:sz w:val="24"/>
          <w:szCs w:val="24"/>
        </w:rPr>
        <w:t>Supplementary Fig.</w:t>
      </w:r>
      <w:r w:rsidR="00A36DB1" w:rsidRPr="007147B7">
        <w:rPr>
          <w:rFonts w:ascii="Times New Roman" w:eastAsiaTheme="minorEastAsia" w:hAnsi="Times New Roman" w:cs="Times New Roman"/>
          <w:b/>
          <w:bCs/>
          <w:sz w:val="24"/>
          <w:szCs w:val="24"/>
        </w:rPr>
        <w:t xml:space="preserve"> 16</w:t>
      </w:r>
      <w:r w:rsidRPr="007147B7">
        <w:rPr>
          <w:rFonts w:ascii="Times New Roman" w:eastAsiaTheme="minorEastAsia" w:hAnsi="Times New Roman" w:cs="Times New Roman"/>
          <w:sz w:val="24"/>
          <w:szCs w:val="24"/>
        </w:rPr>
        <w:t xml:space="preserve"> Titration gas chromatography of dead Li formed Cu substrate after modified </w:t>
      </w:r>
      <w:proofErr w:type="spellStart"/>
      <w:r w:rsidRPr="007147B7">
        <w:rPr>
          <w:rFonts w:ascii="Times New Roman" w:eastAsiaTheme="minorEastAsia" w:hAnsi="Times New Roman" w:cs="Times New Roman"/>
          <w:sz w:val="24"/>
          <w:szCs w:val="24"/>
        </w:rPr>
        <w:t>Aurbach</w:t>
      </w:r>
      <w:proofErr w:type="spellEnd"/>
      <w:r w:rsidRPr="007147B7">
        <w:rPr>
          <w:rFonts w:ascii="Times New Roman" w:eastAsiaTheme="minorEastAsia" w:hAnsi="Times New Roman" w:cs="Times New Roman"/>
          <w:sz w:val="24"/>
          <w:szCs w:val="24"/>
        </w:rPr>
        <w:t xml:space="preserve"> test conducted at Fig. 4c. Gray dots are known concentrations of H</w:t>
      </w:r>
      <w:r w:rsidRPr="007147B7">
        <w:rPr>
          <w:rFonts w:ascii="Times New Roman" w:eastAsiaTheme="minorEastAsia" w:hAnsi="Times New Roman" w:cs="Times New Roman"/>
          <w:sz w:val="24"/>
          <w:szCs w:val="24"/>
          <w:vertAlign w:val="subscript"/>
        </w:rPr>
        <w:t>2</w:t>
      </w:r>
      <w:r w:rsidRPr="007147B7">
        <w:rPr>
          <w:rFonts w:ascii="Times New Roman" w:eastAsiaTheme="minorEastAsia" w:hAnsi="Times New Roman" w:cs="Times New Roman"/>
          <w:sz w:val="24"/>
          <w:szCs w:val="24"/>
        </w:rPr>
        <w:t xml:space="preserve"> gas used for calibration.</w:t>
      </w:r>
    </w:p>
    <w:p w14:paraId="49498B4F" w14:textId="77777777" w:rsidR="00880576" w:rsidRPr="007147B7" w:rsidRDefault="00880576">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56F5A9A5" w14:textId="1503EBA1" w:rsidR="00880576" w:rsidRPr="007147B7" w:rsidRDefault="00880576" w:rsidP="00C169CB">
      <w:pPr>
        <w:jc w:val="center"/>
        <w:rPr>
          <w:rFonts w:ascii="Times New Roman" w:eastAsiaTheme="minorEastAsia"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07346F46" wp14:editId="2A5E1218">
            <wp:extent cx="5000489" cy="1751409"/>
            <wp:effectExtent l="0" t="0" r="0" b="1270"/>
            <wp:docPr id="1244838292"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38292" name="그림 9"/>
                    <pic:cNvPicPr>
                      <a:picLocks noChangeAspect="1" noChangeArrowheads="1"/>
                    </pic:cNvPicPr>
                  </pic:nvPicPr>
                  <pic:blipFill>
                    <a:blip r:embed="rId24"/>
                    <a:stretch>
                      <a:fillRect/>
                    </a:stretch>
                  </pic:blipFill>
                  <pic:spPr bwMode="auto">
                    <a:xfrm>
                      <a:off x="0" y="0"/>
                      <a:ext cx="5000489" cy="1751409"/>
                    </a:xfrm>
                    <a:prstGeom prst="rect">
                      <a:avLst/>
                    </a:prstGeom>
                    <a:noFill/>
                    <a:ln>
                      <a:noFill/>
                    </a:ln>
                  </pic:spPr>
                </pic:pic>
              </a:graphicData>
            </a:graphic>
          </wp:inline>
        </w:drawing>
      </w:r>
    </w:p>
    <w:p w14:paraId="4E65789E" w14:textId="295DA0CC" w:rsidR="00436E0C" w:rsidRPr="007147B7" w:rsidRDefault="00436E0C" w:rsidP="00DF6EC1">
      <w:pPr>
        <w:rPr>
          <w:rFonts w:ascii="Times New Roman" w:eastAsiaTheme="minorEastAsia" w:hAnsi="Times New Roman" w:cs="Times New Roman"/>
          <w:sz w:val="24"/>
          <w:szCs w:val="24"/>
        </w:rPr>
      </w:pPr>
      <w:r w:rsidRPr="007147B7">
        <w:rPr>
          <w:rFonts w:ascii="Times New Roman" w:eastAsiaTheme="minorEastAsia" w:hAnsi="Times New Roman" w:cs="Times New Roman"/>
          <w:b/>
          <w:bCs/>
          <w:sz w:val="24"/>
          <w:szCs w:val="24"/>
        </w:rPr>
        <w:t xml:space="preserve">Supplementary Fig. </w:t>
      </w:r>
      <w:r w:rsidR="00A36DB1" w:rsidRPr="007147B7">
        <w:rPr>
          <w:rFonts w:ascii="Times New Roman" w:eastAsiaTheme="minorEastAsia" w:hAnsi="Times New Roman" w:cs="Times New Roman"/>
          <w:b/>
          <w:bCs/>
          <w:sz w:val="24"/>
          <w:szCs w:val="24"/>
        </w:rPr>
        <w:t>17</w:t>
      </w:r>
      <w:r w:rsidR="00DF6EC1" w:rsidRPr="007147B7">
        <w:rPr>
          <w:rFonts w:ascii="Times New Roman" w:eastAsiaTheme="minorEastAsia" w:hAnsi="Times New Roman" w:cs="Times New Roman"/>
          <w:sz w:val="24"/>
          <w:szCs w:val="24"/>
        </w:rPr>
        <w:t xml:space="preserve"> Areal ratio of each </w:t>
      </w:r>
      <w:r w:rsidR="00D11E59" w:rsidRPr="007147B7">
        <w:rPr>
          <w:rFonts w:ascii="Times New Roman" w:eastAsiaTheme="minorEastAsia" w:hAnsi="Times New Roman" w:cs="Times New Roman"/>
          <w:sz w:val="24"/>
          <w:szCs w:val="24"/>
        </w:rPr>
        <w:t>compound</w:t>
      </w:r>
      <w:r w:rsidR="00DF6EC1" w:rsidRPr="007147B7">
        <w:rPr>
          <w:rFonts w:ascii="Times New Roman" w:eastAsiaTheme="minorEastAsia" w:hAnsi="Times New Roman" w:cs="Times New Roman"/>
          <w:sz w:val="24"/>
          <w:szCs w:val="24"/>
        </w:rPr>
        <w:t xml:space="preserve"> consisting of SEI collected from O 1s XPS spectra in Fig. 4f.</w:t>
      </w:r>
    </w:p>
    <w:p w14:paraId="5273294C" w14:textId="77777777" w:rsidR="00880576" w:rsidRPr="007147B7" w:rsidRDefault="00880576">
      <w:pPr>
        <w:widowControl/>
        <w:wordWrap/>
        <w:autoSpaceDE/>
        <w:autoSpaceDN/>
        <w:rPr>
          <w:rFonts w:ascii="Times New Roman" w:hAnsi="Times New Roman" w:cs="Times New Roman"/>
          <w:sz w:val="24"/>
          <w:szCs w:val="24"/>
        </w:rPr>
      </w:pPr>
      <w:r w:rsidRPr="007147B7">
        <w:rPr>
          <w:rFonts w:ascii="Times New Roman" w:hAnsi="Times New Roman" w:cs="Times New Roman"/>
          <w:sz w:val="24"/>
          <w:szCs w:val="24"/>
        </w:rPr>
        <w:br w:type="page"/>
      </w:r>
    </w:p>
    <w:p w14:paraId="1130B7B2" w14:textId="20ACA4B9" w:rsidR="00C169CB" w:rsidRPr="007147B7" w:rsidRDefault="00880576" w:rsidP="00C169CB">
      <w:pPr>
        <w:jc w:val="center"/>
        <w:rPr>
          <w:rFonts w:ascii="Times New Roman" w:eastAsiaTheme="minorEastAsia" w:hAnsi="Times New Roman" w:cs="Times New Roman"/>
          <w:sz w:val="24"/>
          <w:szCs w:val="24"/>
        </w:rPr>
      </w:pPr>
      <w:r w:rsidRPr="007147B7">
        <w:rPr>
          <w:rFonts w:ascii="Times New Roman" w:hAnsi="Times New Roman" w:cs="Times New Roman"/>
          <w:noProof/>
          <w:sz w:val="24"/>
          <w:szCs w:val="24"/>
        </w:rPr>
        <w:lastRenderedPageBreak/>
        <w:drawing>
          <wp:inline distT="0" distB="0" distL="0" distR="0" wp14:anchorId="2AC9D0BE" wp14:editId="030EAF94">
            <wp:extent cx="5112523" cy="3647881"/>
            <wp:effectExtent l="0" t="0" r="0" b="0"/>
            <wp:docPr id="67901353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13530" name="그림 10"/>
                    <pic:cNvPicPr>
                      <a:picLocks noChangeAspect="1" noChangeArrowheads="1"/>
                    </pic:cNvPicPr>
                  </pic:nvPicPr>
                  <pic:blipFill>
                    <a:blip r:embed="rId25"/>
                    <a:stretch>
                      <a:fillRect/>
                    </a:stretch>
                  </pic:blipFill>
                  <pic:spPr bwMode="auto">
                    <a:xfrm>
                      <a:off x="0" y="0"/>
                      <a:ext cx="5112523" cy="3647881"/>
                    </a:xfrm>
                    <a:prstGeom prst="rect">
                      <a:avLst/>
                    </a:prstGeom>
                    <a:noFill/>
                    <a:ln>
                      <a:noFill/>
                    </a:ln>
                  </pic:spPr>
                </pic:pic>
              </a:graphicData>
            </a:graphic>
          </wp:inline>
        </w:drawing>
      </w:r>
    </w:p>
    <w:p w14:paraId="4F3B18A8" w14:textId="13B5DEF2" w:rsidR="009E3D5D" w:rsidRPr="007147B7" w:rsidRDefault="009E3D5D" w:rsidP="009E3D5D">
      <w:pPr>
        <w:rPr>
          <w:rFonts w:ascii="Times New Roman" w:eastAsiaTheme="minorEastAsia" w:hAnsi="Times New Roman" w:cs="Times New Roman"/>
          <w:sz w:val="24"/>
          <w:szCs w:val="24"/>
        </w:rPr>
      </w:pPr>
      <w:r w:rsidRPr="007147B7">
        <w:rPr>
          <w:rFonts w:ascii="Times New Roman" w:eastAsiaTheme="minorEastAsia" w:hAnsi="Times New Roman" w:cs="Times New Roman"/>
          <w:b/>
          <w:bCs/>
          <w:sz w:val="24"/>
          <w:szCs w:val="24"/>
        </w:rPr>
        <w:t xml:space="preserve">Supplementary Fig. </w:t>
      </w:r>
      <w:r w:rsidR="00A36DB1" w:rsidRPr="007147B7">
        <w:rPr>
          <w:rFonts w:ascii="Times New Roman" w:eastAsiaTheme="minorEastAsia" w:hAnsi="Times New Roman" w:cs="Times New Roman"/>
          <w:b/>
          <w:bCs/>
          <w:sz w:val="24"/>
          <w:szCs w:val="24"/>
        </w:rPr>
        <w:t xml:space="preserve">18 </w:t>
      </w:r>
      <w:r w:rsidRPr="007147B7">
        <w:rPr>
          <w:rFonts w:ascii="Times New Roman" w:eastAsiaTheme="minorEastAsia" w:hAnsi="Times New Roman" w:cs="Times New Roman"/>
          <w:sz w:val="24"/>
          <w:szCs w:val="24"/>
        </w:rPr>
        <w:t xml:space="preserve">(a-c) Li 1s XPS profiles </w:t>
      </w:r>
      <w:r w:rsidR="003F2471" w:rsidRPr="007147B7">
        <w:rPr>
          <w:rFonts w:ascii="Times New Roman" w:eastAsiaTheme="minorEastAsia" w:hAnsi="Times New Roman" w:cs="Times New Roman"/>
          <w:sz w:val="24"/>
          <w:szCs w:val="24"/>
        </w:rPr>
        <w:t xml:space="preserve">and (d) </w:t>
      </w:r>
      <w:r w:rsidR="000170B7" w:rsidRPr="007147B7">
        <w:rPr>
          <w:rFonts w:ascii="Times New Roman" w:eastAsiaTheme="minorEastAsia" w:hAnsi="Times New Roman" w:cs="Times New Roman"/>
          <w:sz w:val="24"/>
          <w:szCs w:val="24"/>
        </w:rPr>
        <w:t>corresponding</w:t>
      </w:r>
      <w:r w:rsidRPr="007147B7">
        <w:rPr>
          <w:rFonts w:ascii="Times New Roman" w:eastAsiaTheme="minorEastAsia" w:hAnsi="Times New Roman" w:cs="Times New Roman"/>
          <w:sz w:val="24"/>
          <w:szCs w:val="24"/>
        </w:rPr>
        <w:t xml:space="preserve"> </w:t>
      </w:r>
      <w:r w:rsidR="003F2471" w:rsidRPr="007147B7">
        <w:rPr>
          <w:rFonts w:ascii="Times New Roman" w:eastAsiaTheme="minorEastAsia" w:hAnsi="Times New Roman" w:cs="Times New Roman"/>
          <w:sz w:val="24"/>
          <w:szCs w:val="24"/>
        </w:rPr>
        <w:t>a</w:t>
      </w:r>
      <w:r w:rsidRPr="007147B7">
        <w:rPr>
          <w:rFonts w:ascii="Times New Roman" w:eastAsiaTheme="minorEastAsia" w:hAnsi="Times New Roman" w:cs="Times New Roman"/>
          <w:sz w:val="24"/>
          <w:szCs w:val="24"/>
        </w:rPr>
        <w:t xml:space="preserve">real ratio of each </w:t>
      </w:r>
      <w:r w:rsidR="00D11E59" w:rsidRPr="007147B7">
        <w:rPr>
          <w:rFonts w:ascii="Times New Roman" w:eastAsiaTheme="minorEastAsia" w:hAnsi="Times New Roman" w:cs="Times New Roman"/>
          <w:sz w:val="24"/>
          <w:szCs w:val="24"/>
        </w:rPr>
        <w:t>compound</w:t>
      </w:r>
      <w:r w:rsidRPr="007147B7">
        <w:rPr>
          <w:rFonts w:ascii="Times New Roman" w:eastAsiaTheme="minorEastAsia" w:hAnsi="Times New Roman" w:cs="Times New Roman"/>
          <w:sz w:val="24"/>
          <w:szCs w:val="24"/>
        </w:rPr>
        <w:t xml:space="preserve"> consisting of SEI </w:t>
      </w:r>
      <w:r w:rsidR="003F2471" w:rsidRPr="007147B7">
        <w:rPr>
          <w:rFonts w:ascii="Times New Roman" w:eastAsiaTheme="minorEastAsia" w:hAnsi="Times New Roman" w:cs="Times New Roman"/>
          <w:sz w:val="24"/>
          <w:szCs w:val="24"/>
        </w:rPr>
        <w:t>on Cu co</w:t>
      </w:r>
      <w:r w:rsidRPr="007147B7">
        <w:rPr>
          <w:rFonts w:ascii="Times New Roman" w:eastAsiaTheme="minorEastAsia" w:hAnsi="Times New Roman" w:cs="Times New Roman"/>
          <w:sz w:val="24"/>
          <w:szCs w:val="24"/>
        </w:rPr>
        <w:t xml:space="preserve">llected </w:t>
      </w:r>
      <w:r w:rsidR="003F2471" w:rsidRPr="007147B7">
        <w:rPr>
          <w:rFonts w:ascii="Times New Roman" w:eastAsiaTheme="minorEastAsia" w:hAnsi="Times New Roman" w:cs="Times New Roman"/>
          <w:sz w:val="24"/>
          <w:szCs w:val="24"/>
        </w:rPr>
        <w:t xml:space="preserve">after </w:t>
      </w:r>
      <w:proofErr w:type="spellStart"/>
      <w:r w:rsidR="003F2471" w:rsidRPr="007147B7">
        <w:rPr>
          <w:rFonts w:ascii="Times New Roman" w:eastAsiaTheme="minorEastAsia" w:hAnsi="Times New Roman" w:cs="Times New Roman"/>
          <w:sz w:val="24"/>
          <w:szCs w:val="24"/>
        </w:rPr>
        <w:t>Aurbach</w:t>
      </w:r>
      <w:proofErr w:type="spellEnd"/>
      <w:r w:rsidR="003F2471" w:rsidRPr="007147B7">
        <w:rPr>
          <w:rFonts w:ascii="Times New Roman" w:eastAsiaTheme="minorEastAsia" w:hAnsi="Times New Roman" w:cs="Times New Roman"/>
          <w:sz w:val="24"/>
          <w:szCs w:val="24"/>
        </w:rPr>
        <w:t xml:space="preserve"> test according to the etching time.</w:t>
      </w:r>
    </w:p>
    <w:p w14:paraId="443A3F88" w14:textId="09A417A8" w:rsidR="00A36DB1" w:rsidRPr="007147B7" w:rsidRDefault="00A36DB1">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738FFEC6" w14:textId="446F8ECE" w:rsidR="00A36DB1" w:rsidRPr="007147B7" w:rsidRDefault="00A36DB1" w:rsidP="00A36DB1">
      <w:pPr>
        <w:spacing w:line="360" w:lineRule="auto"/>
        <w:rPr>
          <w:rFonts w:ascii="Times New Roman" w:hAnsi="Times New Roman" w:cs="Times New Roman"/>
          <w:sz w:val="24"/>
          <w:szCs w:val="24"/>
        </w:rPr>
      </w:pPr>
      <w:r w:rsidRPr="007147B7">
        <w:rPr>
          <w:rFonts w:ascii="Times New Roman" w:eastAsiaTheme="minorEastAsia" w:hAnsi="Times New Roman" w:cs="Times New Roman"/>
          <w:noProof/>
          <w:sz w:val="24"/>
          <w:szCs w:val="24"/>
        </w:rPr>
        <w:lastRenderedPageBreak/>
        <w:drawing>
          <wp:anchor distT="0" distB="0" distL="114300" distR="114300" simplePos="0" relativeHeight="251666432" behindDoc="0" locked="0" layoutInCell="1" allowOverlap="1" wp14:anchorId="029BB8C6" wp14:editId="380DC128">
            <wp:simplePos x="0" y="0"/>
            <wp:positionH relativeFrom="margin">
              <wp:align>center</wp:align>
            </wp:positionH>
            <wp:positionV relativeFrom="paragraph">
              <wp:posOffset>74</wp:posOffset>
            </wp:positionV>
            <wp:extent cx="5192395" cy="2052320"/>
            <wp:effectExtent l="0" t="0" r="8255" b="5080"/>
            <wp:wrapTopAndBottom/>
            <wp:docPr id="1279571343"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92395" cy="2052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47B7">
        <w:rPr>
          <w:rFonts w:ascii="Times New Roman" w:hAnsi="Times New Roman" w:cs="Times New Roman"/>
          <w:b/>
          <w:bCs/>
          <w:sz w:val="24"/>
          <w:szCs w:val="24"/>
        </w:rPr>
        <w:t>Supplementary Fig. 19</w:t>
      </w:r>
      <w:r w:rsidRPr="007147B7">
        <w:rPr>
          <w:rFonts w:ascii="Times New Roman" w:hAnsi="Times New Roman" w:cs="Times New Roman"/>
          <w:sz w:val="24"/>
          <w:szCs w:val="24"/>
        </w:rPr>
        <w:t xml:space="preserve">  </w:t>
      </w:r>
      <w:r w:rsidRPr="007147B7">
        <w:rPr>
          <w:rFonts w:ascii="Times New Roman" w:hAnsi="Times New Roman" w:cs="Times New Roman"/>
          <w:b/>
          <w:bCs/>
          <w:sz w:val="24"/>
          <w:szCs w:val="24"/>
        </w:rPr>
        <w:t xml:space="preserve">First shell-softening mechanism by THP penetration. </w:t>
      </w:r>
      <w:r w:rsidRPr="007147B7">
        <w:rPr>
          <w:rFonts w:ascii="Times New Roman" w:hAnsi="Times New Roman" w:cs="Times New Roman"/>
          <w:sz w:val="24"/>
          <w:szCs w:val="24"/>
        </w:rPr>
        <w:t xml:space="preserve">THP directly penetrates the solvation shell to form a hybrid solvation environment composed of DME and THP, thereby facilitating Li adsorption and metallization. </w:t>
      </w:r>
    </w:p>
    <w:p w14:paraId="772C33F0" w14:textId="6BFFE761" w:rsidR="00A36DB1" w:rsidRPr="007147B7" w:rsidRDefault="00A36DB1">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25ED1697" w14:textId="2AE451C9" w:rsidR="00A36DB1" w:rsidRPr="007147B7" w:rsidRDefault="00A36DB1" w:rsidP="00A36DB1">
      <w:pPr>
        <w:spacing w:line="360" w:lineRule="auto"/>
        <w:rPr>
          <w:rFonts w:ascii="Times New Roman" w:hAnsi="Times New Roman" w:cs="Times New Roman"/>
          <w:sz w:val="24"/>
          <w:szCs w:val="24"/>
        </w:rPr>
      </w:pPr>
      <w:r w:rsidRPr="007147B7">
        <w:rPr>
          <w:rFonts w:ascii="Times New Roman" w:eastAsiaTheme="minorEastAsia" w:hAnsi="Times New Roman" w:cs="Times New Roman"/>
          <w:noProof/>
          <w:sz w:val="24"/>
          <w:szCs w:val="24"/>
        </w:rPr>
        <w:lastRenderedPageBreak/>
        <w:drawing>
          <wp:anchor distT="0" distB="0" distL="114300" distR="114300" simplePos="0" relativeHeight="251667456" behindDoc="0" locked="0" layoutInCell="1" allowOverlap="1" wp14:anchorId="766F32BF" wp14:editId="21C2F63D">
            <wp:simplePos x="0" y="0"/>
            <wp:positionH relativeFrom="margin">
              <wp:align>center</wp:align>
            </wp:positionH>
            <wp:positionV relativeFrom="paragraph">
              <wp:posOffset>37</wp:posOffset>
            </wp:positionV>
            <wp:extent cx="3343835" cy="2592646"/>
            <wp:effectExtent l="0" t="0" r="0" b="0"/>
            <wp:wrapTopAndBottom/>
            <wp:docPr id="65281185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3835" cy="2592646"/>
                    </a:xfrm>
                    <a:prstGeom prst="rect">
                      <a:avLst/>
                    </a:prstGeom>
                    <a:noFill/>
                    <a:ln>
                      <a:noFill/>
                    </a:ln>
                  </pic:spPr>
                </pic:pic>
              </a:graphicData>
            </a:graphic>
          </wp:anchor>
        </w:drawing>
      </w:r>
      <w:r w:rsidRPr="007147B7">
        <w:rPr>
          <w:rFonts w:ascii="Times New Roman" w:hAnsi="Times New Roman" w:cs="Times New Roman"/>
          <w:b/>
          <w:bCs/>
          <w:sz w:val="24"/>
          <w:szCs w:val="24"/>
        </w:rPr>
        <w:t>Supplementary Fig. 20</w:t>
      </w:r>
      <w:r w:rsidR="007147B7" w:rsidRPr="007147B7">
        <w:rPr>
          <w:rFonts w:ascii="Times New Roman" w:hAnsi="Times New Roman" w:cs="Times New Roman"/>
          <w:b/>
          <w:bCs/>
          <w:sz w:val="24"/>
          <w:szCs w:val="24"/>
        </w:rPr>
        <w:t xml:space="preserve"> </w:t>
      </w:r>
      <w:r w:rsidRPr="007147B7">
        <w:rPr>
          <w:rFonts w:ascii="Times New Roman" w:hAnsi="Times New Roman" w:cs="Times New Roman"/>
          <w:b/>
          <w:bCs/>
          <w:sz w:val="24"/>
          <w:szCs w:val="24"/>
        </w:rPr>
        <w:t>Non-covalent interaction map of the Li</w:t>
      </w:r>
      <w:r w:rsidRPr="007147B7">
        <w:rPr>
          <w:rFonts w:ascii="Times New Roman" w:hAnsi="Times New Roman" w:cs="Times New Roman"/>
          <w:b/>
          <w:bCs/>
          <w:sz w:val="24"/>
          <w:szCs w:val="24"/>
          <w:vertAlign w:val="superscript"/>
        </w:rPr>
        <w:t>+</w:t>
      </w:r>
      <w:r w:rsidRPr="007147B7">
        <w:rPr>
          <w:rFonts w:ascii="Times New Roman" w:hAnsi="Times New Roman" w:cs="Times New Roman"/>
          <w:b/>
          <w:bCs/>
          <w:sz w:val="24"/>
          <w:szCs w:val="24"/>
        </w:rPr>
        <w:t>DME</w:t>
      </w:r>
      <w:r w:rsidRPr="007147B7">
        <w:rPr>
          <w:rFonts w:ascii="Times New Roman" w:hAnsi="Times New Roman" w:cs="Times New Roman"/>
          <w:b/>
          <w:bCs/>
          <w:sz w:val="24"/>
          <w:szCs w:val="24"/>
          <w:vertAlign w:val="subscript"/>
        </w:rPr>
        <w:t>1</w:t>
      </w:r>
      <w:r w:rsidRPr="007147B7">
        <w:rPr>
          <w:rFonts w:ascii="Times New Roman" w:hAnsi="Times New Roman" w:cs="Times New Roman"/>
          <w:b/>
          <w:bCs/>
          <w:sz w:val="24"/>
          <w:szCs w:val="24"/>
        </w:rPr>
        <w:t>FSI</w:t>
      </w:r>
      <w:r w:rsidRPr="007147B7">
        <w:rPr>
          <w:rFonts w:ascii="Times New Roman" w:hAnsi="Times New Roman" w:cs="Times New Roman"/>
          <w:b/>
          <w:bCs/>
          <w:sz w:val="24"/>
          <w:szCs w:val="24"/>
          <w:vertAlign w:val="subscript"/>
        </w:rPr>
        <w:t>3</w:t>
      </w:r>
      <w:r w:rsidRPr="007147B7">
        <w:rPr>
          <w:rFonts w:ascii="Times New Roman" w:hAnsi="Times New Roman" w:cs="Times New Roman"/>
          <w:b/>
          <w:bCs/>
          <w:sz w:val="24"/>
          <w:szCs w:val="24"/>
        </w:rPr>
        <w:t>/THP complex.</w:t>
      </w:r>
      <w:r w:rsidRPr="007147B7">
        <w:rPr>
          <w:rFonts w:ascii="Times New Roman" w:hAnsi="Times New Roman" w:cs="Times New Roman"/>
          <w:sz w:val="24"/>
          <w:szCs w:val="24"/>
        </w:rPr>
        <w:t xml:space="preserve"> Red indicates Coulombic repulsion, blue indicates attractive interactions, and green represents weak van der Waals interactions.</w:t>
      </w:r>
    </w:p>
    <w:p w14:paraId="535C6168" w14:textId="469ED901" w:rsidR="00A36DB1" w:rsidRPr="007147B7" w:rsidRDefault="00A36DB1">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483BF96C" w14:textId="13EB53A3" w:rsidR="00A36DB1" w:rsidRPr="007147B7" w:rsidRDefault="00A36DB1" w:rsidP="00A36DB1">
      <w:pPr>
        <w:spacing w:line="360" w:lineRule="auto"/>
        <w:rPr>
          <w:rFonts w:ascii="Times New Roman" w:hAnsi="Times New Roman" w:cs="Times New Roman"/>
          <w:sz w:val="24"/>
          <w:szCs w:val="24"/>
        </w:rPr>
      </w:pPr>
      <w:r w:rsidRPr="007147B7">
        <w:rPr>
          <w:rFonts w:ascii="Times New Roman" w:eastAsiaTheme="minorEastAsia" w:hAnsi="Times New Roman" w:cs="Times New Roman"/>
          <w:noProof/>
          <w:sz w:val="24"/>
          <w:szCs w:val="24"/>
        </w:rPr>
        <w:lastRenderedPageBreak/>
        <w:drawing>
          <wp:anchor distT="0" distB="0" distL="114300" distR="114300" simplePos="0" relativeHeight="251668480" behindDoc="0" locked="0" layoutInCell="1" allowOverlap="1" wp14:anchorId="02109136" wp14:editId="79A91110">
            <wp:simplePos x="0" y="0"/>
            <wp:positionH relativeFrom="margin">
              <wp:align>center</wp:align>
            </wp:positionH>
            <wp:positionV relativeFrom="paragraph">
              <wp:posOffset>336</wp:posOffset>
            </wp:positionV>
            <wp:extent cx="4875920" cy="2707341"/>
            <wp:effectExtent l="0" t="0" r="1270" b="0"/>
            <wp:wrapTopAndBottom/>
            <wp:docPr id="33280023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5920" cy="2707341"/>
                    </a:xfrm>
                    <a:prstGeom prst="rect">
                      <a:avLst/>
                    </a:prstGeom>
                    <a:noFill/>
                    <a:ln>
                      <a:noFill/>
                    </a:ln>
                  </pic:spPr>
                </pic:pic>
              </a:graphicData>
            </a:graphic>
          </wp:anchor>
        </w:drawing>
      </w:r>
      <w:r w:rsidRPr="007147B7">
        <w:rPr>
          <w:rFonts w:ascii="Times New Roman" w:hAnsi="Times New Roman" w:cs="Times New Roman"/>
          <w:b/>
          <w:bCs/>
          <w:sz w:val="24"/>
          <w:szCs w:val="24"/>
        </w:rPr>
        <w:t xml:space="preserve">Supplementary Fig. 21 Second shell-softening mechanism by THP interference. </w:t>
      </w:r>
      <w:r w:rsidRPr="007147B7">
        <w:rPr>
          <w:rFonts w:ascii="Times New Roman" w:hAnsi="Times New Roman" w:cs="Times New Roman"/>
          <w:sz w:val="24"/>
          <w:szCs w:val="24"/>
        </w:rPr>
        <w:t>THP-induced electronic structure modulation of DME mitigates inter-ligand repulsion, thereby facilitating Li</w:t>
      </w:r>
      <w:r w:rsidRPr="007147B7">
        <w:rPr>
          <w:rFonts w:ascii="Times New Roman" w:hAnsi="Times New Roman" w:cs="Times New Roman"/>
          <w:sz w:val="24"/>
          <w:szCs w:val="24"/>
          <w:vertAlign w:val="superscript"/>
        </w:rPr>
        <w:t>+</w:t>
      </w:r>
      <w:r w:rsidRPr="007147B7">
        <w:rPr>
          <w:rFonts w:ascii="Times New Roman" w:hAnsi="Times New Roman" w:cs="Times New Roman"/>
          <w:sz w:val="24"/>
          <w:szCs w:val="24"/>
        </w:rPr>
        <w:t xml:space="preserve"> adsorption and metallization. </w:t>
      </w:r>
    </w:p>
    <w:p w14:paraId="56F7D4FA" w14:textId="6B035A71" w:rsidR="00A36DB1" w:rsidRPr="007147B7" w:rsidRDefault="00A36DB1">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5E7F2709" w14:textId="4D4AD15D" w:rsidR="00A36DB1" w:rsidRPr="007147B7" w:rsidRDefault="00A36DB1" w:rsidP="00A36DB1">
      <w:pPr>
        <w:spacing w:line="360" w:lineRule="auto"/>
        <w:rPr>
          <w:rFonts w:ascii="Times New Roman" w:hAnsi="Times New Roman" w:cs="Times New Roman"/>
          <w:sz w:val="24"/>
          <w:szCs w:val="24"/>
        </w:rPr>
      </w:pPr>
      <w:r w:rsidRPr="007147B7">
        <w:rPr>
          <w:rFonts w:ascii="Times New Roman" w:eastAsiaTheme="minorEastAsia" w:hAnsi="Times New Roman" w:cs="Times New Roman"/>
          <w:noProof/>
          <w:sz w:val="24"/>
          <w:szCs w:val="24"/>
        </w:rPr>
        <w:lastRenderedPageBreak/>
        <w:drawing>
          <wp:anchor distT="0" distB="0" distL="114300" distR="114300" simplePos="0" relativeHeight="251669504" behindDoc="0" locked="0" layoutInCell="1" allowOverlap="1" wp14:anchorId="2689FEE0" wp14:editId="3B792563">
            <wp:simplePos x="0" y="0"/>
            <wp:positionH relativeFrom="margin">
              <wp:align>center</wp:align>
            </wp:positionH>
            <wp:positionV relativeFrom="paragraph">
              <wp:posOffset>0</wp:posOffset>
            </wp:positionV>
            <wp:extent cx="4297536" cy="3039035"/>
            <wp:effectExtent l="0" t="0" r="8255" b="9525"/>
            <wp:wrapTopAndBottom/>
            <wp:docPr id="1276838477"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97536" cy="3039035"/>
                    </a:xfrm>
                    <a:prstGeom prst="rect">
                      <a:avLst/>
                    </a:prstGeom>
                    <a:noFill/>
                    <a:ln>
                      <a:noFill/>
                    </a:ln>
                  </pic:spPr>
                </pic:pic>
              </a:graphicData>
            </a:graphic>
          </wp:anchor>
        </w:drawing>
      </w:r>
      <w:r w:rsidRPr="007147B7">
        <w:rPr>
          <w:rFonts w:ascii="Times New Roman" w:hAnsi="Times New Roman" w:cs="Times New Roman"/>
          <w:b/>
          <w:bCs/>
          <w:sz w:val="24"/>
          <w:szCs w:val="24"/>
        </w:rPr>
        <w:t xml:space="preserve">Supplementary Fig. </w:t>
      </w:r>
      <w:r w:rsidR="002266B2" w:rsidRPr="007147B7">
        <w:rPr>
          <w:rFonts w:ascii="Times New Roman" w:hAnsi="Times New Roman" w:cs="Times New Roman"/>
          <w:b/>
          <w:bCs/>
          <w:sz w:val="24"/>
          <w:szCs w:val="24"/>
        </w:rPr>
        <w:t>22</w:t>
      </w:r>
      <w:r w:rsidRPr="007147B7">
        <w:rPr>
          <w:rFonts w:ascii="Times New Roman" w:hAnsi="Times New Roman" w:cs="Times New Roman"/>
          <w:b/>
          <w:bCs/>
          <w:sz w:val="24"/>
          <w:szCs w:val="24"/>
        </w:rPr>
        <w:t xml:space="preserve"> </w:t>
      </w:r>
      <w:r w:rsidRPr="007147B7">
        <w:rPr>
          <w:rFonts w:ascii="Times New Roman" w:hAnsi="Times New Roman" w:cs="Times New Roman"/>
          <w:sz w:val="24"/>
          <w:szCs w:val="24"/>
        </w:rPr>
        <w:t>Solvation shell softening induced by the synergistic effects of THP insertion into the solvation shell and its external perturbation.</w:t>
      </w:r>
    </w:p>
    <w:p w14:paraId="7AB1A05A" w14:textId="5B8CE763" w:rsidR="00A36DB1" w:rsidRPr="007147B7" w:rsidRDefault="00A36DB1" w:rsidP="009E3D5D">
      <w:pPr>
        <w:rPr>
          <w:rFonts w:ascii="Times New Roman" w:eastAsiaTheme="minorEastAsia" w:hAnsi="Times New Roman" w:cs="Times New Roman"/>
          <w:sz w:val="24"/>
          <w:szCs w:val="24"/>
        </w:rPr>
      </w:pPr>
    </w:p>
    <w:p w14:paraId="533CE83B" w14:textId="2488572F" w:rsidR="000170B7" w:rsidRPr="007147B7" w:rsidRDefault="00A33698" w:rsidP="000170B7">
      <w:pP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r w:rsidR="004F68D0" w:rsidRPr="007147B7">
        <w:rPr>
          <w:rFonts w:ascii="Times New Roman" w:eastAsiaTheme="minorEastAsia" w:hAnsi="Times New Roman" w:cs="Times New Roman" w:hint="eastAsia"/>
          <w:noProof/>
          <w:sz w:val="24"/>
          <w:szCs w:val="24"/>
        </w:rPr>
        <w:lastRenderedPageBreak/>
        <w:drawing>
          <wp:anchor distT="0" distB="0" distL="114300" distR="114300" simplePos="0" relativeHeight="251659264" behindDoc="0" locked="0" layoutInCell="1" allowOverlap="1" wp14:anchorId="5DEBE382" wp14:editId="42AEE9F4">
            <wp:simplePos x="0" y="0"/>
            <wp:positionH relativeFrom="margin">
              <wp:posOffset>1405890</wp:posOffset>
            </wp:positionH>
            <wp:positionV relativeFrom="paragraph">
              <wp:posOffset>0</wp:posOffset>
            </wp:positionV>
            <wp:extent cx="3134360" cy="1881505"/>
            <wp:effectExtent l="0" t="0" r="8890" b="4445"/>
            <wp:wrapTopAndBottom/>
            <wp:docPr id="891781387"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81387" name="그림 14"/>
                    <pic:cNvPicPr>
                      <a:picLocks noChangeAspect="1" noChangeArrowheads="1"/>
                    </pic:cNvPicPr>
                  </pic:nvPicPr>
                  <pic:blipFill>
                    <a:blip r:embed="rId30"/>
                    <a:stretch>
                      <a:fillRect/>
                    </a:stretch>
                  </pic:blipFill>
                  <pic:spPr bwMode="auto">
                    <a:xfrm>
                      <a:off x="0" y="0"/>
                      <a:ext cx="3134360" cy="1881505"/>
                    </a:xfrm>
                    <a:prstGeom prst="rect">
                      <a:avLst/>
                    </a:prstGeom>
                    <a:noFill/>
                    <a:ln>
                      <a:noFill/>
                    </a:ln>
                  </pic:spPr>
                </pic:pic>
              </a:graphicData>
            </a:graphic>
            <wp14:sizeRelH relativeFrom="margin">
              <wp14:pctWidth>0</wp14:pctWidth>
            </wp14:sizeRelH>
          </wp:anchor>
        </w:drawing>
      </w:r>
      <w:r w:rsidR="000170B7" w:rsidRPr="007147B7">
        <w:rPr>
          <w:rFonts w:ascii="Times New Roman" w:eastAsiaTheme="minorEastAsia" w:hAnsi="Times New Roman" w:cs="Times New Roman"/>
          <w:b/>
          <w:bCs/>
          <w:sz w:val="24"/>
          <w:szCs w:val="24"/>
        </w:rPr>
        <w:t xml:space="preserve">Supplementary Fig. </w:t>
      </w:r>
      <w:r w:rsidR="002266B2" w:rsidRPr="007147B7">
        <w:rPr>
          <w:rFonts w:ascii="Times New Roman" w:eastAsiaTheme="minorEastAsia" w:hAnsi="Times New Roman" w:cs="Times New Roman"/>
          <w:b/>
          <w:bCs/>
          <w:sz w:val="24"/>
          <w:szCs w:val="24"/>
        </w:rPr>
        <w:t>23</w:t>
      </w:r>
      <w:r w:rsidR="000170B7" w:rsidRPr="007147B7">
        <w:rPr>
          <w:rFonts w:ascii="Times New Roman" w:eastAsiaTheme="minorEastAsia" w:hAnsi="Times New Roman" w:cs="Times New Roman"/>
          <w:sz w:val="24"/>
          <w:szCs w:val="24"/>
        </w:rPr>
        <w:t xml:space="preserve"> Cell-configuration of pouch-cell for long-term cyclability test in Fig. 5b.</w:t>
      </w:r>
    </w:p>
    <w:p w14:paraId="3ADBD3A1" w14:textId="77777777" w:rsidR="000170B7" w:rsidRPr="007147B7" w:rsidRDefault="000170B7">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2828803D" w14:textId="4EB40C68" w:rsidR="009E3D5D" w:rsidRPr="007147B7" w:rsidRDefault="00B55D27" w:rsidP="009E3D5D">
      <w:pPr>
        <w:rPr>
          <w:rFonts w:ascii="Times New Roman" w:eastAsiaTheme="minorEastAsia" w:hAnsi="Times New Roman" w:cs="Times New Roman"/>
          <w:sz w:val="24"/>
          <w:szCs w:val="24"/>
        </w:rPr>
      </w:pPr>
      <w:r w:rsidRPr="007147B7">
        <w:rPr>
          <w:rFonts w:ascii="Times New Roman" w:eastAsiaTheme="minorEastAsia" w:hAnsi="Times New Roman" w:cs="Times New Roman" w:hint="eastAsia"/>
          <w:noProof/>
          <w:sz w:val="24"/>
          <w:szCs w:val="24"/>
        </w:rPr>
        <w:lastRenderedPageBreak/>
        <w:drawing>
          <wp:anchor distT="0" distB="0" distL="114300" distR="114300" simplePos="0" relativeHeight="251658240" behindDoc="0" locked="0" layoutInCell="1" allowOverlap="1" wp14:anchorId="0DFD2D11" wp14:editId="7207CA06">
            <wp:simplePos x="0" y="0"/>
            <wp:positionH relativeFrom="margin">
              <wp:align>center</wp:align>
            </wp:positionH>
            <wp:positionV relativeFrom="paragraph">
              <wp:posOffset>264</wp:posOffset>
            </wp:positionV>
            <wp:extent cx="3039745" cy="2578735"/>
            <wp:effectExtent l="0" t="0" r="8255" b="0"/>
            <wp:wrapTopAndBottom/>
            <wp:docPr id="1312560847"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60847" name="그림 13"/>
                    <pic:cNvPicPr>
                      <a:picLocks noChangeAspect="1" noChangeArrowheads="1"/>
                    </pic:cNvPicPr>
                  </pic:nvPicPr>
                  <pic:blipFill>
                    <a:blip r:embed="rId31"/>
                    <a:srcRect l="8534" r="8534"/>
                    <a:stretch>
                      <a:fillRect/>
                    </a:stretch>
                  </pic:blipFill>
                  <pic:spPr bwMode="auto">
                    <a:xfrm>
                      <a:off x="0" y="0"/>
                      <a:ext cx="3039745" cy="2578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70B7" w:rsidRPr="007147B7">
        <w:rPr>
          <w:rFonts w:ascii="Times New Roman" w:eastAsiaTheme="minorEastAsia" w:hAnsi="Times New Roman" w:cs="Times New Roman"/>
          <w:b/>
          <w:bCs/>
          <w:sz w:val="24"/>
          <w:szCs w:val="24"/>
        </w:rPr>
        <w:t xml:space="preserve">Supplementary Fig. </w:t>
      </w:r>
      <w:r w:rsidR="007147B7" w:rsidRPr="007147B7">
        <w:rPr>
          <w:rFonts w:ascii="Times New Roman" w:eastAsiaTheme="minorEastAsia" w:hAnsi="Times New Roman" w:cs="Times New Roman"/>
          <w:b/>
          <w:bCs/>
          <w:sz w:val="24"/>
          <w:szCs w:val="24"/>
        </w:rPr>
        <w:t>24</w:t>
      </w:r>
      <w:r w:rsidR="000170B7" w:rsidRPr="007147B7">
        <w:rPr>
          <w:rFonts w:ascii="Times New Roman" w:eastAsiaTheme="minorEastAsia" w:hAnsi="Times New Roman" w:cs="Times New Roman"/>
          <w:sz w:val="24"/>
          <w:szCs w:val="24"/>
        </w:rPr>
        <w:t xml:space="preserve"> </w:t>
      </w:r>
      <w:r w:rsidR="006B2580" w:rsidRPr="007147B7">
        <w:rPr>
          <w:rFonts w:ascii="Times New Roman" w:eastAsiaTheme="minorEastAsia" w:hAnsi="Times New Roman" w:cs="Times New Roman"/>
          <w:sz w:val="24"/>
          <w:szCs w:val="24"/>
        </w:rPr>
        <w:t>Linear sweep voltammetry measuring oxidation potential of electrolytes scanned at 10 mV s</w:t>
      </w:r>
      <w:r w:rsidR="006B2580" w:rsidRPr="007147B7">
        <w:rPr>
          <w:rFonts w:ascii="Times New Roman" w:eastAsiaTheme="minorEastAsia" w:hAnsi="Times New Roman" w:cs="Times New Roman"/>
          <w:sz w:val="24"/>
          <w:szCs w:val="24"/>
          <w:vertAlign w:val="superscript"/>
        </w:rPr>
        <w:t>–1</w:t>
      </w:r>
      <w:r w:rsidR="000170B7" w:rsidRPr="007147B7">
        <w:rPr>
          <w:rFonts w:ascii="Times New Roman" w:eastAsiaTheme="minorEastAsia" w:hAnsi="Times New Roman" w:cs="Times New Roman"/>
          <w:sz w:val="24"/>
          <w:szCs w:val="24"/>
        </w:rPr>
        <w:t>.</w:t>
      </w:r>
    </w:p>
    <w:p w14:paraId="1AE451A5" w14:textId="77777777" w:rsidR="002266B2" w:rsidRPr="007147B7" w:rsidRDefault="002266B2">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p w14:paraId="027882BA" w14:textId="57C40A18" w:rsidR="002266B2" w:rsidRPr="007147B7" w:rsidRDefault="002266B2">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noProof/>
          <w:sz w:val="24"/>
          <w:szCs w:val="24"/>
        </w:rPr>
        <w:lastRenderedPageBreak/>
        <w:drawing>
          <wp:inline distT="0" distB="0" distL="0" distR="0" wp14:anchorId="5F24E76B" wp14:editId="73F6A27A">
            <wp:extent cx="5911215" cy="1865630"/>
            <wp:effectExtent l="0" t="0" r="0" b="1270"/>
            <wp:docPr id="984680058"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1215" cy="1865630"/>
                    </a:xfrm>
                    <a:prstGeom prst="rect">
                      <a:avLst/>
                    </a:prstGeom>
                    <a:noFill/>
                    <a:ln>
                      <a:noFill/>
                    </a:ln>
                  </pic:spPr>
                </pic:pic>
              </a:graphicData>
            </a:graphic>
          </wp:inline>
        </w:drawing>
      </w:r>
    </w:p>
    <w:p w14:paraId="76105C44" w14:textId="55465D10" w:rsidR="002266B2" w:rsidRPr="007147B7" w:rsidRDefault="002266B2" w:rsidP="002266B2">
      <w:pPr>
        <w:spacing w:line="360" w:lineRule="auto"/>
        <w:rPr>
          <w:rFonts w:ascii="Times New Roman" w:hAnsi="Times New Roman" w:cs="Times New Roman"/>
          <w:sz w:val="24"/>
          <w:szCs w:val="24"/>
        </w:rPr>
      </w:pPr>
      <w:r w:rsidRPr="007147B7">
        <w:rPr>
          <w:rFonts w:ascii="Times New Roman" w:hAnsi="Times New Roman" w:cs="Times New Roman"/>
          <w:b/>
          <w:bCs/>
          <w:sz w:val="24"/>
          <w:szCs w:val="24"/>
        </w:rPr>
        <w:t>Supplementary Fig. 25</w:t>
      </w:r>
      <w:r w:rsidR="007147B7" w:rsidRPr="007147B7">
        <w:rPr>
          <w:rFonts w:ascii="Times New Roman" w:hAnsi="Times New Roman" w:cs="Times New Roman"/>
          <w:b/>
          <w:bCs/>
          <w:sz w:val="24"/>
          <w:szCs w:val="24"/>
        </w:rPr>
        <w:t xml:space="preserve"> </w:t>
      </w:r>
      <w:r w:rsidRPr="007147B7">
        <w:rPr>
          <w:rFonts w:ascii="Times New Roman" w:hAnsi="Times New Roman" w:cs="Times New Roman"/>
          <w:b/>
          <w:bCs/>
          <w:sz w:val="24"/>
          <w:szCs w:val="24"/>
        </w:rPr>
        <w:t xml:space="preserve">Bulk electrolyte models of CE, WSE and CSSE. </w:t>
      </w:r>
      <w:r w:rsidRPr="007147B7">
        <w:rPr>
          <w:rFonts w:ascii="Times New Roman" w:hAnsi="Times New Roman" w:cs="Times New Roman"/>
          <w:sz w:val="24"/>
          <w:szCs w:val="24"/>
        </w:rPr>
        <w:t>Electrolyte structures in thermodynamic equilibrium state were obtained from an NPT ensemble with room temperature and atmospheric pressure.</w:t>
      </w:r>
    </w:p>
    <w:p w14:paraId="5665E303" w14:textId="2527C9E1" w:rsidR="00953482" w:rsidRPr="007147B7" w:rsidRDefault="00953482">
      <w:pPr>
        <w:widowControl/>
        <w:wordWrap/>
        <w:autoSpaceDE/>
        <w:autoSpaceDN/>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br w:type="page"/>
      </w:r>
    </w:p>
    <w:tbl>
      <w:tblPr>
        <w:tblStyle w:val="af3"/>
        <w:tblpPr w:leftFromText="142" w:rightFromText="142" w:horzAnchor="margin" w:tblpY="613"/>
        <w:tblW w:w="0" w:type="auto"/>
        <w:tblLayout w:type="fixed"/>
        <w:tblLook w:val="04A0" w:firstRow="1" w:lastRow="0" w:firstColumn="1" w:lastColumn="0" w:noHBand="0" w:noVBand="1"/>
      </w:tblPr>
      <w:tblGrid>
        <w:gridCol w:w="1243"/>
        <w:gridCol w:w="2721"/>
        <w:gridCol w:w="1418"/>
        <w:gridCol w:w="1416"/>
        <w:gridCol w:w="1522"/>
        <w:gridCol w:w="1030"/>
      </w:tblGrid>
      <w:tr w:rsidR="007147B7" w:rsidRPr="007147B7" w14:paraId="38491689" w14:textId="77777777" w:rsidTr="00A42CFA">
        <w:tc>
          <w:tcPr>
            <w:tcW w:w="1243" w:type="dxa"/>
            <w:tcBorders>
              <w:bottom w:val="double" w:sz="4" w:space="0" w:color="auto"/>
            </w:tcBorders>
            <w:vAlign w:val="center"/>
          </w:tcPr>
          <w:p w14:paraId="0D016DB5"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lastRenderedPageBreak/>
              <w:t>Reference number</w:t>
            </w:r>
          </w:p>
        </w:tc>
        <w:tc>
          <w:tcPr>
            <w:tcW w:w="2721" w:type="dxa"/>
            <w:tcBorders>
              <w:bottom w:val="double" w:sz="4" w:space="0" w:color="auto"/>
            </w:tcBorders>
            <w:vAlign w:val="center"/>
          </w:tcPr>
          <w:p w14:paraId="0ADA72E7"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t>Reference</w:t>
            </w:r>
          </w:p>
        </w:tc>
        <w:tc>
          <w:tcPr>
            <w:tcW w:w="1418" w:type="dxa"/>
            <w:tcBorders>
              <w:bottom w:val="double" w:sz="4" w:space="0" w:color="auto"/>
            </w:tcBorders>
            <w:vAlign w:val="center"/>
          </w:tcPr>
          <w:p w14:paraId="7976C518"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t>Cathode</w:t>
            </w:r>
            <w:r w:rsidRPr="007147B7">
              <w:rPr>
                <w:rFonts w:ascii="Times New Roman" w:eastAsiaTheme="minorEastAsia" w:hAnsi="Times New Roman" w:cs="Times New Roman"/>
                <w:b/>
                <w:bCs/>
                <w:sz w:val="24"/>
                <w:szCs w:val="24"/>
              </w:rPr>
              <w:br/>
              <w:t>area capacity</w:t>
            </w:r>
            <w:r w:rsidRPr="007147B7">
              <w:rPr>
                <w:rFonts w:ascii="Times New Roman" w:eastAsiaTheme="minorEastAsia" w:hAnsi="Times New Roman" w:cs="Times New Roman"/>
                <w:b/>
                <w:bCs/>
                <w:sz w:val="24"/>
                <w:szCs w:val="24"/>
              </w:rPr>
              <w:br/>
              <w:t>(mAh cm</w:t>
            </w:r>
            <w:r w:rsidRPr="007147B7">
              <w:rPr>
                <w:rFonts w:ascii="Times New Roman" w:eastAsiaTheme="minorEastAsia" w:hAnsi="Times New Roman" w:cs="Times New Roman"/>
                <w:b/>
                <w:bCs/>
                <w:sz w:val="24"/>
                <w:szCs w:val="24"/>
                <w:vertAlign w:val="superscript"/>
              </w:rPr>
              <w:t>–2</w:t>
            </w:r>
            <w:r w:rsidRPr="007147B7">
              <w:rPr>
                <w:rFonts w:ascii="Times New Roman" w:eastAsiaTheme="minorEastAsia" w:hAnsi="Times New Roman" w:cs="Times New Roman"/>
                <w:b/>
                <w:bCs/>
                <w:sz w:val="24"/>
                <w:szCs w:val="24"/>
              </w:rPr>
              <w:t>)</w:t>
            </w:r>
          </w:p>
        </w:tc>
        <w:tc>
          <w:tcPr>
            <w:tcW w:w="1416" w:type="dxa"/>
            <w:tcBorders>
              <w:bottom w:val="double" w:sz="4" w:space="0" w:color="auto"/>
            </w:tcBorders>
            <w:vAlign w:val="center"/>
          </w:tcPr>
          <w:p w14:paraId="5C74229D"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t>Charging current density</w:t>
            </w:r>
            <w:r w:rsidRPr="007147B7">
              <w:rPr>
                <w:rFonts w:ascii="Times New Roman" w:eastAsiaTheme="minorEastAsia" w:hAnsi="Times New Roman" w:cs="Times New Roman"/>
                <w:b/>
                <w:bCs/>
                <w:sz w:val="24"/>
                <w:szCs w:val="24"/>
              </w:rPr>
              <w:br/>
              <w:t>(mA cm</w:t>
            </w:r>
            <w:r w:rsidRPr="007147B7">
              <w:rPr>
                <w:rFonts w:ascii="Times New Roman" w:eastAsiaTheme="minorEastAsia" w:hAnsi="Times New Roman" w:cs="Times New Roman"/>
                <w:b/>
                <w:bCs/>
                <w:sz w:val="24"/>
                <w:szCs w:val="24"/>
                <w:vertAlign w:val="superscript"/>
              </w:rPr>
              <w:t>–2</w:t>
            </w:r>
            <w:r w:rsidRPr="007147B7">
              <w:rPr>
                <w:rFonts w:ascii="Times New Roman" w:eastAsiaTheme="minorEastAsia" w:hAnsi="Times New Roman" w:cs="Times New Roman"/>
                <w:b/>
                <w:bCs/>
                <w:sz w:val="24"/>
                <w:szCs w:val="24"/>
              </w:rPr>
              <w:t>)</w:t>
            </w:r>
          </w:p>
        </w:tc>
        <w:tc>
          <w:tcPr>
            <w:tcW w:w="1522" w:type="dxa"/>
            <w:tcBorders>
              <w:bottom w:val="double" w:sz="4" w:space="0" w:color="auto"/>
            </w:tcBorders>
            <w:vAlign w:val="center"/>
          </w:tcPr>
          <w:p w14:paraId="6E60D10D"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t>Discharging current density</w:t>
            </w:r>
            <w:r w:rsidRPr="007147B7">
              <w:rPr>
                <w:rFonts w:ascii="Times New Roman" w:eastAsiaTheme="minorEastAsia" w:hAnsi="Times New Roman" w:cs="Times New Roman"/>
                <w:b/>
                <w:bCs/>
                <w:sz w:val="24"/>
                <w:szCs w:val="24"/>
              </w:rPr>
              <w:br/>
              <w:t>(mA cm</w:t>
            </w:r>
            <w:r w:rsidRPr="007147B7">
              <w:rPr>
                <w:rFonts w:ascii="Times New Roman" w:eastAsiaTheme="minorEastAsia" w:hAnsi="Times New Roman" w:cs="Times New Roman"/>
                <w:b/>
                <w:bCs/>
                <w:sz w:val="24"/>
                <w:szCs w:val="24"/>
                <w:vertAlign w:val="superscript"/>
              </w:rPr>
              <w:t>–2</w:t>
            </w:r>
            <w:r w:rsidRPr="007147B7">
              <w:rPr>
                <w:rFonts w:ascii="Times New Roman" w:eastAsiaTheme="minorEastAsia" w:hAnsi="Times New Roman" w:cs="Times New Roman"/>
                <w:b/>
                <w:bCs/>
                <w:sz w:val="24"/>
                <w:szCs w:val="24"/>
              </w:rPr>
              <w:t>)</w:t>
            </w:r>
          </w:p>
        </w:tc>
        <w:tc>
          <w:tcPr>
            <w:tcW w:w="1030" w:type="dxa"/>
            <w:tcBorders>
              <w:bottom w:val="double" w:sz="4" w:space="0" w:color="auto"/>
            </w:tcBorders>
            <w:vAlign w:val="center"/>
          </w:tcPr>
          <w:p w14:paraId="1340CEC5"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t>Cycle number</w:t>
            </w:r>
          </w:p>
        </w:tc>
      </w:tr>
      <w:tr w:rsidR="007147B7" w:rsidRPr="007147B7" w14:paraId="30007FEB" w14:textId="77777777" w:rsidTr="00A42CFA">
        <w:trPr>
          <w:trHeight w:val="759"/>
        </w:trPr>
        <w:tc>
          <w:tcPr>
            <w:tcW w:w="3964" w:type="dxa"/>
            <w:gridSpan w:val="2"/>
            <w:tcBorders>
              <w:top w:val="double" w:sz="4" w:space="0" w:color="auto"/>
            </w:tcBorders>
            <w:vAlign w:val="center"/>
          </w:tcPr>
          <w:p w14:paraId="66F25DBC" w14:textId="77777777" w:rsidR="002B34DA" w:rsidRPr="007147B7" w:rsidRDefault="002B34DA" w:rsidP="005D4A2C">
            <w:pPr>
              <w:jc w:val="center"/>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t>This work</w:t>
            </w:r>
          </w:p>
        </w:tc>
        <w:tc>
          <w:tcPr>
            <w:tcW w:w="1418" w:type="dxa"/>
            <w:tcBorders>
              <w:top w:val="double" w:sz="4" w:space="0" w:color="auto"/>
            </w:tcBorders>
            <w:vAlign w:val="center"/>
          </w:tcPr>
          <w:p w14:paraId="7B02D893"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4</w:t>
            </w:r>
          </w:p>
        </w:tc>
        <w:tc>
          <w:tcPr>
            <w:tcW w:w="1416" w:type="dxa"/>
            <w:tcBorders>
              <w:top w:val="double" w:sz="4" w:space="0" w:color="auto"/>
            </w:tcBorders>
            <w:vAlign w:val="center"/>
          </w:tcPr>
          <w:p w14:paraId="373B7318"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3.2</w:t>
            </w:r>
          </w:p>
        </w:tc>
        <w:tc>
          <w:tcPr>
            <w:tcW w:w="1522" w:type="dxa"/>
            <w:tcBorders>
              <w:top w:val="double" w:sz="4" w:space="0" w:color="auto"/>
            </w:tcBorders>
            <w:vAlign w:val="center"/>
          </w:tcPr>
          <w:p w14:paraId="7EBB2493"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8</w:t>
            </w:r>
          </w:p>
        </w:tc>
        <w:tc>
          <w:tcPr>
            <w:tcW w:w="1030" w:type="dxa"/>
            <w:tcBorders>
              <w:top w:val="double" w:sz="4" w:space="0" w:color="auto"/>
            </w:tcBorders>
            <w:vAlign w:val="center"/>
          </w:tcPr>
          <w:p w14:paraId="6C7718D4"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144</w:t>
            </w:r>
          </w:p>
        </w:tc>
      </w:tr>
      <w:tr w:rsidR="007147B7" w:rsidRPr="007147B7" w14:paraId="0DEAAC43" w14:textId="77777777" w:rsidTr="00A42CFA">
        <w:trPr>
          <w:trHeight w:val="759"/>
        </w:trPr>
        <w:tc>
          <w:tcPr>
            <w:tcW w:w="1243" w:type="dxa"/>
            <w:vAlign w:val="center"/>
          </w:tcPr>
          <w:p w14:paraId="1E381A70"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S1</w:t>
            </w:r>
          </w:p>
        </w:tc>
        <w:tc>
          <w:tcPr>
            <w:tcW w:w="2721" w:type="dxa"/>
            <w:vAlign w:val="center"/>
          </w:tcPr>
          <w:p w14:paraId="695AF9C6" w14:textId="330BE77A"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inorEastAsia" w:hAnsi="Times New Roman" w:cs="Times New Roman"/>
                <w:i/>
                <w:iCs/>
                <w:sz w:val="24"/>
                <w:szCs w:val="24"/>
              </w:rPr>
              <w:t>Energy Environ. Sci.</w:t>
            </w:r>
            <w:r w:rsidRPr="007147B7">
              <w:rPr>
                <w:rFonts w:ascii="Times New Roman" w:eastAsiaTheme="minorEastAsia" w:hAnsi="Times New Roman" w:cs="Times New Roman"/>
                <w:sz w:val="24"/>
                <w:szCs w:val="24"/>
              </w:rPr>
              <w:t>, 18, 6224-6236 (2025)</w:t>
            </w:r>
          </w:p>
        </w:tc>
        <w:tc>
          <w:tcPr>
            <w:tcW w:w="1418" w:type="dxa"/>
            <w:vAlign w:val="center"/>
          </w:tcPr>
          <w:p w14:paraId="622D1EE2" w14:textId="6ABBFC13"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1</w:t>
            </w:r>
            <w:r w:rsidRPr="007147B7">
              <w:rPr>
                <w:rFonts w:ascii="Times New Roman" w:eastAsiaTheme="minorEastAsia" w:hAnsi="Times New Roman" w:cs="Times New Roman"/>
                <w:sz w:val="24"/>
                <w:szCs w:val="24"/>
              </w:rPr>
              <w:t>.8</w:t>
            </w:r>
          </w:p>
        </w:tc>
        <w:tc>
          <w:tcPr>
            <w:tcW w:w="1416" w:type="dxa"/>
            <w:vAlign w:val="center"/>
          </w:tcPr>
          <w:p w14:paraId="7806AAE6" w14:textId="48C24D0D"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1</w:t>
            </w:r>
            <w:r w:rsidRPr="007147B7">
              <w:rPr>
                <w:rFonts w:ascii="Times New Roman" w:eastAsiaTheme="minorEastAsia" w:hAnsi="Times New Roman" w:cs="Times New Roman"/>
                <w:sz w:val="24"/>
                <w:szCs w:val="24"/>
              </w:rPr>
              <w:t>.8</w:t>
            </w:r>
          </w:p>
        </w:tc>
        <w:tc>
          <w:tcPr>
            <w:tcW w:w="1522" w:type="dxa"/>
            <w:vAlign w:val="center"/>
          </w:tcPr>
          <w:p w14:paraId="32D741DA" w14:textId="6112D7FE"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3</w:t>
            </w:r>
            <w:r w:rsidRPr="007147B7">
              <w:rPr>
                <w:rFonts w:ascii="Times New Roman" w:eastAsiaTheme="minorEastAsia" w:hAnsi="Times New Roman" w:cs="Times New Roman"/>
                <w:sz w:val="24"/>
                <w:szCs w:val="24"/>
              </w:rPr>
              <w:t>.6</w:t>
            </w:r>
          </w:p>
        </w:tc>
        <w:tc>
          <w:tcPr>
            <w:tcW w:w="1030" w:type="dxa"/>
            <w:vAlign w:val="center"/>
          </w:tcPr>
          <w:p w14:paraId="07060B43" w14:textId="2AF5172C"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1</w:t>
            </w:r>
            <w:r w:rsidRPr="007147B7">
              <w:rPr>
                <w:rFonts w:ascii="Times New Roman" w:eastAsiaTheme="minorEastAsia" w:hAnsi="Times New Roman" w:cs="Times New Roman"/>
                <w:sz w:val="24"/>
                <w:szCs w:val="24"/>
              </w:rPr>
              <w:t>20</w:t>
            </w:r>
          </w:p>
        </w:tc>
      </w:tr>
      <w:tr w:rsidR="007147B7" w:rsidRPr="007147B7" w14:paraId="036DE18C" w14:textId="77777777" w:rsidTr="00A42CFA">
        <w:trPr>
          <w:trHeight w:val="759"/>
        </w:trPr>
        <w:tc>
          <w:tcPr>
            <w:tcW w:w="1243" w:type="dxa"/>
            <w:vAlign w:val="center"/>
          </w:tcPr>
          <w:p w14:paraId="7EDF2C2D"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S2</w:t>
            </w:r>
          </w:p>
        </w:tc>
        <w:tc>
          <w:tcPr>
            <w:tcW w:w="2721" w:type="dxa"/>
            <w:vAlign w:val="center"/>
          </w:tcPr>
          <w:p w14:paraId="52AEB022" w14:textId="56A732D5"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inorEastAsia" w:hAnsi="Times New Roman" w:cs="Times New Roman"/>
                <w:sz w:val="22"/>
              </w:rPr>
              <w:t>ACS Nano, 19, 25, 23294–23305 (2025)</w:t>
            </w:r>
          </w:p>
        </w:tc>
        <w:tc>
          <w:tcPr>
            <w:tcW w:w="1418" w:type="dxa"/>
            <w:vAlign w:val="center"/>
          </w:tcPr>
          <w:p w14:paraId="12A7F6E0" w14:textId="6755FCC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2</w:t>
            </w:r>
          </w:p>
        </w:tc>
        <w:tc>
          <w:tcPr>
            <w:tcW w:w="1416" w:type="dxa"/>
            <w:vAlign w:val="center"/>
          </w:tcPr>
          <w:p w14:paraId="50B69FC7" w14:textId="68CF519B"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w:t>
            </w:r>
          </w:p>
        </w:tc>
        <w:tc>
          <w:tcPr>
            <w:tcW w:w="1522" w:type="dxa"/>
            <w:vAlign w:val="center"/>
          </w:tcPr>
          <w:p w14:paraId="091C7C2C" w14:textId="747A960D"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2</w:t>
            </w:r>
          </w:p>
        </w:tc>
        <w:tc>
          <w:tcPr>
            <w:tcW w:w="1030" w:type="dxa"/>
            <w:vAlign w:val="center"/>
          </w:tcPr>
          <w:p w14:paraId="24D46686" w14:textId="1DDB5C66"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200</w:t>
            </w:r>
          </w:p>
        </w:tc>
      </w:tr>
      <w:tr w:rsidR="007147B7" w:rsidRPr="007147B7" w14:paraId="1457C300" w14:textId="77777777" w:rsidTr="00A42CFA">
        <w:trPr>
          <w:trHeight w:val="759"/>
        </w:trPr>
        <w:tc>
          <w:tcPr>
            <w:tcW w:w="1243" w:type="dxa"/>
            <w:vAlign w:val="center"/>
          </w:tcPr>
          <w:p w14:paraId="29727A8C"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S3</w:t>
            </w:r>
          </w:p>
        </w:tc>
        <w:tc>
          <w:tcPr>
            <w:tcW w:w="2721" w:type="dxa"/>
            <w:vAlign w:val="center"/>
          </w:tcPr>
          <w:p w14:paraId="27D419AA" w14:textId="6734232F"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ajorEastAsia" w:hAnsi="Times New Roman" w:cs="Times New Roman"/>
                <w:i/>
                <w:iCs/>
                <w:sz w:val="22"/>
                <w:shd w:val="clear" w:color="auto" w:fill="FFFFFF"/>
              </w:rPr>
              <w:t>N</w:t>
            </w:r>
            <w:r w:rsidRPr="007147B7">
              <w:rPr>
                <w:rFonts w:ascii="Times New Roman" w:eastAsiaTheme="majorEastAsia" w:hAnsi="Times New Roman" w:cs="Times New Roman"/>
                <w:i/>
                <w:iCs/>
                <w:sz w:val="22"/>
              </w:rPr>
              <w:t xml:space="preserve">at. </w:t>
            </w:r>
            <w:r w:rsidRPr="007147B7">
              <w:rPr>
                <w:rFonts w:ascii="Times New Roman" w:hAnsi="Times New Roman" w:cs="Times New Roman"/>
                <w:sz w:val="22"/>
              </w:rPr>
              <w:t>Chem.,</w:t>
            </w:r>
            <w:r w:rsidRPr="007147B7">
              <w:rPr>
                <w:rFonts w:ascii="Times New Roman" w:hAnsi="Times New Roman" w:cs="Times New Roman"/>
                <w:sz w:val="22"/>
                <w:shd w:val="clear" w:color="auto" w:fill="FFFFFF"/>
              </w:rPr>
              <w:t> 16, 922-929 (2024)</w:t>
            </w:r>
          </w:p>
        </w:tc>
        <w:tc>
          <w:tcPr>
            <w:tcW w:w="1418" w:type="dxa"/>
            <w:vAlign w:val="center"/>
          </w:tcPr>
          <w:p w14:paraId="0EE94935" w14:textId="5636A5A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4</w:t>
            </w:r>
          </w:p>
        </w:tc>
        <w:tc>
          <w:tcPr>
            <w:tcW w:w="1416" w:type="dxa"/>
            <w:vAlign w:val="center"/>
          </w:tcPr>
          <w:p w14:paraId="26AA1D71" w14:textId="097DE0DF"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1.2</w:t>
            </w:r>
          </w:p>
        </w:tc>
        <w:tc>
          <w:tcPr>
            <w:tcW w:w="1522" w:type="dxa"/>
            <w:vAlign w:val="center"/>
          </w:tcPr>
          <w:p w14:paraId="673851D0" w14:textId="3D287F63"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1.2</w:t>
            </w:r>
          </w:p>
        </w:tc>
        <w:tc>
          <w:tcPr>
            <w:tcW w:w="1030" w:type="dxa"/>
            <w:vAlign w:val="center"/>
          </w:tcPr>
          <w:p w14:paraId="76A789A0" w14:textId="55ABD18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150</w:t>
            </w:r>
          </w:p>
        </w:tc>
      </w:tr>
      <w:tr w:rsidR="007147B7" w:rsidRPr="007147B7" w14:paraId="152DE488" w14:textId="77777777" w:rsidTr="00A42CFA">
        <w:trPr>
          <w:trHeight w:val="759"/>
        </w:trPr>
        <w:tc>
          <w:tcPr>
            <w:tcW w:w="1243" w:type="dxa"/>
            <w:vAlign w:val="center"/>
          </w:tcPr>
          <w:p w14:paraId="05E0A4DB"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S4</w:t>
            </w:r>
          </w:p>
        </w:tc>
        <w:tc>
          <w:tcPr>
            <w:tcW w:w="2721" w:type="dxa"/>
            <w:vAlign w:val="center"/>
          </w:tcPr>
          <w:p w14:paraId="16210E79" w14:textId="7A305036" w:rsidR="002B34DA" w:rsidRPr="007147B7" w:rsidRDefault="002B34DA" w:rsidP="005D4A2C">
            <w:pPr>
              <w:jc w:val="center"/>
              <w:rPr>
                <w:rFonts w:ascii="Times New Roman" w:eastAsiaTheme="minorEastAsia" w:hAnsi="Times New Roman" w:cs="Times New Roman"/>
                <w:sz w:val="22"/>
              </w:rPr>
            </w:pPr>
            <w:r w:rsidRPr="007147B7">
              <w:rPr>
                <w:rFonts w:ascii="Times New Roman" w:hAnsi="Times New Roman" w:cs="Times New Roman"/>
                <w:i/>
                <w:iCs/>
                <w:sz w:val="22"/>
                <w:shd w:val="clear" w:color="auto" w:fill="FFFFFF"/>
              </w:rPr>
              <w:t xml:space="preserve">Nat </w:t>
            </w:r>
            <w:proofErr w:type="spellStart"/>
            <w:r w:rsidRPr="007147B7">
              <w:rPr>
                <w:rFonts w:ascii="Times New Roman" w:hAnsi="Times New Roman" w:cs="Times New Roman"/>
                <w:i/>
                <w:iCs/>
                <w:sz w:val="22"/>
                <w:shd w:val="clear" w:color="auto" w:fill="FFFFFF"/>
              </w:rPr>
              <w:t>Commun</w:t>
            </w:r>
            <w:proofErr w:type="spellEnd"/>
            <w:r w:rsidRPr="007147B7">
              <w:rPr>
                <w:rFonts w:ascii="Times New Roman" w:hAnsi="Times New Roman" w:cs="Times New Roman"/>
                <w:i/>
                <w:iCs/>
                <w:sz w:val="22"/>
                <w:shd w:val="clear" w:color="auto" w:fill="FFFFFF"/>
              </w:rPr>
              <w:t>.</w:t>
            </w:r>
            <w:r w:rsidRPr="007147B7">
              <w:rPr>
                <w:rFonts w:ascii="Times New Roman" w:hAnsi="Times New Roman" w:cs="Times New Roman"/>
                <w:sz w:val="22"/>
                <w:shd w:val="clear" w:color="auto" w:fill="FFFFFF"/>
              </w:rPr>
              <w:t> (2026). https://doi.org/10.1038/s41467-025-65697-w</w:t>
            </w:r>
          </w:p>
        </w:tc>
        <w:tc>
          <w:tcPr>
            <w:tcW w:w="1418" w:type="dxa"/>
            <w:vAlign w:val="center"/>
          </w:tcPr>
          <w:p w14:paraId="0D34F22E" w14:textId="2A820E58"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6</w:t>
            </w:r>
            <w:r w:rsidRPr="007147B7">
              <w:rPr>
                <w:rFonts w:ascii="Times New Roman" w:eastAsiaTheme="minorEastAsia" w:hAnsi="Times New Roman" w:cs="Times New Roman"/>
                <w:sz w:val="24"/>
                <w:szCs w:val="24"/>
              </w:rPr>
              <w:t>.6</w:t>
            </w:r>
          </w:p>
        </w:tc>
        <w:tc>
          <w:tcPr>
            <w:tcW w:w="1416" w:type="dxa"/>
            <w:vAlign w:val="center"/>
          </w:tcPr>
          <w:p w14:paraId="433B875B" w14:textId="5A6D2101"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0</w:t>
            </w:r>
            <w:r w:rsidRPr="007147B7">
              <w:rPr>
                <w:rFonts w:ascii="Times New Roman" w:eastAsiaTheme="minorEastAsia" w:hAnsi="Times New Roman" w:cs="Times New Roman"/>
                <w:sz w:val="24"/>
                <w:szCs w:val="24"/>
              </w:rPr>
              <w:t>.66</w:t>
            </w:r>
          </w:p>
        </w:tc>
        <w:tc>
          <w:tcPr>
            <w:tcW w:w="1522" w:type="dxa"/>
            <w:vAlign w:val="center"/>
          </w:tcPr>
          <w:p w14:paraId="5DC4942F" w14:textId="279817CE"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3</w:t>
            </w:r>
            <w:r w:rsidRPr="007147B7">
              <w:rPr>
                <w:rFonts w:ascii="Times New Roman" w:eastAsiaTheme="minorEastAsia" w:hAnsi="Times New Roman" w:cs="Times New Roman"/>
                <w:sz w:val="24"/>
                <w:szCs w:val="24"/>
              </w:rPr>
              <w:t>.3</w:t>
            </w:r>
          </w:p>
        </w:tc>
        <w:tc>
          <w:tcPr>
            <w:tcW w:w="1030" w:type="dxa"/>
            <w:vAlign w:val="center"/>
          </w:tcPr>
          <w:p w14:paraId="5975BF04" w14:textId="10D5F7A8"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2</w:t>
            </w:r>
            <w:r w:rsidRPr="007147B7">
              <w:rPr>
                <w:rFonts w:ascii="Times New Roman" w:eastAsiaTheme="minorEastAsia" w:hAnsi="Times New Roman" w:cs="Times New Roman"/>
                <w:sz w:val="24"/>
                <w:szCs w:val="24"/>
              </w:rPr>
              <w:t>00</w:t>
            </w:r>
          </w:p>
        </w:tc>
      </w:tr>
      <w:tr w:rsidR="007147B7" w:rsidRPr="007147B7" w14:paraId="208EDE5B" w14:textId="77777777" w:rsidTr="00A42CFA">
        <w:trPr>
          <w:trHeight w:val="759"/>
        </w:trPr>
        <w:tc>
          <w:tcPr>
            <w:tcW w:w="1243" w:type="dxa"/>
            <w:vAlign w:val="center"/>
          </w:tcPr>
          <w:p w14:paraId="1CA4F459"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S5</w:t>
            </w:r>
          </w:p>
        </w:tc>
        <w:tc>
          <w:tcPr>
            <w:tcW w:w="2721" w:type="dxa"/>
            <w:vAlign w:val="center"/>
          </w:tcPr>
          <w:p w14:paraId="7F3EC3FC" w14:textId="2B2972FA"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inorEastAsia" w:hAnsi="Times New Roman" w:cs="Times New Roman"/>
                <w:sz w:val="22"/>
              </w:rPr>
              <w:t>Chem</w:t>
            </w:r>
            <w:r w:rsidR="005E6B37" w:rsidRPr="007147B7">
              <w:rPr>
                <w:rFonts w:ascii="Times New Roman" w:eastAsiaTheme="minorEastAsia" w:hAnsi="Times New Roman" w:cs="Times New Roman"/>
                <w:sz w:val="22"/>
              </w:rPr>
              <w:t>,</w:t>
            </w:r>
            <w:r w:rsidRPr="007147B7">
              <w:rPr>
                <w:rFonts w:ascii="Times New Roman" w:eastAsiaTheme="minorEastAsia" w:hAnsi="Times New Roman" w:cs="Times New Roman"/>
                <w:sz w:val="22"/>
              </w:rPr>
              <w:t xml:space="preserve"> 11, 102306 (2025)</w:t>
            </w:r>
          </w:p>
        </w:tc>
        <w:tc>
          <w:tcPr>
            <w:tcW w:w="1418" w:type="dxa"/>
            <w:vAlign w:val="center"/>
          </w:tcPr>
          <w:p w14:paraId="25F18998" w14:textId="47302654"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4.2</w:t>
            </w:r>
          </w:p>
        </w:tc>
        <w:tc>
          <w:tcPr>
            <w:tcW w:w="1416" w:type="dxa"/>
            <w:vAlign w:val="center"/>
          </w:tcPr>
          <w:p w14:paraId="3E384730" w14:textId="1D3B3F42"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0.42</w:t>
            </w:r>
          </w:p>
        </w:tc>
        <w:tc>
          <w:tcPr>
            <w:tcW w:w="1522" w:type="dxa"/>
            <w:vAlign w:val="center"/>
          </w:tcPr>
          <w:p w14:paraId="100FD468" w14:textId="04F6792F"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2.1</w:t>
            </w:r>
          </w:p>
        </w:tc>
        <w:tc>
          <w:tcPr>
            <w:tcW w:w="1030" w:type="dxa"/>
            <w:vAlign w:val="center"/>
          </w:tcPr>
          <w:p w14:paraId="4A5456B3" w14:textId="7E93A802"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100</w:t>
            </w:r>
          </w:p>
        </w:tc>
      </w:tr>
      <w:tr w:rsidR="007147B7" w:rsidRPr="007147B7" w14:paraId="25ED0555" w14:textId="77777777" w:rsidTr="00A42CFA">
        <w:trPr>
          <w:trHeight w:val="759"/>
        </w:trPr>
        <w:tc>
          <w:tcPr>
            <w:tcW w:w="1243" w:type="dxa"/>
            <w:vAlign w:val="center"/>
          </w:tcPr>
          <w:p w14:paraId="23F50DEB"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S6</w:t>
            </w:r>
          </w:p>
        </w:tc>
        <w:tc>
          <w:tcPr>
            <w:tcW w:w="2721" w:type="dxa"/>
            <w:vAlign w:val="center"/>
          </w:tcPr>
          <w:p w14:paraId="0B23C771" w14:textId="714ACBD4"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ajorEastAsia" w:hAnsi="Times New Roman" w:cs="Times New Roman"/>
                <w:i/>
                <w:iCs/>
                <w:sz w:val="22"/>
                <w:shd w:val="clear" w:color="auto" w:fill="FFFFFF"/>
              </w:rPr>
              <w:t>N</w:t>
            </w:r>
            <w:r w:rsidRPr="007147B7">
              <w:rPr>
                <w:rFonts w:ascii="Times New Roman" w:eastAsiaTheme="majorEastAsia" w:hAnsi="Times New Roman" w:cs="Times New Roman"/>
                <w:i/>
                <w:iCs/>
                <w:sz w:val="22"/>
              </w:rPr>
              <w:t>at.</w:t>
            </w:r>
            <w:r w:rsidRPr="007147B7">
              <w:rPr>
                <w:rFonts w:ascii="Times New Roman" w:hAnsi="Times New Roman" w:cs="Times New Roman"/>
                <w:sz w:val="22"/>
              </w:rPr>
              <w:t xml:space="preserve"> </w:t>
            </w:r>
            <w:proofErr w:type="spellStart"/>
            <w:r w:rsidRPr="007147B7">
              <w:rPr>
                <w:rFonts w:ascii="Times New Roman" w:hAnsi="Times New Roman" w:cs="Times New Roman"/>
                <w:sz w:val="22"/>
              </w:rPr>
              <w:t>Commun</w:t>
            </w:r>
            <w:proofErr w:type="spellEnd"/>
            <w:r w:rsidRPr="007147B7">
              <w:rPr>
                <w:rFonts w:ascii="Times New Roman" w:hAnsi="Times New Roman" w:cs="Times New Roman"/>
                <w:sz w:val="22"/>
              </w:rPr>
              <w:t>.,</w:t>
            </w:r>
            <w:r w:rsidRPr="007147B7">
              <w:rPr>
                <w:rFonts w:ascii="Times New Roman" w:hAnsi="Times New Roman" w:cs="Times New Roman"/>
                <w:sz w:val="22"/>
                <w:shd w:val="clear" w:color="auto" w:fill="FFFFFF"/>
              </w:rPr>
              <w:t> 14, 868 (2023)</w:t>
            </w:r>
          </w:p>
        </w:tc>
        <w:tc>
          <w:tcPr>
            <w:tcW w:w="1418" w:type="dxa"/>
            <w:vAlign w:val="center"/>
          </w:tcPr>
          <w:p w14:paraId="76A6F012" w14:textId="5D7A82F1"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3.3</w:t>
            </w:r>
          </w:p>
        </w:tc>
        <w:tc>
          <w:tcPr>
            <w:tcW w:w="1416" w:type="dxa"/>
            <w:vAlign w:val="center"/>
          </w:tcPr>
          <w:p w14:paraId="7D54E150" w14:textId="3FFE4C5D"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0.33</w:t>
            </w:r>
          </w:p>
        </w:tc>
        <w:tc>
          <w:tcPr>
            <w:tcW w:w="1522" w:type="dxa"/>
            <w:vAlign w:val="center"/>
          </w:tcPr>
          <w:p w14:paraId="3C54C727" w14:textId="19C46C72"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0.99</w:t>
            </w:r>
          </w:p>
        </w:tc>
        <w:tc>
          <w:tcPr>
            <w:tcW w:w="1030" w:type="dxa"/>
            <w:vAlign w:val="center"/>
          </w:tcPr>
          <w:p w14:paraId="1B68FE35" w14:textId="1F811108"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150</w:t>
            </w:r>
          </w:p>
        </w:tc>
      </w:tr>
      <w:tr w:rsidR="007147B7" w:rsidRPr="007147B7" w14:paraId="5698C33A" w14:textId="77777777" w:rsidTr="00A42CFA">
        <w:trPr>
          <w:trHeight w:val="759"/>
        </w:trPr>
        <w:tc>
          <w:tcPr>
            <w:tcW w:w="1243" w:type="dxa"/>
            <w:vAlign w:val="center"/>
          </w:tcPr>
          <w:p w14:paraId="10F24BB3"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S7</w:t>
            </w:r>
          </w:p>
        </w:tc>
        <w:tc>
          <w:tcPr>
            <w:tcW w:w="2721" w:type="dxa"/>
            <w:vAlign w:val="center"/>
          </w:tcPr>
          <w:p w14:paraId="3A4EBFE2" w14:textId="2D011258" w:rsidR="002B34DA" w:rsidRPr="007147B7" w:rsidRDefault="002B34DA" w:rsidP="005D4A2C">
            <w:pPr>
              <w:pStyle w:val="2"/>
              <w:jc w:val="center"/>
              <w:rPr>
                <w:rFonts w:ascii="Times New Roman" w:hAnsi="Times New Roman" w:cs="Times New Roman"/>
                <w:sz w:val="22"/>
              </w:rPr>
            </w:pPr>
            <w:r w:rsidRPr="007147B7">
              <w:rPr>
                <w:rFonts w:ascii="Times New Roman" w:eastAsiaTheme="minorEastAsia" w:hAnsi="Times New Roman" w:cs="Times New Roman"/>
                <w:sz w:val="22"/>
              </w:rPr>
              <w:t>Adv. Mater., 35, 2303347</w:t>
            </w:r>
            <w:r w:rsidR="005E6B37" w:rsidRPr="007147B7">
              <w:rPr>
                <w:rFonts w:ascii="Times New Roman" w:eastAsiaTheme="minorEastAsia" w:hAnsi="Times New Roman" w:cs="Times New Roman"/>
                <w:sz w:val="22"/>
              </w:rPr>
              <w:t xml:space="preserve"> </w:t>
            </w:r>
            <w:r w:rsidRPr="007147B7">
              <w:rPr>
                <w:rFonts w:ascii="Times New Roman" w:eastAsiaTheme="minorEastAsia" w:hAnsi="Times New Roman" w:cs="Times New Roman"/>
                <w:sz w:val="22"/>
              </w:rPr>
              <w:t>(2023)</w:t>
            </w:r>
          </w:p>
        </w:tc>
        <w:tc>
          <w:tcPr>
            <w:tcW w:w="1418" w:type="dxa"/>
            <w:vAlign w:val="center"/>
          </w:tcPr>
          <w:p w14:paraId="7A24213B" w14:textId="46A7B504"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2</w:t>
            </w:r>
          </w:p>
        </w:tc>
        <w:tc>
          <w:tcPr>
            <w:tcW w:w="1416" w:type="dxa"/>
            <w:vAlign w:val="center"/>
          </w:tcPr>
          <w:p w14:paraId="571BD65C" w14:textId="2AD83DF6"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0.6</w:t>
            </w:r>
          </w:p>
        </w:tc>
        <w:tc>
          <w:tcPr>
            <w:tcW w:w="1522" w:type="dxa"/>
            <w:vAlign w:val="center"/>
          </w:tcPr>
          <w:p w14:paraId="61FB600F" w14:textId="44CDC23C"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0.6</w:t>
            </w:r>
          </w:p>
        </w:tc>
        <w:tc>
          <w:tcPr>
            <w:tcW w:w="1030" w:type="dxa"/>
            <w:vAlign w:val="center"/>
          </w:tcPr>
          <w:p w14:paraId="03A11B16" w14:textId="24A156A8"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60</w:t>
            </w:r>
          </w:p>
        </w:tc>
      </w:tr>
      <w:tr w:rsidR="007147B7" w:rsidRPr="007147B7" w14:paraId="1500D2C9" w14:textId="77777777" w:rsidTr="00A42CFA">
        <w:trPr>
          <w:trHeight w:val="759"/>
        </w:trPr>
        <w:tc>
          <w:tcPr>
            <w:tcW w:w="1243" w:type="dxa"/>
            <w:vAlign w:val="center"/>
          </w:tcPr>
          <w:p w14:paraId="3D8676AA"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S8</w:t>
            </w:r>
          </w:p>
        </w:tc>
        <w:tc>
          <w:tcPr>
            <w:tcW w:w="2721" w:type="dxa"/>
            <w:vAlign w:val="center"/>
          </w:tcPr>
          <w:p w14:paraId="6A83357E" w14:textId="519016C1" w:rsidR="002B34DA" w:rsidRPr="007147B7" w:rsidRDefault="002B34DA" w:rsidP="005D4A2C">
            <w:pPr>
              <w:jc w:val="center"/>
              <w:rPr>
                <w:rFonts w:ascii="Times New Roman" w:eastAsiaTheme="minorEastAsia" w:hAnsi="Times New Roman" w:cs="Times New Roman"/>
                <w:sz w:val="22"/>
              </w:rPr>
            </w:pPr>
            <w:proofErr w:type="spellStart"/>
            <w:r w:rsidRPr="007147B7">
              <w:rPr>
                <w:rFonts w:ascii="Times New Roman" w:eastAsiaTheme="minorEastAsia" w:hAnsi="Times New Roman" w:cs="Times New Roman"/>
                <w:sz w:val="22"/>
              </w:rPr>
              <w:t>Angew</w:t>
            </w:r>
            <w:proofErr w:type="spellEnd"/>
            <w:r w:rsidRPr="007147B7">
              <w:rPr>
                <w:rFonts w:ascii="Times New Roman" w:eastAsiaTheme="minorEastAsia" w:hAnsi="Times New Roman" w:cs="Times New Roman"/>
                <w:sz w:val="22"/>
              </w:rPr>
              <w:t>. Chem., 138, e25130 (2026)</w:t>
            </w:r>
          </w:p>
        </w:tc>
        <w:tc>
          <w:tcPr>
            <w:tcW w:w="1418" w:type="dxa"/>
            <w:vAlign w:val="center"/>
          </w:tcPr>
          <w:p w14:paraId="46A80587" w14:textId="1FC5DACF"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6.49</w:t>
            </w:r>
          </w:p>
        </w:tc>
        <w:tc>
          <w:tcPr>
            <w:tcW w:w="1416" w:type="dxa"/>
            <w:vAlign w:val="center"/>
          </w:tcPr>
          <w:p w14:paraId="36E8F551" w14:textId="0467F1DF"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0.649</w:t>
            </w:r>
          </w:p>
        </w:tc>
        <w:tc>
          <w:tcPr>
            <w:tcW w:w="1522" w:type="dxa"/>
            <w:vAlign w:val="center"/>
          </w:tcPr>
          <w:p w14:paraId="22180622" w14:textId="22B6B41B"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1.30</w:t>
            </w:r>
          </w:p>
        </w:tc>
        <w:tc>
          <w:tcPr>
            <w:tcW w:w="1030" w:type="dxa"/>
            <w:vAlign w:val="center"/>
          </w:tcPr>
          <w:p w14:paraId="0EB01ACD" w14:textId="56283D35"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200</w:t>
            </w:r>
          </w:p>
        </w:tc>
      </w:tr>
      <w:tr w:rsidR="007147B7" w:rsidRPr="007147B7" w14:paraId="0BE0B9CD" w14:textId="77777777" w:rsidTr="00A42CFA">
        <w:trPr>
          <w:trHeight w:val="759"/>
        </w:trPr>
        <w:tc>
          <w:tcPr>
            <w:tcW w:w="1243" w:type="dxa"/>
            <w:vAlign w:val="center"/>
          </w:tcPr>
          <w:p w14:paraId="5BA33838"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S9</w:t>
            </w:r>
          </w:p>
        </w:tc>
        <w:tc>
          <w:tcPr>
            <w:tcW w:w="2721" w:type="dxa"/>
            <w:vAlign w:val="center"/>
          </w:tcPr>
          <w:p w14:paraId="1FB095F6" w14:textId="1813DD96"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ajorEastAsia" w:hAnsi="Times New Roman" w:cs="Times New Roman"/>
                <w:i/>
                <w:iCs/>
                <w:sz w:val="22"/>
                <w:shd w:val="clear" w:color="auto" w:fill="FFFFFF"/>
              </w:rPr>
              <w:t>N</w:t>
            </w:r>
            <w:r w:rsidRPr="007147B7">
              <w:rPr>
                <w:rFonts w:ascii="Times New Roman" w:eastAsiaTheme="majorEastAsia" w:hAnsi="Times New Roman" w:cs="Times New Roman"/>
                <w:i/>
                <w:iCs/>
                <w:sz w:val="22"/>
              </w:rPr>
              <w:t>at.</w:t>
            </w:r>
            <w:r w:rsidRPr="007147B7">
              <w:rPr>
                <w:rFonts w:ascii="Times New Roman" w:hAnsi="Times New Roman" w:cs="Times New Roman"/>
                <w:sz w:val="22"/>
              </w:rPr>
              <w:t xml:space="preserve"> </w:t>
            </w:r>
            <w:proofErr w:type="spellStart"/>
            <w:r w:rsidRPr="007147B7">
              <w:rPr>
                <w:rFonts w:ascii="Times New Roman" w:hAnsi="Times New Roman" w:cs="Times New Roman"/>
                <w:sz w:val="22"/>
              </w:rPr>
              <w:t>Commun</w:t>
            </w:r>
            <w:proofErr w:type="spellEnd"/>
            <w:r w:rsidRPr="007147B7">
              <w:rPr>
                <w:rFonts w:ascii="Times New Roman" w:hAnsi="Times New Roman" w:cs="Times New Roman"/>
                <w:sz w:val="22"/>
              </w:rPr>
              <w:t xml:space="preserve">., </w:t>
            </w:r>
            <w:r w:rsidRPr="007147B7">
              <w:rPr>
                <w:rFonts w:ascii="Times New Roman" w:hAnsi="Times New Roman" w:cs="Times New Roman"/>
                <w:sz w:val="22"/>
                <w:shd w:val="clear" w:color="auto" w:fill="FFFFFF"/>
              </w:rPr>
              <w:t>16, 4229 (2025)</w:t>
            </w:r>
          </w:p>
        </w:tc>
        <w:tc>
          <w:tcPr>
            <w:tcW w:w="1418" w:type="dxa"/>
            <w:vAlign w:val="center"/>
          </w:tcPr>
          <w:p w14:paraId="5475BB22" w14:textId="4D287339"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6</w:t>
            </w:r>
          </w:p>
        </w:tc>
        <w:tc>
          <w:tcPr>
            <w:tcW w:w="1416" w:type="dxa"/>
            <w:vAlign w:val="center"/>
          </w:tcPr>
          <w:p w14:paraId="4398ED1B" w14:textId="23D9203C"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0.6</w:t>
            </w:r>
          </w:p>
        </w:tc>
        <w:tc>
          <w:tcPr>
            <w:tcW w:w="1522" w:type="dxa"/>
            <w:vAlign w:val="center"/>
          </w:tcPr>
          <w:p w14:paraId="5CCCF1E9" w14:textId="5BB65F0F"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1.5</w:t>
            </w:r>
          </w:p>
        </w:tc>
        <w:tc>
          <w:tcPr>
            <w:tcW w:w="1030" w:type="dxa"/>
            <w:vAlign w:val="center"/>
          </w:tcPr>
          <w:p w14:paraId="3D694DF6" w14:textId="7E69A44D"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120</w:t>
            </w:r>
          </w:p>
        </w:tc>
      </w:tr>
      <w:tr w:rsidR="007147B7" w:rsidRPr="007147B7" w14:paraId="375BDCCD" w14:textId="77777777" w:rsidTr="00A42CFA">
        <w:trPr>
          <w:trHeight w:val="759"/>
        </w:trPr>
        <w:tc>
          <w:tcPr>
            <w:tcW w:w="1243" w:type="dxa"/>
            <w:vAlign w:val="center"/>
          </w:tcPr>
          <w:p w14:paraId="4744A25F"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S10</w:t>
            </w:r>
          </w:p>
        </w:tc>
        <w:tc>
          <w:tcPr>
            <w:tcW w:w="2721" w:type="dxa"/>
            <w:vAlign w:val="center"/>
          </w:tcPr>
          <w:p w14:paraId="2F15F97E" w14:textId="608C0CED" w:rsidR="002B34DA" w:rsidRPr="007147B7" w:rsidRDefault="00000000" w:rsidP="005D4A2C">
            <w:pPr>
              <w:jc w:val="center"/>
              <w:rPr>
                <w:rFonts w:ascii="Times New Roman" w:eastAsiaTheme="minorEastAsia" w:hAnsi="Times New Roman" w:cs="Times New Roman"/>
                <w:sz w:val="22"/>
              </w:rPr>
            </w:pPr>
            <w:hyperlink r:id="rId33" w:tooltip="Go to Energy Storage Materials on ScienceDirect" w:history="1"/>
            <w:r w:rsidR="002B34DA" w:rsidRPr="007147B7">
              <w:rPr>
                <w:rFonts w:ascii="Times New Roman" w:hAnsi="Times New Roman" w:cs="Times New Roman"/>
                <w:sz w:val="22"/>
              </w:rPr>
              <w:t xml:space="preserve">Energy </w:t>
            </w:r>
            <w:proofErr w:type="spellStart"/>
            <w:r w:rsidR="002B34DA" w:rsidRPr="007147B7">
              <w:rPr>
                <w:rFonts w:ascii="Times New Roman" w:hAnsi="Times New Roman" w:cs="Times New Roman"/>
                <w:sz w:val="22"/>
              </w:rPr>
              <w:t>Stor</w:t>
            </w:r>
            <w:proofErr w:type="spellEnd"/>
            <w:r w:rsidR="002B34DA" w:rsidRPr="007147B7">
              <w:rPr>
                <w:rFonts w:ascii="Times New Roman" w:hAnsi="Times New Roman" w:cs="Times New Roman"/>
                <w:sz w:val="22"/>
              </w:rPr>
              <w:t>. Mater., 75, 104105 (2025)</w:t>
            </w:r>
          </w:p>
        </w:tc>
        <w:tc>
          <w:tcPr>
            <w:tcW w:w="1418" w:type="dxa"/>
            <w:vAlign w:val="center"/>
          </w:tcPr>
          <w:p w14:paraId="79112E96" w14:textId="77D8BEBB"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0.72</w:t>
            </w:r>
          </w:p>
        </w:tc>
        <w:tc>
          <w:tcPr>
            <w:tcW w:w="1416" w:type="dxa"/>
            <w:vAlign w:val="center"/>
          </w:tcPr>
          <w:p w14:paraId="23352C33" w14:textId="5119F595"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0.18</w:t>
            </w:r>
          </w:p>
        </w:tc>
        <w:tc>
          <w:tcPr>
            <w:tcW w:w="1522" w:type="dxa"/>
            <w:vAlign w:val="center"/>
          </w:tcPr>
          <w:p w14:paraId="49ED762C" w14:textId="6BEF3376"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0.18</w:t>
            </w:r>
          </w:p>
        </w:tc>
        <w:tc>
          <w:tcPr>
            <w:tcW w:w="1030" w:type="dxa"/>
            <w:vAlign w:val="center"/>
          </w:tcPr>
          <w:p w14:paraId="35DB4110" w14:textId="52962A01"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65</w:t>
            </w:r>
          </w:p>
        </w:tc>
      </w:tr>
      <w:tr w:rsidR="007147B7" w:rsidRPr="007147B7" w14:paraId="663029F3" w14:textId="77777777" w:rsidTr="00A42CFA">
        <w:trPr>
          <w:trHeight w:val="759"/>
        </w:trPr>
        <w:tc>
          <w:tcPr>
            <w:tcW w:w="1243" w:type="dxa"/>
            <w:vAlign w:val="center"/>
          </w:tcPr>
          <w:p w14:paraId="5A328414"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S</w:t>
            </w:r>
            <w:r w:rsidRPr="007147B7">
              <w:rPr>
                <w:rFonts w:ascii="Times New Roman" w:eastAsiaTheme="minorEastAsia" w:hAnsi="Times New Roman" w:cs="Times New Roman" w:hint="eastAsia"/>
                <w:sz w:val="24"/>
                <w:szCs w:val="24"/>
              </w:rPr>
              <w:t>1</w:t>
            </w:r>
            <w:r w:rsidRPr="007147B7">
              <w:rPr>
                <w:rFonts w:ascii="Times New Roman" w:eastAsiaTheme="minorEastAsia" w:hAnsi="Times New Roman" w:cs="Times New Roman"/>
                <w:sz w:val="24"/>
                <w:szCs w:val="24"/>
              </w:rPr>
              <w:t>1</w:t>
            </w:r>
          </w:p>
        </w:tc>
        <w:tc>
          <w:tcPr>
            <w:tcW w:w="2721" w:type="dxa"/>
            <w:vAlign w:val="center"/>
          </w:tcPr>
          <w:p w14:paraId="5F01EAC6" w14:textId="43F90205" w:rsidR="002B34DA" w:rsidRPr="007147B7" w:rsidRDefault="002B34DA" w:rsidP="005D4A2C">
            <w:pPr>
              <w:jc w:val="center"/>
              <w:rPr>
                <w:rFonts w:ascii="Times New Roman" w:eastAsiaTheme="minorEastAsia" w:hAnsi="Times New Roman" w:cs="Times New Roman"/>
                <w:sz w:val="22"/>
              </w:rPr>
            </w:pPr>
            <w:r w:rsidRPr="007147B7">
              <w:rPr>
                <w:rFonts w:ascii="Times New Roman" w:eastAsiaTheme="minorEastAsia" w:hAnsi="Times New Roman" w:cs="Times New Roman"/>
                <w:sz w:val="22"/>
              </w:rPr>
              <w:t xml:space="preserve">Nat. </w:t>
            </w:r>
            <w:proofErr w:type="spellStart"/>
            <w:r w:rsidRPr="007147B7">
              <w:rPr>
                <w:rFonts w:ascii="Times New Roman" w:eastAsiaTheme="minorEastAsia" w:hAnsi="Times New Roman" w:cs="Times New Roman"/>
                <w:sz w:val="22"/>
              </w:rPr>
              <w:t>Commun</w:t>
            </w:r>
            <w:proofErr w:type="spellEnd"/>
            <w:r w:rsidRPr="007147B7">
              <w:rPr>
                <w:rFonts w:ascii="Times New Roman" w:eastAsiaTheme="minorEastAsia" w:hAnsi="Times New Roman" w:cs="Times New Roman"/>
                <w:sz w:val="22"/>
              </w:rPr>
              <w:t>., 16, 10188 (2025)</w:t>
            </w:r>
          </w:p>
        </w:tc>
        <w:tc>
          <w:tcPr>
            <w:tcW w:w="1418" w:type="dxa"/>
            <w:vAlign w:val="center"/>
          </w:tcPr>
          <w:p w14:paraId="6798A344" w14:textId="42CF4B1D"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5.6</w:t>
            </w:r>
          </w:p>
        </w:tc>
        <w:tc>
          <w:tcPr>
            <w:tcW w:w="1416" w:type="dxa"/>
            <w:vAlign w:val="center"/>
          </w:tcPr>
          <w:p w14:paraId="65BC52C6" w14:textId="25817473"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0.56</w:t>
            </w:r>
          </w:p>
        </w:tc>
        <w:tc>
          <w:tcPr>
            <w:tcW w:w="1522" w:type="dxa"/>
            <w:vAlign w:val="center"/>
          </w:tcPr>
          <w:p w14:paraId="04C0656D" w14:textId="725D1C3E"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1.12</w:t>
            </w:r>
          </w:p>
        </w:tc>
        <w:tc>
          <w:tcPr>
            <w:tcW w:w="1030" w:type="dxa"/>
            <w:vAlign w:val="center"/>
          </w:tcPr>
          <w:p w14:paraId="63FFC4DC" w14:textId="791166C3"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100</w:t>
            </w:r>
          </w:p>
        </w:tc>
      </w:tr>
      <w:tr w:rsidR="007147B7" w:rsidRPr="007147B7" w14:paraId="2547E90B" w14:textId="77777777" w:rsidTr="00A42CFA">
        <w:trPr>
          <w:trHeight w:val="759"/>
        </w:trPr>
        <w:tc>
          <w:tcPr>
            <w:tcW w:w="1243" w:type="dxa"/>
            <w:vAlign w:val="center"/>
          </w:tcPr>
          <w:p w14:paraId="60C63D0C" w14:textId="77777777"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hint="eastAsia"/>
                <w:sz w:val="24"/>
                <w:szCs w:val="24"/>
              </w:rPr>
              <w:t>S</w:t>
            </w:r>
            <w:r w:rsidRPr="007147B7">
              <w:rPr>
                <w:rFonts w:ascii="Times New Roman" w:eastAsiaTheme="minorEastAsia" w:hAnsi="Times New Roman" w:cs="Times New Roman"/>
                <w:sz w:val="24"/>
                <w:szCs w:val="24"/>
              </w:rPr>
              <w:t>12</w:t>
            </w:r>
          </w:p>
        </w:tc>
        <w:tc>
          <w:tcPr>
            <w:tcW w:w="2721" w:type="dxa"/>
            <w:vAlign w:val="center"/>
          </w:tcPr>
          <w:p w14:paraId="3020D32C" w14:textId="775C4E01"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2"/>
              </w:rPr>
              <w:t xml:space="preserve">Adv. </w:t>
            </w:r>
            <w:proofErr w:type="spellStart"/>
            <w:r w:rsidRPr="007147B7">
              <w:rPr>
                <w:rFonts w:ascii="Times New Roman" w:eastAsiaTheme="minorEastAsia" w:hAnsi="Times New Roman" w:cs="Times New Roman"/>
                <w:sz w:val="22"/>
              </w:rPr>
              <w:t>Funct</w:t>
            </w:r>
            <w:proofErr w:type="spellEnd"/>
            <w:r w:rsidRPr="007147B7">
              <w:rPr>
                <w:rFonts w:ascii="Times New Roman" w:eastAsiaTheme="minorEastAsia" w:hAnsi="Times New Roman" w:cs="Times New Roman"/>
                <w:sz w:val="22"/>
              </w:rPr>
              <w:t>. Mater., 35, 2421802</w:t>
            </w:r>
            <w:r w:rsidR="005E6B37" w:rsidRPr="007147B7">
              <w:rPr>
                <w:rFonts w:ascii="Times New Roman" w:eastAsiaTheme="minorEastAsia" w:hAnsi="Times New Roman" w:cs="Times New Roman"/>
                <w:sz w:val="22"/>
              </w:rPr>
              <w:t xml:space="preserve"> </w:t>
            </w:r>
            <w:r w:rsidRPr="007147B7">
              <w:rPr>
                <w:rFonts w:ascii="Times New Roman" w:eastAsiaTheme="minorEastAsia" w:hAnsi="Times New Roman" w:cs="Times New Roman"/>
                <w:sz w:val="22"/>
              </w:rPr>
              <w:t>(2025)</w:t>
            </w:r>
          </w:p>
        </w:tc>
        <w:tc>
          <w:tcPr>
            <w:tcW w:w="1418" w:type="dxa"/>
            <w:vAlign w:val="center"/>
          </w:tcPr>
          <w:p w14:paraId="76520258" w14:textId="2D77140E"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3.3</w:t>
            </w:r>
          </w:p>
        </w:tc>
        <w:tc>
          <w:tcPr>
            <w:tcW w:w="1416" w:type="dxa"/>
            <w:vAlign w:val="center"/>
          </w:tcPr>
          <w:p w14:paraId="4330CF1F" w14:textId="4C492DDC"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0.66</w:t>
            </w:r>
          </w:p>
        </w:tc>
        <w:tc>
          <w:tcPr>
            <w:tcW w:w="1522" w:type="dxa"/>
            <w:vAlign w:val="center"/>
          </w:tcPr>
          <w:p w14:paraId="4286BA7E" w14:textId="2E71236B"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0.66</w:t>
            </w:r>
          </w:p>
        </w:tc>
        <w:tc>
          <w:tcPr>
            <w:tcW w:w="1030" w:type="dxa"/>
            <w:vAlign w:val="center"/>
          </w:tcPr>
          <w:p w14:paraId="45AD52A2" w14:textId="45689930" w:rsidR="002B34DA" w:rsidRPr="007147B7" w:rsidRDefault="002B34DA" w:rsidP="005D4A2C">
            <w:pPr>
              <w:jc w:val="center"/>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50</w:t>
            </w:r>
          </w:p>
        </w:tc>
      </w:tr>
    </w:tbl>
    <w:p w14:paraId="0164A458" w14:textId="3272D92D" w:rsidR="003C3CB9" w:rsidRDefault="005D4A2C" w:rsidP="009E3D5D">
      <w:pPr>
        <w:rPr>
          <w:rFonts w:ascii="Times New Roman" w:eastAsiaTheme="minorEastAsia" w:hAnsi="Times New Roman" w:cs="Times New Roman"/>
          <w:sz w:val="24"/>
          <w:szCs w:val="24"/>
        </w:rPr>
      </w:pPr>
      <w:r w:rsidRPr="007147B7">
        <w:rPr>
          <w:rFonts w:ascii="Times New Roman" w:eastAsiaTheme="minorEastAsia" w:hAnsi="Times New Roman" w:cs="Times New Roman"/>
          <w:b/>
          <w:bCs/>
          <w:sz w:val="24"/>
          <w:szCs w:val="24"/>
        </w:rPr>
        <w:t>Supplementary Table. 1</w:t>
      </w:r>
      <w:r w:rsidRPr="007147B7">
        <w:rPr>
          <w:rFonts w:ascii="Times New Roman" w:eastAsiaTheme="minorEastAsia" w:hAnsi="Times New Roman" w:cs="Times New Roman"/>
          <w:sz w:val="24"/>
          <w:szCs w:val="24"/>
        </w:rPr>
        <w:t xml:space="preserve"> Comparison of electrolytes benchmarked in pouch-cell level with electrolytes without excessive F-sources (F-additive or </w:t>
      </w:r>
      <w:proofErr w:type="spellStart"/>
      <w:r w:rsidRPr="007147B7">
        <w:rPr>
          <w:rFonts w:ascii="Times New Roman" w:eastAsiaTheme="minorEastAsia" w:hAnsi="Times New Roman" w:cs="Times New Roman"/>
          <w:sz w:val="24"/>
          <w:szCs w:val="24"/>
        </w:rPr>
        <w:t>perhalogenated</w:t>
      </w:r>
      <w:proofErr w:type="spellEnd"/>
      <w:r w:rsidRPr="007147B7">
        <w:rPr>
          <w:rFonts w:ascii="Times New Roman" w:eastAsiaTheme="minorEastAsia" w:hAnsi="Times New Roman" w:cs="Times New Roman"/>
          <w:sz w:val="24"/>
          <w:szCs w:val="24"/>
        </w:rPr>
        <w:t xml:space="preserve"> solvents).</w:t>
      </w:r>
    </w:p>
    <w:p w14:paraId="7B025D87" w14:textId="77777777" w:rsidR="003C3CB9" w:rsidRDefault="003C3CB9">
      <w:pPr>
        <w:widowControl/>
        <w:wordWrap/>
        <w:autoSpaceDE/>
        <w:autoSpaceDN/>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24CAEE25" w14:textId="7C2DA31E" w:rsidR="003C3CB9" w:rsidRPr="00D75502" w:rsidRDefault="003C3CB9" w:rsidP="003C3CB9">
      <w:pPr>
        <w:widowControl/>
        <w:wordWrap/>
        <w:autoSpaceDE/>
        <w:autoSpaceDN/>
        <w:spacing w:line="360" w:lineRule="auto"/>
        <w:rPr>
          <w:rFonts w:ascii="Times New Roman" w:eastAsiaTheme="minorEastAsia" w:hAnsi="Times New Roman" w:cs="Times New Roman"/>
          <w:b/>
          <w:sz w:val="24"/>
          <w:szCs w:val="24"/>
        </w:rPr>
      </w:pPr>
      <w:r w:rsidRPr="00D75502">
        <w:rPr>
          <w:rFonts w:ascii="Times New Roman" w:eastAsiaTheme="minorEastAsia" w:hAnsi="Times New Roman" w:cs="Times New Roman" w:hint="eastAsia"/>
          <w:b/>
          <w:sz w:val="24"/>
          <w:szCs w:val="24"/>
        </w:rPr>
        <w:lastRenderedPageBreak/>
        <w:t>S</w:t>
      </w:r>
      <w:r w:rsidRPr="00D75502">
        <w:rPr>
          <w:rFonts w:ascii="Times New Roman" w:eastAsiaTheme="minorEastAsia" w:hAnsi="Times New Roman" w:cs="Times New Roman"/>
          <w:b/>
          <w:sz w:val="24"/>
          <w:szCs w:val="24"/>
        </w:rPr>
        <w:t>upplementary Note 1: Molecular</w:t>
      </w:r>
      <w:r w:rsidR="00DD54C0">
        <w:rPr>
          <w:rFonts w:ascii="Times New Roman" w:eastAsiaTheme="minorEastAsia" w:hAnsi="Times New Roman" w:cs="Times New Roman"/>
          <w:b/>
          <w:sz w:val="24"/>
          <w:szCs w:val="24"/>
        </w:rPr>
        <w:t>-</w:t>
      </w:r>
      <w:r w:rsidRPr="00D75502">
        <w:rPr>
          <w:rFonts w:ascii="Times New Roman" w:eastAsiaTheme="minorEastAsia" w:hAnsi="Times New Roman" w:cs="Times New Roman"/>
          <w:b/>
          <w:sz w:val="24"/>
          <w:szCs w:val="24"/>
        </w:rPr>
        <w:t>level metallization process</w:t>
      </w:r>
    </w:p>
    <w:p w14:paraId="3773F00F" w14:textId="38F8796B" w:rsidR="001B2DC6" w:rsidRDefault="00DD54C0" w:rsidP="003C3CB9">
      <w:pPr>
        <w:widowControl/>
        <w:wordWrap/>
        <w:autoSpaceDE/>
        <w:autoSpaceDN/>
        <w:spacing w:line="360" w:lineRule="auto"/>
        <w:rPr>
          <w:rFonts w:ascii="Times New Roman" w:eastAsia="Yu Mincho" w:hAnsi="Times New Roman" w:cs="Times New Roman"/>
          <w:bCs/>
          <w:sz w:val="24"/>
          <w:szCs w:val="24"/>
        </w:rPr>
      </w:pPr>
      <w:r w:rsidRPr="00DD54C0">
        <w:rPr>
          <w:rFonts w:ascii="Times New Roman" w:eastAsia="Yu Mincho" w:hAnsi="Times New Roman" w:cs="Times New Roman"/>
          <w:bCs/>
          <w:sz w:val="24"/>
          <w:szCs w:val="24"/>
        </w:rPr>
        <w:t>Our molecular dynamics simulations provide molecular-scale insights into the metallization process of solvated Li</w:t>
      </w:r>
      <w:r w:rsidRPr="00DD54C0">
        <w:rPr>
          <w:rFonts w:ascii="Times New Roman" w:eastAsia="Yu Mincho" w:hAnsi="Times New Roman" w:cs="Times New Roman"/>
          <w:bCs/>
          <w:sz w:val="24"/>
          <w:szCs w:val="24"/>
          <w:vertAlign w:val="superscript"/>
        </w:rPr>
        <w:t>+</w:t>
      </w:r>
      <w:r w:rsidRPr="00DD54C0">
        <w:rPr>
          <w:rFonts w:ascii="Times New Roman" w:eastAsia="Yu Mincho" w:hAnsi="Times New Roman" w:cs="Times New Roman"/>
          <w:bCs/>
          <w:sz w:val="24"/>
          <w:szCs w:val="24"/>
        </w:rPr>
        <w:t>.</w:t>
      </w:r>
      <w:r>
        <w:rPr>
          <w:rFonts w:ascii="Times New Roman" w:eastAsia="Yu Mincho" w:hAnsi="Times New Roman" w:cs="Times New Roman"/>
          <w:bCs/>
          <w:color w:val="00B050"/>
          <w:sz w:val="24"/>
          <w:szCs w:val="24"/>
        </w:rPr>
        <w:t xml:space="preserve"> </w:t>
      </w:r>
      <w:r w:rsidR="003C3CB9" w:rsidRPr="00CA165D">
        <w:rPr>
          <w:rFonts w:ascii="Times New Roman" w:eastAsia="Yu Mincho" w:hAnsi="Times New Roman" w:cs="Times New Roman"/>
          <w:bCs/>
          <w:sz w:val="24"/>
          <w:szCs w:val="24"/>
        </w:rPr>
        <w:t>First, solvated Li</w:t>
      </w:r>
      <w:r w:rsidR="003C3CB9" w:rsidRPr="00CA165D">
        <w:rPr>
          <w:rFonts w:ascii="Times New Roman" w:eastAsia="Yu Mincho" w:hAnsi="Times New Roman" w:cs="Times New Roman"/>
          <w:bCs/>
          <w:sz w:val="24"/>
          <w:szCs w:val="24"/>
          <w:vertAlign w:val="superscript"/>
        </w:rPr>
        <w:t>+</w:t>
      </w:r>
      <w:r w:rsidR="003C3CB9" w:rsidRPr="00CA165D">
        <w:rPr>
          <w:rFonts w:ascii="Times New Roman" w:eastAsia="Yu Mincho" w:hAnsi="Times New Roman" w:cs="Times New Roman"/>
          <w:bCs/>
          <w:sz w:val="24"/>
          <w:szCs w:val="24"/>
        </w:rPr>
        <w:t xml:space="preserve"> adsorbed in the outer-sphere configuration partially lose their solvation shells through structural deformation of the coordination environment. Such deformation and partial dissociation of the solvation shell during the outer-sphere adsorption stage are well-known initial steps governing ion adsorption and interfacial penetration processes.</w:t>
      </w:r>
      <w:r w:rsidRPr="00DD54C0">
        <w:rPr>
          <w:rFonts w:ascii="Times New Roman" w:eastAsia="Yu Mincho" w:hAnsi="Times New Roman" w:cs="Times New Roman"/>
          <w:bCs/>
          <w:sz w:val="24"/>
          <w:szCs w:val="24"/>
          <w:vertAlign w:val="superscript"/>
        </w:rPr>
        <w:t>S13</w:t>
      </w:r>
      <w:r w:rsidR="003C3CB9" w:rsidRPr="00CA165D">
        <w:rPr>
          <w:rFonts w:ascii="Times New Roman" w:eastAsia="Yu Mincho" w:hAnsi="Times New Roman" w:cs="Times New Roman"/>
          <w:bCs/>
          <w:sz w:val="24"/>
          <w:szCs w:val="24"/>
        </w:rPr>
        <w:t xml:space="preserve"> When ions approach the electrode surface and direct contact is made between the ions and the electrode without insulating solvent molecules, redox conversion of Li</w:t>
      </w:r>
      <w:r w:rsidR="003C3CB9" w:rsidRPr="00CA165D">
        <w:rPr>
          <w:rFonts w:ascii="Times New Roman" w:eastAsia="Yu Mincho" w:hAnsi="Times New Roman" w:cs="Times New Roman"/>
          <w:bCs/>
          <w:sz w:val="24"/>
          <w:szCs w:val="24"/>
          <w:vertAlign w:val="superscript"/>
        </w:rPr>
        <w:t>+</w:t>
      </w:r>
      <w:r w:rsidR="003C3CB9" w:rsidRPr="00CA165D">
        <w:rPr>
          <w:rFonts w:ascii="Times New Roman" w:eastAsia="Yu Mincho" w:hAnsi="Times New Roman" w:cs="Times New Roman"/>
          <w:bCs/>
          <w:sz w:val="24"/>
          <w:szCs w:val="24"/>
        </w:rPr>
        <w:t xml:space="preserve"> occurs. This causes a structural rearrangement of metallized lithium atoms at the interface and is completed in the form of lithium plating. During the process, anions are repelled from the surface due to Coulombic repulsion with accumulated interfacial electrons, consistent with previous reports.</w:t>
      </w:r>
      <w:r w:rsidRPr="00DD54C0">
        <w:rPr>
          <w:rFonts w:ascii="Times New Roman" w:eastAsia="Yu Mincho" w:hAnsi="Times New Roman" w:cs="Times New Roman"/>
          <w:bCs/>
          <w:sz w:val="24"/>
          <w:szCs w:val="24"/>
          <w:vertAlign w:val="superscript"/>
        </w:rPr>
        <w:t>S</w:t>
      </w:r>
      <w:r>
        <w:rPr>
          <w:rFonts w:ascii="Times New Roman" w:eastAsia="Yu Mincho" w:hAnsi="Times New Roman" w:cs="Times New Roman"/>
          <w:bCs/>
          <w:sz w:val="24"/>
          <w:szCs w:val="24"/>
          <w:vertAlign w:val="superscript"/>
        </w:rPr>
        <w:t>4</w:t>
      </w:r>
      <w:r w:rsidR="003C3CB9" w:rsidRPr="00CA165D">
        <w:rPr>
          <w:rFonts w:ascii="Times New Roman" w:eastAsia="Yu Mincho" w:hAnsi="Times New Roman" w:cs="Times New Roman"/>
          <w:bCs/>
          <w:sz w:val="24"/>
          <w:szCs w:val="24"/>
        </w:rPr>
        <w:t xml:space="preserve"> These results suggest what the structural properties of the solvation shell should be for efficient lithium plating. The shell must be mechanically flexible enough to facilitate ion adsorption, while simultaneously possessing chemically weak ion–solvent interactions that enable facile desolvation.</w:t>
      </w:r>
      <w:r w:rsidRPr="00DD54C0">
        <w:rPr>
          <w:rFonts w:ascii="Times New Roman" w:eastAsia="Yu Mincho" w:hAnsi="Times New Roman" w:cs="Times New Roman"/>
          <w:bCs/>
          <w:sz w:val="24"/>
          <w:szCs w:val="24"/>
          <w:vertAlign w:val="superscript"/>
        </w:rPr>
        <w:t>S1</w:t>
      </w:r>
      <w:r w:rsidR="007904C5">
        <w:rPr>
          <w:rFonts w:ascii="Times New Roman" w:eastAsia="Yu Mincho" w:hAnsi="Times New Roman" w:cs="Times New Roman"/>
          <w:bCs/>
          <w:sz w:val="24"/>
          <w:szCs w:val="24"/>
          <w:vertAlign w:val="superscript"/>
        </w:rPr>
        <w:t>4</w:t>
      </w:r>
    </w:p>
    <w:p w14:paraId="181EBCB6" w14:textId="5BDFE57E" w:rsidR="003C3CB9" w:rsidRPr="00CA165D" w:rsidRDefault="003C3CB9" w:rsidP="003C3CB9">
      <w:pPr>
        <w:widowControl/>
        <w:wordWrap/>
        <w:autoSpaceDE/>
        <w:autoSpaceDN/>
        <w:spacing w:line="360" w:lineRule="auto"/>
        <w:rPr>
          <w:rFonts w:ascii="Times New Roman" w:eastAsiaTheme="minorEastAsia" w:hAnsi="Times New Roman" w:cs="Times New Roman"/>
          <w:b/>
          <w:bCs/>
          <w:sz w:val="24"/>
          <w:szCs w:val="24"/>
        </w:rPr>
      </w:pPr>
      <w:r w:rsidRPr="00CA165D">
        <w:rPr>
          <w:rFonts w:ascii="Times New Roman" w:eastAsiaTheme="minorEastAsia" w:hAnsi="Times New Roman" w:cs="Times New Roman"/>
          <w:b/>
          <w:bCs/>
          <w:sz w:val="24"/>
          <w:szCs w:val="24"/>
        </w:rPr>
        <w:br w:type="page"/>
      </w:r>
    </w:p>
    <w:p w14:paraId="6E3A5F97" w14:textId="77777777" w:rsidR="003C3CB9" w:rsidRPr="007147B7" w:rsidRDefault="003C3CB9" w:rsidP="003C3CB9">
      <w:pPr>
        <w:spacing w:line="360" w:lineRule="auto"/>
        <w:rPr>
          <w:rFonts w:ascii="Times New Roman" w:eastAsiaTheme="minorEastAsia" w:hAnsi="Times New Roman" w:cs="Times New Roman"/>
          <w:b/>
          <w:bCs/>
          <w:sz w:val="24"/>
          <w:szCs w:val="24"/>
        </w:rPr>
      </w:pPr>
      <w:r w:rsidRPr="007147B7">
        <w:rPr>
          <w:rFonts w:ascii="Times New Roman" w:eastAsiaTheme="minorEastAsia" w:hAnsi="Times New Roman" w:cs="Times New Roman"/>
          <w:b/>
          <w:bCs/>
          <w:sz w:val="24"/>
          <w:szCs w:val="24"/>
        </w:rPr>
        <w:lastRenderedPageBreak/>
        <w:t xml:space="preserve">Supplementary note </w:t>
      </w:r>
      <w:r>
        <w:rPr>
          <w:rFonts w:ascii="Times New Roman" w:eastAsiaTheme="minorEastAsia" w:hAnsi="Times New Roman" w:cs="Times New Roman"/>
          <w:b/>
          <w:bCs/>
          <w:sz w:val="24"/>
          <w:szCs w:val="24"/>
        </w:rPr>
        <w:t>2</w:t>
      </w:r>
      <w:r w:rsidRPr="007147B7">
        <w:rPr>
          <w:rFonts w:ascii="Times New Roman" w:eastAsiaTheme="minorEastAsia" w:hAnsi="Times New Roman" w:cs="Times New Roman"/>
          <w:b/>
          <w:bCs/>
          <w:sz w:val="24"/>
          <w:szCs w:val="24"/>
        </w:rPr>
        <w:t>: Structural mechanical indices of solvation shell</w:t>
      </w:r>
    </w:p>
    <w:p w14:paraId="50721D04" w14:textId="77777777" w:rsidR="003C3CB9" w:rsidRPr="007147B7" w:rsidRDefault="003C3CB9" w:rsidP="003C3CB9">
      <w:pPr>
        <w:spacing w:line="360" w:lineRule="auto"/>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Following the structural mechanics concept of solvation shell, three energy indices for characterizing inner-sphere adsorption preference were calculated as follows:</w:t>
      </w:r>
    </w:p>
    <w:p w14:paraId="44CFF15A" w14:textId="77777777" w:rsidR="003C3CB9" w:rsidRPr="007147B7" w:rsidRDefault="00000000" w:rsidP="003C3CB9">
      <w:pPr>
        <w:spacing w:line="360" w:lineRule="auto"/>
        <w:jc w:val="right"/>
        <w:rPr>
          <w:rFonts w:ascii="Times New Roman" w:eastAsiaTheme="minorEastAsia" w:hAnsi="Times New Roman" w:cs="Times New Roman"/>
          <w:sz w:val="24"/>
          <w:szCs w:val="24"/>
        </w:rPr>
      </w:pP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l</m:t>
            </m:r>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X</m:t>
                </m:r>
              </m:e>
            </m:d>
          </m:sub>
        </m:sSub>
        <m:r>
          <w:rPr>
            <w:rFonts w:ascii="Cambria Math" w:eastAsiaTheme="minorEastAsia" w:hAnsi="Cambria Math" w:cs="Times New Roman"/>
            <w:sz w:val="24"/>
            <w:szCs w:val="24"/>
          </w:rPr>
          <m:t>(i)-(</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X</m:t>
            </m:r>
          </m:sub>
        </m:sSub>
        <m:r>
          <w:rPr>
            <w:rFonts w:ascii="Cambria Math" w:eastAsiaTheme="minorEastAsia" w:hAnsi="Cambria Math" w:cs="Times New Roman"/>
            <w:sz w:val="24"/>
            <w:szCs w:val="24"/>
          </w:rPr>
          <m:t>(i))</m:t>
        </m:r>
      </m:oMath>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t>Eq. (S1)</w:t>
      </w:r>
    </w:p>
    <w:p w14:paraId="786AEDCC" w14:textId="77777777" w:rsidR="003C3CB9" w:rsidRPr="007147B7" w:rsidRDefault="00000000" w:rsidP="003C3CB9">
      <w:pPr>
        <w:spacing w:line="360" w:lineRule="auto"/>
        <w:jc w:val="right"/>
        <w:rPr>
          <w:rFonts w:ascii="Times New Roman" w:eastAsiaTheme="minorEastAsia" w:hAnsi="Times New Roman" w:cs="Times New Roman"/>
          <w:sz w:val="24"/>
          <w:szCs w:val="24"/>
        </w:rPr>
      </w:pP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N</m:t>
                </m:r>
              </m:sub>
            </m:sSub>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sSub>
              <m:sSubPr>
                <m:ctrlPr>
                  <w:rPr>
                    <w:rFonts w:ascii="Cambria Math" w:eastAsiaTheme="minorEastAsia" w:hAnsi="Cambria Math" w:cs="Times New Roman"/>
                    <w:i/>
                    <w:iCs/>
                    <w:sz w:val="24"/>
                    <w:szCs w:val="24"/>
                  </w:rPr>
                </m:ctrlPr>
              </m:sSubPr>
              <m:e>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X</m:t>
                    </m:r>
                  </m:e>
                </m:d>
              </m:e>
              <m:sub>
                <m:r>
                  <w:rPr>
                    <w:rFonts w:ascii="Cambria Math" w:eastAsiaTheme="minorEastAsia" w:hAnsi="Cambria Math" w:cs="Times New Roman"/>
                    <w:sz w:val="24"/>
                    <w:szCs w:val="24"/>
                  </w:rPr>
                  <m:t>N-1</m:t>
                </m:r>
              </m:sub>
            </m:sSub>
          </m:sub>
        </m:sSub>
        <m:r>
          <w:rPr>
            <w:rFonts w:ascii="Cambria Math" w:eastAsiaTheme="minorEastAsia" w:hAnsi="Cambria Math" w:cs="Times New Roman"/>
            <w:sz w:val="24"/>
            <w:szCs w:val="24"/>
          </w:rPr>
          <m:t>(i)+</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X</m:t>
            </m:r>
          </m:sub>
        </m:sSub>
        <m:r>
          <w:rPr>
            <w:rFonts w:ascii="Cambria Math" w:eastAsiaTheme="minorEastAsia" w:hAnsi="Cambria Math" w:cs="Times New Roman"/>
            <w:sz w:val="24"/>
            <w:szCs w:val="24"/>
          </w:rPr>
          <m:t>(i))</m:t>
        </m:r>
      </m:oMath>
      <w:r w:rsidR="003C3CB9" w:rsidRPr="007147B7">
        <w:rPr>
          <w:rFonts w:ascii="Times New Roman" w:eastAsiaTheme="minorEastAsia" w:hAnsi="Times New Roman" w:cs="Times New Roman"/>
          <w:sz w:val="24"/>
          <w:szCs w:val="24"/>
        </w:rPr>
        <w:tab/>
        <w:t xml:space="preserve">       </w:t>
      </w:r>
      <w:r w:rsidR="003C3CB9" w:rsidRPr="007147B7">
        <w:rPr>
          <w:rFonts w:ascii="Times New Roman" w:eastAsiaTheme="minorEastAsia" w:hAnsi="Times New Roman" w:cs="Times New Roman"/>
          <w:sz w:val="24"/>
          <w:szCs w:val="24"/>
        </w:rPr>
        <w:tab/>
        <w:t>Eq. (S2)</w:t>
      </w:r>
    </w:p>
    <w:p w14:paraId="39319EB9" w14:textId="77777777" w:rsidR="003C3CB9" w:rsidRPr="007147B7" w:rsidRDefault="00000000" w:rsidP="003C3CB9">
      <w:pPr>
        <w:spacing w:line="360" w:lineRule="auto"/>
        <w:jc w:val="right"/>
        <w:rPr>
          <w:rFonts w:ascii="Times New Roman" w:eastAsiaTheme="minorEastAsia" w:hAnsi="Times New Roman" w:cs="Times New Roman"/>
          <w:sz w:val="24"/>
          <w:szCs w:val="24"/>
        </w:rPr>
      </w:pP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r</m:t>
            </m:r>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l</m:t>
            </m:r>
          </m:sub>
        </m:sSub>
      </m:oMath>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r>
      <w:r w:rsidR="003C3CB9" w:rsidRPr="007147B7">
        <w:rPr>
          <w:rFonts w:ascii="Times New Roman" w:eastAsiaTheme="minorEastAsia" w:hAnsi="Times New Roman" w:cs="Times New Roman"/>
          <w:sz w:val="24"/>
          <w:szCs w:val="24"/>
        </w:rPr>
        <w:tab/>
        <w:t>Eq. (S3)</w:t>
      </w:r>
    </w:p>
    <w:p w14:paraId="3FA30389" w14:textId="77777777" w:rsidR="003C3CB9" w:rsidRPr="007147B7" w:rsidRDefault="003C3CB9" w:rsidP="003C3CB9">
      <w:pPr>
        <w:spacing w:line="360" w:lineRule="auto"/>
        <w:rPr>
          <w:rFonts w:ascii="Times New Roman" w:eastAsiaTheme="minorEastAsia" w:hAnsi="Times New Roman" w:cs="Times New Roman"/>
          <w:sz w:val="24"/>
          <w:szCs w:val="24"/>
        </w:rPr>
      </w:pPr>
      <w:r w:rsidRPr="007147B7">
        <w:rPr>
          <w:rFonts w:ascii="Times New Roman" w:eastAsiaTheme="minorEastAsia" w:hAnsi="Times New Roman" w:cs="Times New Roman"/>
          <w:sz w:val="24"/>
          <w:szCs w:val="24"/>
        </w:rPr>
        <w:t xml:space="preserve">where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X</m:t>
                </m:r>
              </m:e>
            </m:d>
          </m:sub>
        </m:sSub>
        <m:r>
          <w:rPr>
            <w:rFonts w:ascii="Cambria Math" w:eastAsiaTheme="minorEastAsia" w:hAnsi="Cambria Math" w:cs="Times New Roman"/>
            <w:sz w:val="24"/>
            <w:szCs w:val="24"/>
          </w:rPr>
          <m:t>(i)</m:t>
        </m:r>
      </m:oMath>
      <w:r w:rsidRPr="007147B7">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sub>
        </m:sSub>
      </m:oMath>
      <w:r w:rsidRPr="007147B7">
        <w:rPr>
          <w:rFonts w:ascii="Times New Roman" w:eastAsiaTheme="minorEastAsia" w:hAnsi="Times New Roman" w:cs="Times New Roman"/>
          <w:sz w:val="24"/>
          <w:szCs w:val="24"/>
        </w:rPr>
        <w:t xml:space="preserve">, and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X</m:t>
            </m:r>
          </m:sub>
        </m:sSub>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i</m:t>
            </m:r>
          </m:e>
        </m:d>
      </m:oMath>
      <w:r w:rsidRPr="007147B7">
        <w:rPr>
          <w:rFonts w:ascii="Times New Roman" w:eastAsiaTheme="minorEastAsia" w:hAnsi="Times New Roman" w:cs="Times New Roman"/>
          <w:sz w:val="24"/>
          <w:szCs w:val="24"/>
        </w:rPr>
        <w:t>, are the potential energy of ion(</w:t>
      </w:r>
      <m:oMath>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oMath>
      <w:r w:rsidRPr="007147B7">
        <w:rPr>
          <w:rFonts w:ascii="Times New Roman" w:eastAsiaTheme="minorEastAsia" w:hAnsi="Times New Roman" w:cs="Times New Roman"/>
          <w:sz w:val="24"/>
          <w:szCs w:val="24"/>
        </w:rPr>
        <w:t xml:space="preserve">) – </w:t>
      </w:r>
      <m:oMath>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i</m:t>
            </m:r>
          </m:e>
          <m:sup>
            <m:r>
              <w:rPr>
                <w:rFonts w:ascii="Cambria Math" w:eastAsiaTheme="minorEastAsia" w:hAnsi="Cambria Math" w:cs="Times New Roman"/>
                <w:sz w:val="24"/>
                <w:szCs w:val="24"/>
              </w:rPr>
              <m:t>th</m:t>
            </m:r>
          </m:sup>
        </m:sSup>
        <m:r>
          <w:rPr>
            <w:rFonts w:ascii="Cambria Math" w:eastAsiaTheme="minorEastAsia" w:hAnsi="Cambria Math" w:cs="Times New Roman"/>
            <w:sz w:val="24"/>
            <w:szCs w:val="24"/>
          </w:rPr>
          <m:t> </m:t>
        </m:r>
      </m:oMath>
      <w:r w:rsidRPr="007147B7">
        <w:rPr>
          <w:rFonts w:ascii="Times New Roman" w:eastAsiaTheme="minorEastAsia" w:hAnsi="Times New Roman" w:cs="Times New Roman"/>
          <w:sz w:val="24"/>
          <w:szCs w:val="24"/>
        </w:rPr>
        <w:t xml:space="preserve">ligand </w:t>
      </w:r>
      <w:r w:rsidRPr="007147B7">
        <w:rPr>
          <w:rFonts w:ascii="Times New Roman" w:eastAsiaTheme="minorEastAsia" w:hAnsi="Times New Roman" w:cs="Times New Roman"/>
          <w:i/>
          <w:iCs/>
          <w:sz w:val="24"/>
          <w:szCs w:val="24"/>
        </w:rPr>
        <w:t>X</w:t>
      </w:r>
      <w:r w:rsidRPr="007147B7">
        <w:rPr>
          <w:rFonts w:ascii="Times New Roman" w:eastAsiaTheme="minorEastAsia" w:hAnsi="Times New Roman" w:cs="Times New Roman"/>
          <w:sz w:val="24"/>
          <w:szCs w:val="24"/>
        </w:rPr>
        <w:t xml:space="preserve"> dimer (</w:t>
      </w:r>
      <w:r w:rsidRPr="007147B7">
        <w:rPr>
          <w:rFonts w:ascii="Times New Roman" w:eastAsiaTheme="minorEastAsia" w:hAnsi="Times New Roman" w:cs="Times New Roman"/>
          <w:i/>
          <w:iCs/>
          <w:sz w:val="24"/>
          <w:szCs w:val="24"/>
        </w:rPr>
        <w:t>X</w:t>
      </w:r>
      <w:r w:rsidRPr="007147B7">
        <w:rPr>
          <w:rFonts w:ascii="Times New Roman" w:eastAsiaTheme="minorEastAsia" w:hAnsi="Times New Roman" w:cs="Times New Roman"/>
          <w:sz w:val="24"/>
          <w:szCs w:val="24"/>
        </w:rPr>
        <w:t>=DME, THP, FSI), isolated ion (</w:t>
      </w:r>
      <m:oMath>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oMath>
      <w:r w:rsidRPr="007147B7">
        <w:rPr>
          <w:rFonts w:ascii="Times New Roman" w:eastAsiaTheme="minorEastAsia" w:hAnsi="Times New Roman" w:cs="Times New Roman"/>
          <w:sz w:val="24"/>
          <w:szCs w:val="24"/>
        </w:rPr>
        <w:t xml:space="preserve"> = Li</w:t>
      </w:r>
      <w:r w:rsidRPr="007147B7">
        <w:rPr>
          <w:rFonts w:ascii="Times New Roman" w:eastAsiaTheme="minorEastAsia" w:hAnsi="Times New Roman" w:cs="Times New Roman"/>
          <w:sz w:val="24"/>
          <w:szCs w:val="24"/>
          <w:vertAlign w:val="superscript"/>
        </w:rPr>
        <w:t>+</w:t>
      </w:r>
      <w:r w:rsidRPr="007147B7">
        <w:rPr>
          <w:rFonts w:ascii="Times New Roman" w:eastAsiaTheme="minorEastAsia" w:hAnsi="Times New Roman" w:cs="Times New Roman"/>
          <w:sz w:val="24"/>
          <w:szCs w:val="24"/>
        </w:rPr>
        <w:t xml:space="preserve"> ), and </w:t>
      </w:r>
      <m:oMath>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i</m:t>
            </m:r>
          </m:e>
          <m:sup>
            <m:r>
              <w:rPr>
                <w:rFonts w:ascii="Cambria Math" w:eastAsiaTheme="minorEastAsia" w:hAnsi="Cambria Math" w:cs="Times New Roman"/>
                <w:sz w:val="24"/>
                <w:szCs w:val="24"/>
              </w:rPr>
              <m:t>th</m:t>
            </m:r>
          </m:sup>
        </m:sSup>
        <m:r>
          <w:rPr>
            <w:rFonts w:ascii="Cambria Math" w:eastAsiaTheme="minorEastAsia" w:hAnsi="Cambria Math" w:cs="Times New Roman"/>
            <w:sz w:val="24"/>
            <w:szCs w:val="24"/>
          </w:rPr>
          <m:t> </m:t>
        </m:r>
      </m:oMath>
      <w:r w:rsidRPr="007147B7">
        <w:rPr>
          <w:rFonts w:ascii="Times New Roman" w:eastAsiaTheme="minorEastAsia" w:hAnsi="Times New Roman" w:cs="Times New Roman"/>
          <w:sz w:val="24"/>
          <w:szCs w:val="24"/>
        </w:rPr>
        <w:t xml:space="preserve">ligand </w:t>
      </w:r>
      <w:r w:rsidRPr="007147B7">
        <w:rPr>
          <w:rFonts w:ascii="Times New Roman" w:eastAsiaTheme="minorEastAsia" w:hAnsi="Times New Roman" w:cs="Times New Roman"/>
          <w:i/>
          <w:iCs/>
          <w:sz w:val="24"/>
          <w:szCs w:val="24"/>
        </w:rPr>
        <w:t>X</w:t>
      </w:r>
      <w:r w:rsidRPr="007147B7">
        <w:rPr>
          <w:rFonts w:ascii="Times New Roman" w:eastAsiaTheme="minorEastAsia" w:hAnsi="Times New Roman" w:cs="Times New Roman"/>
          <w:sz w:val="24"/>
          <w:szCs w:val="24"/>
        </w:rPr>
        <w:t xml:space="preserve">, respectively;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N</m:t>
                </m:r>
              </m:sub>
            </m:sSub>
          </m:sub>
        </m:sSub>
      </m:oMath>
      <w:r w:rsidRPr="007147B7">
        <w:rPr>
          <w:rFonts w:ascii="Times New Roman" w:eastAsiaTheme="minorEastAsia" w:hAnsi="Times New Roman" w:cs="Times New Roman"/>
          <w:sz w:val="24"/>
          <w:szCs w:val="24"/>
        </w:rPr>
        <w:t xml:space="preserve">, and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q</m:t>
                </m:r>
              </m:sup>
            </m:sSup>
            <m:sSub>
              <m:sSubPr>
                <m:ctrlPr>
                  <w:rPr>
                    <w:rFonts w:ascii="Cambria Math" w:eastAsiaTheme="minorEastAsia" w:hAnsi="Cambria Math" w:cs="Times New Roman"/>
                    <w:i/>
                    <w:iCs/>
                    <w:sz w:val="24"/>
                    <w:szCs w:val="24"/>
                  </w:rPr>
                </m:ctrlPr>
              </m:sSubPr>
              <m:e>
                <m:d>
                  <m:dPr>
                    <m:ctrlPr>
                      <w:rPr>
                        <w:rFonts w:ascii="Cambria Math" w:eastAsiaTheme="minorEastAsia" w:hAnsi="Cambria Math" w:cs="Times New Roman"/>
                        <w:i/>
                        <w:iCs/>
                        <w:sz w:val="24"/>
                        <w:szCs w:val="24"/>
                      </w:rPr>
                    </m:ctrlPr>
                  </m:dPr>
                  <m:e>
                    <m:r>
                      <w:rPr>
                        <w:rFonts w:ascii="Cambria Math" w:eastAsiaTheme="minorEastAsia" w:hAnsi="Cambria Math" w:cs="Times New Roman"/>
                        <w:sz w:val="24"/>
                        <w:szCs w:val="24"/>
                      </w:rPr>
                      <m:t>X</m:t>
                    </m:r>
                  </m:e>
                </m:d>
              </m:e>
              <m:sub>
                <m:r>
                  <w:rPr>
                    <w:rFonts w:ascii="Cambria Math" w:eastAsiaTheme="minorEastAsia" w:hAnsi="Cambria Math" w:cs="Times New Roman"/>
                    <w:sz w:val="24"/>
                    <w:szCs w:val="24"/>
                  </w:rPr>
                  <m:t>N-1</m:t>
                </m:r>
              </m:sub>
            </m:sSub>
          </m:sub>
        </m:sSub>
        <m:r>
          <w:rPr>
            <w:rFonts w:ascii="Cambria Math" w:eastAsiaTheme="minorEastAsia" w:hAnsi="Cambria Math" w:cs="Times New Roman"/>
            <w:sz w:val="24"/>
            <w:szCs w:val="24"/>
          </w:rPr>
          <m:t>(i)</m:t>
        </m:r>
      </m:oMath>
      <w:r w:rsidRPr="007147B7">
        <w:rPr>
          <w:rFonts w:ascii="Times New Roman" w:eastAsiaTheme="minorEastAsia" w:hAnsi="Times New Roman" w:cs="Times New Roman"/>
          <w:sz w:val="24"/>
          <w:szCs w:val="24"/>
        </w:rPr>
        <w:t xml:space="preserve"> are the potential energy of fully solvated ion cluster and incomplete complex structure with </w:t>
      </w:r>
      <m:oMath>
        <m:sSup>
          <m:sSupPr>
            <m:ctrlPr>
              <w:rPr>
                <w:rFonts w:ascii="Cambria Math" w:eastAsiaTheme="minorEastAsia" w:hAnsi="Cambria Math" w:cs="Times New Roman"/>
                <w:i/>
                <w:iCs/>
                <w:sz w:val="24"/>
                <w:szCs w:val="24"/>
              </w:rPr>
            </m:ctrlPr>
          </m:sSupPr>
          <m:e>
            <m:r>
              <w:rPr>
                <w:rFonts w:ascii="Cambria Math" w:eastAsiaTheme="minorEastAsia" w:hAnsi="Cambria Math" w:cs="Times New Roman"/>
                <w:sz w:val="24"/>
                <w:szCs w:val="24"/>
              </w:rPr>
              <m:t>i</m:t>
            </m:r>
          </m:e>
          <m:sup>
            <m:r>
              <w:rPr>
                <w:rFonts w:ascii="Cambria Math" w:eastAsiaTheme="minorEastAsia" w:hAnsi="Cambria Math" w:cs="Times New Roman"/>
                <w:sz w:val="24"/>
                <w:szCs w:val="24"/>
              </w:rPr>
              <m:t>th</m:t>
            </m:r>
          </m:sup>
        </m:sSup>
        <m:r>
          <w:rPr>
            <w:rFonts w:ascii="Cambria Math" w:eastAsiaTheme="minorEastAsia" w:hAnsi="Cambria Math" w:cs="Times New Roman"/>
            <w:sz w:val="24"/>
            <w:szCs w:val="24"/>
          </w:rPr>
          <m:t> </m:t>
        </m:r>
      </m:oMath>
      <w:r w:rsidRPr="007147B7">
        <w:rPr>
          <w:rFonts w:ascii="Times New Roman" w:eastAsiaTheme="minorEastAsia" w:hAnsi="Times New Roman" w:cs="Times New Roman"/>
          <w:sz w:val="24"/>
          <w:szCs w:val="24"/>
        </w:rPr>
        <w:t xml:space="preserve">ligand </w:t>
      </w:r>
      <w:r w:rsidRPr="007147B7">
        <w:rPr>
          <w:rFonts w:ascii="Times New Roman" w:eastAsiaTheme="minorEastAsia" w:hAnsi="Times New Roman" w:cs="Times New Roman"/>
          <w:i/>
          <w:iCs/>
          <w:sz w:val="24"/>
          <w:szCs w:val="24"/>
        </w:rPr>
        <w:t>X</w:t>
      </w:r>
      <w:r w:rsidRPr="007147B7">
        <w:rPr>
          <w:rFonts w:ascii="Times New Roman" w:eastAsiaTheme="minorEastAsia" w:hAnsi="Times New Roman" w:cs="Times New Roman"/>
          <w:sz w:val="24"/>
          <w:szCs w:val="24"/>
        </w:rPr>
        <w:t xml:space="preserve"> eliminated, respectively;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l</m:t>
            </m:r>
          </m:sub>
        </m:sSub>
      </m:oMath>
      <w:r w:rsidRPr="007147B7">
        <w:rPr>
          <w:rFonts w:ascii="Times New Roman" w:eastAsiaTheme="minorEastAsia" w:hAnsi="Times New Roman" w:cs="Times New Roman"/>
          <w:sz w:val="24"/>
          <w:szCs w:val="24"/>
        </w:rPr>
        <w:t xml:space="preserve"> is the intrinsic interaction energy between ion and ligand </w:t>
      </w:r>
      <w:r w:rsidRPr="007147B7">
        <w:rPr>
          <w:rFonts w:ascii="Times New Roman" w:eastAsiaTheme="minorEastAsia" w:hAnsi="Times New Roman" w:cs="Times New Roman"/>
          <w:i/>
          <w:iCs/>
          <w:sz w:val="24"/>
          <w:szCs w:val="24"/>
        </w:rPr>
        <w:t xml:space="preserve">X </w:t>
      </w:r>
      <w:r w:rsidRPr="007147B7">
        <w:rPr>
          <w:rFonts w:ascii="Times New Roman" w:eastAsiaTheme="minorEastAsia" w:hAnsi="Times New Roman" w:cs="Times New Roman"/>
          <w:sz w:val="24"/>
          <w:szCs w:val="24"/>
        </w:rPr>
        <w:t xml:space="preserve"> (i.e. ligand bond strength);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c</m:t>
            </m:r>
          </m:sub>
        </m:sSub>
      </m:oMath>
      <w:r w:rsidRPr="007147B7">
        <w:rPr>
          <w:rFonts w:ascii="Times New Roman" w:eastAsiaTheme="minorEastAsia" w:hAnsi="Times New Roman" w:cs="Times New Roman"/>
          <w:sz w:val="24"/>
          <w:szCs w:val="24"/>
        </w:rPr>
        <w:t xml:space="preserve"> is the cluster binding energy of solvation shell for ligand </w:t>
      </w:r>
      <w:r w:rsidRPr="007147B7">
        <w:rPr>
          <w:rFonts w:ascii="Times New Roman" w:eastAsiaTheme="minorEastAsia" w:hAnsi="Times New Roman" w:cs="Times New Roman"/>
          <w:i/>
          <w:iCs/>
          <w:sz w:val="24"/>
          <w:szCs w:val="24"/>
        </w:rPr>
        <w:t>X</w:t>
      </w:r>
      <w:r w:rsidRPr="007147B7">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r</m:t>
            </m:r>
          </m:sub>
        </m:sSub>
      </m:oMath>
      <w:r w:rsidRPr="007147B7">
        <w:rPr>
          <w:rFonts w:ascii="Times New Roman" w:eastAsiaTheme="minorEastAsia" w:hAnsi="Times New Roman" w:cs="Times New Roman"/>
          <w:sz w:val="24"/>
          <w:szCs w:val="24"/>
        </w:rPr>
        <w:t xml:space="preserve"> is the interligand repulsion. The minimum values of the structural mechanics indices are presented in the main text as ligand collapse and cleavage energies, respectively.</w:t>
      </w:r>
    </w:p>
    <w:p w14:paraId="023E7DF5" w14:textId="33AB03C2" w:rsidR="00385BC1" w:rsidRDefault="00385BC1">
      <w:pPr>
        <w:widowControl/>
        <w:wordWrap/>
        <w:autoSpaceDE/>
        <w:autoSpaceDN/>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14:paraId="42BC0916" w14:textId="25E02295" w:rsidR="00953482" w:rsidRPr="00385BC1" w:rsidRDefault="00385BC1" w:rsidP="009E3D5D">
      <w:pPr>
        <w:rPr>
          <w:rFonts w:ascii="Times New Roman" w:eastAsiaTheme="minorEastAsia" w:hAnsi="Times New Roman" w:cs="Times New Roman"/>
          <w:b/>
          <w:bCs/>
          <w:sz w:val="24"/>
          <w:szCs w:val="24"/>
        </w:rPr>
      </w:pPr>
      <w:r w:rsidRPr="00385BC1">
        <w:rPr>
          <w:rFonts w:ascii="Times New Roman" w:eastAsiaTheme="minorEastAsia" w:hAnsi="Times New Roman" w:cs="Times New Roman" w:hint="eastAsia"/>
          <w:b/>
          <w:bCs/>
          <w:sz w:val="24"/>
          <w:szCs w:val="24"/>
        </w:rPr>
        <w:lastRenderedPageBreak/>
        <w:t>R</w:t>
      </w:r>
      <w:r w:rsidRPr="00385BC1">
        <w:rPr>
          <w:rFonts w:ascii="Times New Roman" w:eastAsiaTheme="minorEastAsia" w:hAnsi="Times New Roman" w:cs="Times New Roman"/>
          <w:b/>
          <w:bCs/>
          <w:sz w:val="24"/>
          <w:szCs w:val="24"/>
        </w:rPr>
        <w:t>eferences</w:t>
      </w:r>
    </w:p>
    <w:p w14:paraId="3FED929B" w14:textId="4FD29437"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 xml:space="preserve">1. Ruan </w:t>
      </w:r>
      <w:r w:rsidRPr="007904C5">
        <w:rPr>
          <w:rFonts w:ascii="Times New Roman" w:eastAsiaTheme="minorEastAsia" w:hAnsi="Times New Roman" w:cs="Times New Roman"/>
          <w:i/>
          <w:iCs/>
          <w:sz w:val="24"/>
          <w:szCs w:val="24"/>
        </w:rPr>
        <w:t>et al.</w:t>
      </w:r>
      <w:r w:rsidRPr="007904C5">
        <w:rPr>
          <w:rFonts w:ascii="Times New Roman" w:eastAsiaTheme="minorEastAsia" w:hAnsi="Times New Roman" w:cs="Times New Roman"/>
          <w:sz w:val="24"/>
          <w:szCs w:val="24"/>
        </w:rPr>
        <w:t xml:space="preserve"> Oscillating lithium ion-acceptor fluorine-donor electrolytes for practical fast-charging high-energy lithium metal pouch cells. </w:t>
      </w:r>
      <w:r w:rsidRPr="007904C5">
        <w:rPr>
          <w:rFonts w:ascii="Times New Roman" w:eastAsiaTheme="minorEastAsia" w:hAnsi="Times New Roman" w:cs="Times New Roman"/>
          <w:i/>
          <w:iCs/>
          <w:sz w:val="24"/>
          <w:szCs w:val="24"/>
        </w:rPr>
        <w:t>Energy Environ. Sci.</w:t>
      </w:r>
      <w:r w:rsidRPr="007904C5">
        <w:rPr>
          <w:rFonts w:ascii="Times New Roman" w:eastAsiaTheme="minorEastAsia" w:hAnsi="Times New Roman" w:cs="Times New Roman"/>
          <w:sz w:val="24"/>
          <w:szCs w:val="24"/>
        </w:rPr>
        <w:t xml:space="preserve">, </w:t>
      </w:r>
      <w:r w:rsidRPr="007904C5">
        <w:rPr>
          <w:rFonts w:ascii="Times New Roman" w:eastAsiaTheme="minorEastAsia" w:hAnsi="Times New Roman" w:cs="Times New Roman"/>
          <w:b/>
          <w:bCs/>
          <w:sz w:val="24"/>
          <w:szCs w:val="24"/>
        </w:rPr>
        <w:t>18</w:t>
      </w:r>
      <w:r w:rsidRPr="007904C5">
        <w:rPr>
          <w:rFonts w:ascii="Times New Roman" w:eastAsiaTheme="minorEastAsia" w:hAnsi="Times New Roman" w:cs="Times New Roman"/>
          <w:sz w:val="24"/>
          <w:szCs w:val="24"/>
        </w:rPr>
        <w:t>, 6224-6236 (2025)</w:t>
      </w:r>
    </w:p>
    <w:p w14:paraId="366F173B" w14:textId="20127E8D"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 xml:space="preserve">2. Li </w:t>
      </w:r>
      <w:r w:rsidRPr="007904C5">
        <w:rPr>
          <w:rFonts w:ascii="Times New Roman" w:eastAsiaTheme="minorEastAsia" w:hAnsi="Times New Roman" w:cs="Times New Roman"/>
          <w:i/>
          <w:iCs/>
          <w:sz w:val="24"/>
          <w:szCs w:val="24"/>
        </w:rPr>
        <w:t>et al.</w:t>
      </w:r>
      <w:r w:rsidRPr="007904C5">
        <w:rPr>
          <w:rFonts w:ascii="Times New Roman" w:eastAsiaTheme="minorEastAsia" w:hAnsi="Times New Roman" w:cs="Times New Roman"/>
          <w:sz w:val="24"/>
          <w:szCs w:val="24"/>
        </w:rPr>
        <w:t xml:space="preserve"> Data-Assisted Design of Temperature-Resistant Weakly Solvating Electrolyte for All-Climate 500 </w:t>
      </w:r>
      <w:proofErr w:type="spellStart"/>
      <w:r w:rsidRPr="007904C5">
        <w:rPr>
          <w:rFonts w:ascii="Times New Roman" w:eastAsiaTheme="minorEastAsia" w:hAnsi="Times New Roman" w:cs="Times New Roman"/>
          <w:sz w:val="24"/>
          <w:szCs w:val="24"/>
        </w:rPr>
        <w:t>Wh</w:t>
      </w:r>
      <w:proofErr w:type="spellEnd"/>
      <w:r w:rsidRPr="007904C5">
        <w:rPr>
          <w:rFonts w:ascii="Times New Roman" w:eastAsiaTheme="minorEastAsia" w:hAnsi="Times New Roman" w:cs="Times New Roman"/>
          <w:sz w:val="24"/>
          <w:szCs w:val="24"/>
        </w:rPr>
        <w:t xml:space="preserve">/kg Lithium-Metal Batteries. </w:t>
      </w:r>
      <w:r w:rsidRPr="007904C5">
        <w:rPr>
          <w:rFonts w:ascii="Times New Roman" w:eastAsiaTheme="minorEastAsia" w:hAnsi="Times New Roman" w:cs="Times New Roman"/>
          <w:i/>
          <w:iCs/>
          <w:sz w:val="24"/>
          <w:szCs w:val="24"/>
        </w:rPr>
        <w:t>ACS Nano</w:t>
      </w:r>
      <w:r w:rsidRPr="007904C5">
        <w:rPr>
          <w:rFonts w:ascii="Times New Roman" w:eastAsiaTheme="minorEastAsia" w:hAnsi="Times New Roman" w:cs="Times New Roman"/>
          <w:sz w:val="24"/>
          <w:szCs w:val="24"/>
        </w:rPr>
        <w:t xml:space="preserve">, </w:t>
      </w:r>
      <w:r w:rsidRPr="007904C5">
        <w:rPr>
          <w:rFonts w:ascii="Times New Roman" w:eastAsiaTheme="minorEastAsia" w:hAnsi="Times New Roman" w:cs="Times New Roman"/>
          <w:b/>
          <w:bCs/>
          <w:sz w:val="24"/>
          <w:szCs w:val="24"/>
        </w:rPr>
        <w:t>19</w:t>
      </w:r>
      <w:r w:rsidRPr="007904C5">
        <w:rPr>
          <w:rFonts w:ascii="Times New Roman" w:eastAsiaTheme="minorEastAsia" w:hAnsi="Times New Roman" w:cs="Times New Roman"/>
          <w:sz w:val="24"/>
          <w:szCs w:val="24"/>
        </w:rPr>
        <w:t>, 25, 23294–23305 (2025)</w:t>
      </w:r>
    </w:p>
    <w:p w14:paraId="541B4F33" w14:textId="49F604DF"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3.</w:t>
      </w:r>
      <w:r w:rsidR="007904C5" w:rsidRPr="007904C5">
        <w:rPr>
          <w:rFonts w:ascii="Times New Roman" w:eastAsiaTheme="minorEastAsia" w:hAnsi="Times New Roman" w:cs="Times New Roman"/>
          <w:sz w:val="24"/>
          <w:szCs w:val="24"/>
        </w:rPr>
        <w:t xml:space="preserve"> Li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Methylation enables the use of fluorine-free ether electrolytes in high-voltage lithium metal batteries. Nat. Chem., 16, 922-929 (2024)</w:t>
      </w:r>
    </w:p>
    <w:p w14:paraId="0DD82ADA" w14:textId="10F9B7FB"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4.</w:t>
      </w:r>
      <w:r w:rsidR="007904C5" w:rsidRPr="007904C5">
        <w:rPr>
          <w:rFonts w:ascii="Times New Roman" w:eastAsiaTheme="minorEastAsia" w:hAnsi="Times New Roman" w:cs="Times New Roman"/>
          <w:sz w:val="24"/>
          <w:szCs w:val="24"/>
        </w:rPr>
        <w:t xml:space="preserve"> Wu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Cost-effective interfacial high-concentration electrolyte for stable lithium metal batteries. </w:t>
      </w:r>
      <w:r w:rsidR="007904C5" w:rsidRPr="007904C5">
        <w:rPr>
          <w:rFonts w:ascii="Times New Roman" w:hAnsi="Times New Roman" w:cs="Times New Roman"/>
          <w:i/>
          <w:iCs/>
          <w:sz w:val="24"/>
          <w:szCs w:val="24"/>
          <w:shd w:val="clear" w:color="auto" w:fill="FFFFFF"/>
        </w:rPr>
        <w:t xml:space="preserve">Nat </w:t>
      </w:r>
      <w:proofErr w:type="spellStart"/>
      <w:r w:rsidR="007904C5" w:rsidRPr="007904C5">
        <w:rPr>
          <w:rFonts w:ascii="Times New Roman" w:hAnsi="Times New Roman" w:cs="Times New Roman"/>
          <w:i/>
          <w:iCs/>
          <w:sz w:val="24"/>
          <w:szCs w:val="24"/>
          <w:shd w:val="clear" w:color="auto" w:fill="FFFFFF"/>
        </w:rPr>
        <w:t>Commun</w:t>
      </w:r>
      <w:proofErr w:type="spellEnd"/>
      <w:r w:rsidR="007904C5" w:rsidRPr="007904C5">
        <w:rPr>
          <w:rFonts w:ascii="Times New Roman" w:hAnsi="Times New Roman" w:cs="Times New Roman"/>
          <w:i/>
          <w:iCs/>
          <w:sz w:val="24"/>
          <w:szCs w:val="24"/>
          <w:shd w:val="clear" w:color="auto" w:fill="FFFFFF"/>
        </w:rPr>
        <w:t>.</w:t>
      </w:r>
      <w:r w:rsidR="007904C5" w:rsidRPr="007904C5">
        <w:rPr>
          <w:rFonts w:ascii="Times New Roman" w:hAnsi="Times New Roman" w:cs="Times New Roman"/>
          <w:sz w:val="24"/>
          <w:szCs w:val="24"/>
          <w:shd w:val="clear" w:color="auto" w:fill="FFFFFF"/>
        </w:rPr>
        <w:t> (2026). https://doi.org/10.1038/s41467-025-65697-w</w:t>
      </w:r>
    </w:p>
    <w:p w14:paraId="2F21E2B9" w14:textId="56328E46"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5.</w:t>
      </w:r>
      <w:r w:rsidR="007904C5" w:rsidRPr="007904C5">
        <w:rPr>
          <w:rFonts w:ascii="Times New Roman" w:eastAsiaTheme="minorEastAsia" w:hAnsi="Times New Roman" w:cs="Times New Roman"/>
          <w:sz w:val="24"/>
          <w:szCs w:val="24"/>
        </w:rPr>
        <w:t xml:space="preserve"> Qiao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Non-fluorinated electrolytes with micelle-like solvation for ultra-high-energy-density lithium metal batteries. Chem, 11, 102306 (2025)</w:t>
      </w:r>
    </w:p>
    <w:p w14:paraId="3F2073F8" w14:textId="0C23E0F9"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6.</w:t>
      </w:r>
      <w:r w:rsidR="007904C5" w:rsidRPr="007904C5">
        <w:rPr>
          <w:rFonts w:ascii="Times New Roman" w:eastAsiaTheme="minorEastAsia" w:hAnsi="Times New Roman" w:cs="Times New Roman"/>
          <w:sz w:val="24"/>
          <w:szCs w:val="24"/>
        </w:rPr>
        <w:t xml:space="preserve"> Li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Non-polar ether-based electrolyte solutions for stable high-voltage non-aqueous lithium metal batteries. Nat. </w:t>
      </w:r>
      <w:proofErr w:type="spellStart"/>
      <w:r w:rsidR="007904C5" w:rsidRPr="007904C5">
        <w:rPr>
          <w:rFonts w:ascii="Times New Roman" w:eastAsiaTheme="minorEastAsia" w:hAnsi="Times New Roman" w:cs="Times New Roman"/>
          <w:sz w:val="24"/>
          <w:szCs w:val="24"/>
        </w:rPr>
        <w:t>Commun</w:t>
      </w:r>
      <w:proofErr w:type="spellEnd"/>
      <w:r w:rsidR="007904C5" w:rsidRPr="007904C5">
        <w:rPr>
          <w:rFonts w:ascii="Times New Roman" w:eastAsiaTheme="minorEastAsia" w:hAnsi="Times New Roman" w:cs="Times New Roman"/>
          <w:sz w:val="24"/>
          <w:szCs w:val="24"/>
        </w:rPr>
        <w:t>., 14, 868 (2023)</w:t>
      </w:r>
    </w:p>
    <w:p w14:paraId="7C0DBA2C" w14:textId="60966A20"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7.</w:t>
      </w:r>
      <w:r w:rsidR="007904C5" w:rsidRPr="007904C5">
        <w:rPr>
          <w:rFonts w:ascii="Times New Roman" w:eastAsiaTheme="minorEastAsia" w:hAnsi="Times New Roman" w:cs="Times New Roman"/>
          <w:sz w:val="24"/>
          <w:szCs w:val="24"/>
        </w:rPr>
        <w:t xml:space="preserve"> Wu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Unique Tridentate Coordination Tailored Solvation Sheath Toward Highly Stable Lithium Metal Batteries. Adv. Mater., 35, 2303347 (2023)</w:t>
      </w:r>
    </w:p>
    <w:p w14:paraId="60FC46E0" w14:textId="5136088E"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8.</w:t>
      </w:r>
      <w:r w:rsidR="007904C5" w:rsidRPr="007904C5">
        <w:rPr>
          <w:rFonts w:ascii="Times New Roman" w:eastAsiaTheme="minorEastAsia" w:hAnsi="Times New Roman" w:cs="Times New Roman"/>
          <w:sz w:val="24"/>
          <w:szCs w:val="24"/>
        </w:rPr>
        <w:t xml:space="preserve"> Li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Patching Solid Electrolyte Interphase via Modulating Anion Decomposition Reactions for Stable Lithium Metal Batteries </w:t>
      </w:r>
      <w:proofErr w:type="spellStart"/>
      <w:r w:rsidR="007904C5" w:rsidRPr="007904C5">
        <w:rPr>
          <w:rFonts w:ascii="Times New Roman" w:eastAsiaTheme="minorEastAsia" w:hAnsi="Times New Roman" w:cs="Times New Roman"/>
          <w:sz w:val="24"/>
          <w:szCs w:val="24"/>
        </w:rPr>
        <w:t>Angew</w:t>
      </w:r>
      <w:proofErr w:type="spellEnd"/>
      <w:r w:rsidR="007904C5" w:rsidRPr="007904C5">
        <w:rPr>
          <w:rFonts w:ascii="Times New Roman" w:eastAsiaTheme="minorEastAsia" w:hAnsi="Times New Roman" w:cs="Times New Roman"/>
          <w:sz w:val="24"/>
          <w:szCs w:val="24"/>
        </w:rPr>
        <w:t>. Chem., 138, e25130 (2026)</w:t>
      </w:r>
    </w:p>
    <w:p w14:paraId="01EC91E8" w14:textId="08318318"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9.</w:t>
      </w:r>
      <w:r w:rsidR="007904C5" w:rsidRPr="007904C5">
        <w:rPr>
          <w:rFonts w:ascii="Times New Roman" w:eastAsiaTheme="minorEastAsia" w:hAnsi="Times New Roman" w:cs="Times New Roman"/>
          <w:sz w:val="24"/>
          <w:szCs w:val="24"/>
        </w:rPr>
        <w:t xml:space="preserve"> </w:t>
      </w:r>
      <w:proofErr w:type="spellStart"/>
      <w:r w:rsidR="007904C5" w:rsidRPr="007904C5">
        <w:rPr>
          <w:rFonts w:ascii="Times New Roman" w:eastAsiaTheme="minorEastAsia" w:hAnsi="Times New Roman" w:cs="Times New Roman"/>
          <w:sz w:val="24"/>
          <w:szCs w:val="24"/>
        </w:rPr>
        <w:t>Wujie</w:t>
      </w:r>
      <w:proofErr w:type="spellEnd"/>
      <w:r w:rsidR="007904C5" w:rsidRPr="007904C5">
        <w:rPr>
          <w:rFonts w:ascii="Times New Roman" w:eastAsiaTheme="minorEastAsia" w:hAnsi="Times New Roman" w:cs="Times New Roman"/>
          <w:sz w:val="24"/>
          <w:szCs w:val="24"/>
        </w:rPr>
        <w:t xml:space="preserve"> Yang, </w:t>
      </w:r>
      <w:proofErr w:type="spellStart"/>
      <w:r w:rsidR="007904C5" w:rsidRPr="007904C5">
        <w:rPr>
          <w:rFonts w:ascii="Times New Roman" w:eastAsiaTheme="minorEastAsia" w:hAnsi="Times New Roman" w:cs="Times New Roman"/>
          <w:sz w:val="24"/>
          <w:szCs w:val="24"/>
        </w:rPr>
        <w:t>Aoyuan</w:t>
      </w:r>
      <w:proofErr w:type="spellEnd"/>
      <w:r w:rsidR="007904C5" w:rsidRPr="007904C5">
        <w:rPr>
          <w:rFonts w:ascii="Times New Roman" w:eastAsiaTheme="minorEastAsia" w:hAnsi="Times New Roman" w:cs="Times New Roman"/>
          <w:sz w:val="24"/>
          <w:szCs w:val="24"/>
        </w:rPr>
        <w:t xml:space="preserve"> Che, Ping He &amp; </w:t>
      </w:r>
      <w:proofErr w:type="spellStart"/>
      <w:r w:rsidR="007904C5" w:rsidRPr="007904C5">
        <w:rPr>
          <w:rFonts w:ascii="Times New Roman" w:eastAsiaTheme="minorEastAsia" w:hAnsi="Times New Roman" w:cs="Times New Roman"/>
          <w:sz w:val="24"/>
          <w:szCs w:val="24"/>
        </w:rPr>
        <w:t>Haoshen</w:t>
      </w:r>
      <w:proofErr w:type="spellEnd"/>
      <w:r w:rsidR="007904C5" w:rsidRPr="007904C5">
        <w:rPr>
          <w:rFonts w:ascii="Times New Roman" w:eastAsiaTheme="minorEastAsia" w:hAnsi="Times New Roman" w:cs="Times New Roman"/>
          <w:sz w:val="24"/>
          <w:szCs w:val="24"/>
        </w:rPr>
        <w:t xml:space="preserve"> Zhou. Advancing lithium metal electrode beyond 99.9% coulombic efficiency via super-saturated electrolyte with compressed solvation structure. Nat. </w:t>
      </w:r>
      <w:proofErr w:type="spellStart"/>
      <w:r w:rsidR="007904C5" w:rsidRPr="007904C5">
        <w:rPr>
          <w:rFonts w:ascii="Times New Roman" w:eastAsiaTheme="minorEastAsia" w:hAnsi="Times New Roman" w:cs="Times New Roman"/>
          <w:sz w:val="24"/>
          <w:szCs w:val="24"/>
        </w:rPr>
        <w:t>Commun</w:t>
      </w:r>
      <w:proofErr w:type="spellEnd"/>
      <w:r w:rsidR="007904C5" w:rsidRPr="007904C5">
        <w:rPr>
          <w:rFonts w:ascii="Times New Roman" w:eastAsiaTheme="minorEastAsia" w:hAnsi="Times New Roman" w:cs="Times New Roman"/>
          <w:sz w:val="24"/>
          <w:szCs w:val="24"/>
        </w:rPr>
        <w:t>., 16, 4229 (2025)</w:t>
      </w:r>
    </w:p>
    <w:p w14:paraId="7189E0D7" w14:textId="34B9AE9D"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10.</w:t>
      </w:r>
      <w:r w:rsidR="007904C5" w:rsidRPr="007904C5">
        <w:rPr>
          <w:rFonts w:ascii="Times New Roman" w:eastAsiaTheme="minorEastAsia" w:hAnsi="Times New Roman" w:cs="Times New Roman"/>
          <w:sz w:val="24"/>
          <w:szCs w:val="24"/>
        </w:rPr>
        <w:t xml:space="preserve"> Wang </w:t>
      </w:r>
      <w:r w:rsidR="007904C5" w:rsidRPr="007904C5">
        <w:rPr>
          <w:rFonts w:ascii="Times New Roman" w:eastAsiaTheme="minorEastAsia" w:hAnsi="Times New Roman" w:cs="Times New Roman"/>
          <w:i/>
          <w:iCs/>
          <w:sz w:val="24"/>
          <w:szCs w:val="24"/>
        </w:rPr>
        <w:t xml:space="preserve">et al. </w:t>
      </w:r>
      <w:r w:rsidR="007904C5" w:rsidRPr="007904C5">
        <w:rPr>
          <w:rFonts w:ascii="Times New Roman" w:eastAsiaTheme="minorEastAsia" w:hAnsi="Times New Roman" w:cs="Times New Roman"/>
          <w:sz w:val="24"/>
          <w:szCs w:val="24"/>
        </w:rPr>
        <w:t xml:space="preserve">Weak traction effect modulates anionic solvation transition for stable-cycling and fast-charging lithium metal batteries. </w:t>
      </w:r>
      <w:r w:rsidR="007904C5" w:rsidRPr="007904C5">
        <w:rPr>
          <w:rFonts w:ascii="Times New Roman" w:hAnsi="Times New Roman" w:cs="Times New Roman"/>
          <w:sz w:val="24"/>
          <w:szCs w:val="24"/>
        </w:rPr>
        <w:t xml:space="preserve">Energy </w:t>
      </w:r>
      <w:proofErr w:type="spellStart"/>
      <w:r w:rsidR="007904C5" w:rsidRPr="007904C5">
        <w:rPr>
          <w:rFonts w:ascii="Times New Roman" w:hAnsi="Times New Roman" w:cs="Times New Roman"/>
          <w:sz w:val="24"/>
          <w:szCs w:val="24"/>
        </w:rPr>
        <w:t>Stor</w:t>
      </w:r>
      <w:proofErr w:type="spellEnd"/>
      <w:r w:rsidR="007904C5" w:rsidRPr="007904C5">
        <w:rPr>
          <w:rFonts w:ascii="Times New Roman" w:hAnsi="Times New Roman" w:cs="Times New Roman"/>
          <w:sz w:val="24"/>
          <w:szCs w:val="24"/>
        </w:rPr>
        <w:t>. Mater., 75, 104105 (2025)</w:t>
      </w:r>
    </w:p>
    <w:p w14:paraId="3DF446EA" w14:textId="3697744D"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11.</w:t>
      </w:r>
      <w:r w:rsidR="007904C5" w:rsidRPr="007904C5">
        <w:rPr>
          <w:rFonts w:ascii="Times New Roman" w:eastAsiaTheme="minorEastAsia" w:hAnsi="Times New Roman" w:cs="Times New Roman"/>
          <w:sz w:val="24"/>
          <w:szCs w:val="24"/>
        </w:rPr>
        <w:t xml:space="preserve">Wang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Flame-retardant electrolytes with electrochemically-inert and weakly coordinating </w:t>
      </w:r>
      <w:proofErr w:type="spellStart"/>
      <w:r w:rsidR="007904C5" w:rsidRPr="007904C5">
        <w:rPr>
          <w:rFonts w:ascii="Times New Roman" w:eastAsiaTheme="minorEastAsia" w:hAnsi="Times New Roman" w:cs="Times New Roman"/>
          <w:sz w:val="24"/>
          <w:szCs w:val="24"/>
        </w:rPr>
        <w:t>dichloroalkane</w:t>
      </w:r>
      <w:proofErr w:type="spellEnd"/>
      <w:r w:rsidR="007904C5" w:rsidRPr="007904C5">
        <w:rPr>
          <w:rFonts w:ascii="Times New Roman" w:eastAsiaTheme="minorEastAsia" w:hAnsi="Times New Roman" w:cs="Times New Roman"/>
          <w:sz w:val="24"/>
          <w:szCs w:val="24"/>
        </w:rPr>
        <w:t xml:space="preserve"> diluents for practical lithium metal batteries. Nat. </w:t>
      </w:r>
      <w:proofErr w:type="spellStart"/>
      <w:r w:rsidR="007904C5" w:rsidRPr="007904C5">
        <w:rPr>
          <w:rFonts w:ascii="Times New Roman" w:eastAsiaTheme="minorEastAsia" w:hAnsi="Times New Roman" w:cs="Times New Roman"/>
          <w:sz w:val="24"/>
          <w:szCs w:val="24"/>
        </w:rPr>
        <w:t>Commun</w:t>
      </w:r>
      <w:proofErr w:type="spellEnd"/>
      <w:r w:rsidR="007904C5" w:rsidRPr="007904C5">
        <w:rPr>
          <w:rFonts w:ascii="Times New Roman" w:eastAsiaTheme="minorEastAsia" w:hAnsi="Times New Roman" w:cs="Times New Roman"/>
          <w:sz w:val="24"/>
          <w:szCs w:val="24"/>
        </w:rPr>
        <w:t>., 16, 10188 (2025)</w:t>
      </w:r>
    </w:p>
    <w:p w14:paraId="2215C7B2" w14:textId="5EFFD729" w:rsidR="00385BC1" w:rsidRPr="007904C5" w:rsidRDefault="00385BC1" w:rsidP="007904C5">
      <w:pPr>
        <w:spacing w:line="360" w:lineRule="auto"/>
        <w:rPr>
          <w:rFonts w:ascii="Times New Roman" w:eastAsiaTheme="minorEastAsia" w:hAnsi="Times New Roman" w:cs="Times New Roman"/>
          <w:sz w:val="24"/>
          <w:szCs w:val="24"/>
        </w:rPr>
      </w:pPr>
      <w:r w:rsidRPr="007904C5">
        <w:rPr>
          <w:rFonts w:ascii="Times New Roman" w:eastAsiaTheme="minorEastAsia" w:hAnsi="Times New Roman" w:cs="Times New Roman" w:hint="eastAsia"/>
          <w:sz w:val="24"/>
          <w:szCs w:val="24"/>
        </w:rPr>
        <w:t>S</w:t>
      </w:r>
      <w:r w:rsidRPr="007904C5">
        <w:rPr>
          <w:rFonts w:ascii="Times New Roman" w:eastAsiaTheme="minorEastAsia" w:hAnsi="Times New Roman" w:cs="Times New Roman"/>
          <w:sz w:val="24"/>
          <w:szCs w:val="24"/>
        </w:rPr>
        <w:t>12.</w:t>
      </w:r>
      <w:r w:rsidR="007904C5" w:rsidRPr="007904C5">
        <w:rPr>
          <w:rFonts w:ascii="Times New Roman" w:eastAsiaTheme="minorEastAsia" w:hAnsi="Times New Roman" w:cs="Times New Roman"/>
          <w:sz w:val="24"/>
          <w:szCs w:val="24"/>
        </w:rPr>
        <w:t xml:space="preserve"> Lian </w:t>
      </w:r>
      <w:r w:rsidR="007904C5" w:rsidRPr="007904C5">
        <w:rPr>
          <w:rFonts w:ascii="Times New Roman" w:eastAsiaTheme="minorEastAsia" w:hAnsi="Times New Roman" w:cs="Times New Roman"/>
          <w:i/>
          <w:iCs/>
          <w:sz w:val="24"/>
          <w:szCs w:val="24"/>
        </w:rPr>
        <w:t>et al.</w:t>
      </w:r>
      <w:r w:rsidR="007904C5" w:rsidRPr="007904C5">
        <w:rPr>
          <w:rFonts w:ascii="Times New Roman" w:eastAsiaTheme="minorEastAsia" w:hAnsi="Times New Roman" w:cs="Times New Roman"/>
          <w:sz w:val="24"/>
          <w:szCs w:val="24"/>
        </w:rPr>
        <w:t xml:space="preserve"> Unique Non-Chelating Multidentate Ligand Tuning Solvation Structure and Interfacial Chemistry for High-Voltage Lithium Metal Batteries. Adv. </w:t>
      </w:r>
      <w:proofErr w:type="spellStart"/>
      <w:r w:rsidR="007904C5" w:rsidRPr="007904C5">
        <w:rPr>
          <w:rFonts w:ascii="Times New Roman" w:eastAsiaTheme="minorEastAsia" w:hAnsi="Times New Roman" w:cs="Times New Roman"/>
          <w:sz w:val="24"/>
          <w:szCs w:val="24"/>
        </w:rPr>
        <w:t>Funct</w:t>
      </w:r>
      <w:proofErr w:type="spellEnd"/>
      <w:r w:rsidR="007904C5" w:rsidRPr="007904C5">
        <w:rPr>
          <w:rFonts w:ascii="Times New Roman" w:eastAsiaTheme="minorEastAsia" w:hAnsi="Times New Roman" w:cs="Times New Roman"/>
          <w:sz w:val="24"/>
          <w:szCs w:val="24"/>
        </w:rPr>
        <w:t>. Mater., 35, 2421802 (2025)</w:t>
      </w:r>
    </w:p>
    <w:p w14:paraId="002540FA" w14:textId="3816B89A" w:rsidR="00385BC1" w:rsidRDefault="00385BC1" w:rsidP="007904C5">
      <w:pPr>
        <w:spacing w:line="360" w:lineRule="auto"/>
        <w:rPr>
          <w:rFonts w:ascii="Times New Roman" w:eastAsiaTheme="minorEastAsia" w:hAnsi="Times New Roman" w:cs="Times New Roman"/>
          <w:sz w:val="24"/>
          <w:szCs w:val="24"/>
        </w:rPr>
      </w:pPr>
      <w:r>
        <w:rPr>
          <w:rFonts w:ascii="Times New Roman" w:eastAsiaTheme="minorEastAsia" w:hAnsi="Times New Roman" w:cs="Times New Roman" w:hint="eastAsia"/>
          <w:sz w:val="24"/>
          <w:szCs w:val="24"/>
        </w:rPr>
        <w:lastRenderedPageBreak/>
        <w:t>S</w:t>
      </w:r>
      <w:r>
        <w:rPr>
          <w:rFonts w:ascii="Times New Roman" w:eastAsiaTheme="minorEastAsia" w:hAnsi="Times New Roman" w:cs="Times New Roman"/>
          <w:sz w:val="24"/>
          <w:szCs w:val="24"/>
        </w:rPr>
        <w:t>13.</w:t>
      </w:r>
      <w:r w:rsidR="007904C5">
        <w:rPr>
          <w:rFonts w:ascii="Times New Roman" w:eastAsiaTheme="minorEastAsia" w:hAnsi="Times New Roman" w:cs="Times New Roman"/>
          <w:sz w:val="24"/>
          <w:szCs w:val="24"/>
        </w:rPr>
        <w:t xml:space="preserve"> </w:t>
      </w:r>
      <w:r w:rsidR="007904C5" w:rsidRPr="007904C5">
        <w:rPr>
          <w:rFonts w:ascii="Times New Roman" w:eastAsiaTheme="minorEastAsia" w:hAnsi="Times New Roman" w:cs="Times New Roman"/>
          <w:sz w:val="24"/>
          <w:szCs w:val="24"/>
        </w:rPr>
        <w:t>Lee, H. et al. Diluents Effect on Inhibiting Dissolution of Organic Electrode for Highly Reversible Li‐Ion Batteries. Adv. Energy Mater. 14, (2024).</w:t>
      </w:r>
    </w:p>
    <w:p w14:paraId="3BF8D282" w14:textId="6E822F0B" w:rsidR="00385BC1" w:rsidRDefault="00385BC1" w:rsidP="007904C5">
      <w:pPr>
        <w:spacing w:line="360" w:lineRule="auto"/>
        <w:rPr>
          <w:rFonts w:ascii="Times New Roman" w:eastAsiaTheme="minorEastAsia" w:hAnsi="Times New Roman" w:cs="Times New Roman"/>
          <w:sz w:val="24"/>
          <w:szCs w:val="24"/>
        </w:rPr>
      </w:pPr>
      <w:r>
        <w:rPr>
          <w:rFonts w:ascii="Times New Roman" w:eastAsiaTheme="minorEastAsia" w:hAnsi="Times New Roman" w:cs="Times New Roman" w:hint="eastAsia"/>
          <w:sz w:val="24"/>
          <w:szCs w:val="24"/>
        </w:rPr>
        <w:t>S</w:t>
      </w:r>
      <w:r>
        <w:rPr>
          <w:rFonts w:ascii="Times New Roman" w:eastAsiaTheme="minorEastAsia" w:hAnsi="Times New Roman" w:cs="Times New Roman"/>
          <w:sz w:val="24"/>
          <w:szCs w:val="24"/>
        </w:rPr>
        <w:t>1</w:t>
      </w:r>
      <w:r w:rsidR="007904C5">
        <w:rPr>
          <w:rFonts w:ascii="Times New Roman" w:eastAsiaTheme="minorEastAsia" w:hAnsi="Times New Roman" w:cs="Times New Roman"/>
          <w:sz w:val="24"/>
          <w:szCs w:val="24"/>
        </w:rPr>
        <w:t>4</w:t>
      </w:r>
      <w:r>
        <w:rPr>
          <w:rFonts w:ascii="Times New Roman" w:eastAsiaTheme="minorEastAsia" w:hAnsi="Times New Roman" w:cs="Times New Roman"/>
          <w:sz w:val="24"/>
          <w:szCs w:val="24"/>
        </w:rPr>
        <w:t>.</w:t>
      </w:r>
      <w:r w:rsidR="007904C5">
        <w:rPr>
          <w:rFonts w:ascii="Times New Roman" w:eastAsiaTheme="minorEastAsia" w:hAnsi="Times New Roman" w:cs="Times New Roman"/>
          <w:sz w:val="24"/>
          <w:szCs w:val="24"/>
        </w:rPr>
        <w:t xml:space="preserve"> </w:t>
      </w:r>
      <w:r w:rsidR="007904C5" w:rsidRPr="007904C5">
        <w:rPr>
          <w:rFonts w:ascii="Times New Roman" w:eastAsiaTheme="minorEastAsia" w:hAnsi="Times New Roman" w:cs="Times New Roman"/>
          <w:sz w:val="24"/>
          <w:szCs w:val="24"/>
        </w:rPr>
        <w:t xml:space="preserve">Lee, J.-H. et al. Control of Electrolyte </w:t>
      </w:r>
      <w:proofErr w:type="spellStart"/>
      <w:r w:rsidR="007904C5" w:rsidRPr="007904C5">
        <w:rPr>
          <w:rFonts w:ascii="Times New Roman" w:eastAsiaTheme="minorEastAsia" w:hAnsi="Times New Roman" w:cs="Times New Roman"/>
          <w:sz w:val="24"/>
          <w:szCs w:val="24"/>
        </w:rPr>
        <w:t>Desolvation</w:t>
      </w:r>
      <w:proofErr w:type="spellEnd"/>
      <w:r w:rsidR="007904C5" w:rsidRPr="007904C5">
        <w:rPr>
          <w:rFonts w:ascii="Times New Roman" w:eastAsiaTheme="minorEastAsia" w:hAnsi="Times New Roman" w:cs="Times New Roman"/>
          <w:sz w:val="24"/>
          <w:szCs w:val="24"/>
        </w:rPr>
        <w:t xml:space="preserve"> Energy Suppressing the </w:t>
      </w:r>
      <w:proofErr w:type="spellStart"/>
      <w:r w:rsidR="007904C5" w:rsidRPr="007904C5">
        <w:rPr>
          <w:rFonts w:ascii="Times New Roman" w:eastAsiaTheme="minorEastAsia" w:hAnsi="Times New Roman" w:cs="Times New Roman"/>
          <w:sz w:val="24"/>
          <w:szCs w:val="24"/>
        </w:rPr>
        <w:t>Cointercalation</w:t>
      </w:r>
      <w:proofErr w:type="spellEnd"/>
      <w:r w:rsidR="007904C5" w:rsidRPr="007904C5">
        <w:rPr>
          <w:rFonts w:ascii="Times New Roman" w:eastAsiaTheme="minorEastAsia" w:hAnsi="Times New Roman" w:cs="Times New Roman"/>
          <w:sz w:val="24"/>
          <w:szCs w:val="24"/>
        </w:rPr>
        <w:t xml:space="preserve"> Mechanism and Organic Electrode Dissolution. ACS Nano 19, 1371–1382 (2025).</w:t>
      </w:r>
    </w:p>
    <w:p w14:paraId="0A7A74F9" w14:textId="1292A017" w:rsidR="00385BC1" w:rsidRPr="00385BC1" w:rsidRDefault="00385BC1" w:rsidP="007904C5">
      <w:pPr>
        <w:rPr>
          <w:rFonts w:ascii="Times New Roman" w:eastAsiaTheme="minorEastAsia" w:hAnsi="Times New Roman" w:cs="Times New Roman"/>
          <w:sz w:val="24"/>
          <w:szCs w:val="24"/>
        </w:rPr>
      </w:pPr>
    </w:p>
    <w:sectPr w:rsidR="00385BC1" w:rsidRPr="00385BC1" w:rsidSect="00F45A13">
      <w:footerReference w:type="default" r:id="rId34"/>
      <w:endnotePr>
        <w:numFmt w:val="decimal"/>
      </w:endnotePr>
      <w:pgSz w:w="12240" w:h="15840" w:code="1"/>
      <w:pgMar w:top="1440" w:right="1440" w:bottom="1440" w:left="1440" w:header="851" w:footer="992" w:gutter="0"/>
      <w:cols w:space="425"/>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368D422" w14:textId="77777777" w:rsidR="00F125A0" w:rsidRPr="00F1511E" w:rsidRDefault="00F125A0" w:rsidP="00F1511E">
      <w:pPr>
        <w:pStyle w:val="a8"/>
      </w:pPr>
    </w:p>
  </w:endnote>
  <w:endnote w:type="continuationSeparator" w:id="0">
    <w:p w14:paraId="29713ACD" w14:textId="77777777" w:rsidR="00F125A0" w:rsidRDefault="00F125A0" w:rsidP="004A63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바탕">
    <w:altName w:val="Batang"/>
    <w:panose1 w:val="02030600000101010101"/>
    <w:charset w:val="81"/>
    <w:family w:val="roman"/>
    <w:pitch w:val="variable"/>
    <w:sig w:usb0="B00002AF" w:usb1="69D77CFB" w:usb2="00000030" w:usb3="00000000" w:csb0="0008009F" w:csb1="00000000"/>
  </w:font>
  <w:font w:name="Arno Pro">
    <w:altName w:val="Constantia"/>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rPr>
      <w:id w:val="866261888"/>
      <w:docPartObj>
        <w:docPartGallery w:val="Page Numbers (Bottom of Page)"/>
        <w:docPartUnique/>
      </w:docPartObj>
    </w:sdtPr>
    <w:sdtContent>
      <w:p w14:paraId="0988D570" w14:textId="00A1D18B" w:rsidR="002007A1" w:rsidRPr="00CB53A0" w:rsidRDefault="002007A1" w:rsidP="002C138D">
        <w:pPr>
          <w:pStyle w:val="a8"/>
          <w:jc w:val="center"/>
          <w:rPr>
            <w:rFonts w:ascii="Times New Roman" w:hAnsi="Times New Roman" w:cs="Times New Roman"/>
          </w:rPr>
        </w:pPr>
        <w:r>
          <w:rPr>
            <w:rFonts w:ascii="Times New Roman" w:hAnsi="Times New Roman" w:cs="Times New Roman" w:hint="eastAsia"/>
          </w:rPr>
          <w:t>S</w:t>
        </w:r>
        <w:r w:rsidRPr="00CB53A0">
          <w:rPr>
            <w:rFonts w:ascii="Times New Roman" w:hAnsi="Times New Roman" w:cs="Times New Roman"/>
          </w:rPr>
          <w:fldChar w:fldCharType="begin"/>
        </w:r>
        <w:r w:rsidRPr="00CB53A0">
          <w:rPr>
            <w:rFonts w:ascii="Times New Roman" w:hAnsi="Times New Roman" w:cs="Times New Roman"/>
          </w:rPr>
          <w:instrText>PAGE   \* MERGEFORMAT</w:instrText>
        </w:r>
        <w:r w:rsidRPr="00CB53A0">
          <w:rPr>
            <w:rFonts w:ascii="Times New Roman" w:hAnsi="Times New Roman" w:cs="Times New Roman"/>
          </w:rPr>
          <w:fldChar w:fldCharType="separate"/>
        </w:r>
        <w:r w:rsidR="00EE6A78" w:rsidRPr="00EE6A78">
          <w:rPr>
            <w:rFonts w:ascii="Times New Roman" w:hAnsi="Times New Roman" w:cs="Times New Roman"/>
            <w:noProof/>
            <w:lang w:val="ko-KR"/>
          </w:rPr>
          <w:t>48</w:t>
        </w:r>
        <w:r w:rsidRPr="00CB53A0">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81FEA0" w14:textId="77777777" w:rsidR="00F125A0" w:rsidRDefault="00F125A0" w:rsidP="004A633E">
      <w:pPr>
        <w:spacing w:after="0" w:line="240" w:lineRule="auto"/>
      </w:pPr>
      <w:r>
        <w:separator/>
      </w:r>
    </w:p>
  </w:footnote>
  <w:footnote w:type="continuationSeparator" w:id="0">
    <w:p w14:paraId="31DD540C" w14:textId="77777777" w:rsidR="00F125A0" w:rsidRDefault="00F125A0" w:rsidP="004A63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840B09"/>
    <w:multiLevelType w:val="multilevel"/>
    <w:tmpl w:val="3DE85FAC"/>
    <w:lvl w:ilvl="0">
      <w:start w:val="1"/>
      <w:numFmt w:val="decimal"/>
      <w:lvlText w:val="%1."/>
      <w:lvlJc w:val="left"/>
      <w:pPr>
        <w:ind w:left="880" w:hanging="440"/>
      </w:pPr>
      <w:rPr>
        <w:rFonts w:hint="eastAsia"/>
      </w:rPr>
    </w:lvl>
    <w:lvl w:ilvl="1">
      <w:start w:val="1"/>
      <w:numFmt w:val="upperLetter"/>
      <w:lvlText w:val="%2."/>
      <w:lvlJc w:val="left"/>
      <w:pPr>
        <w:ind w:left="1320" w:hanging="440"/>
      </w:pPr>
      <w:rPr>
        <w:rFonts w:hint="eastAsia"/>
      </w:rPr>
    </w:lvl>
    <w:lvl w:ilvl="2">
      <w:start w:val="1"/>
      <w:numFmt w:val="lowerRoman"/>
      <w:lvlText w:val="%3."/>
      <w:lvlJc w:val="right"/>
      <w:pPr>
        <w:ind w:left="1760" w:hanging="440"/>
      </w:pPr>
      <w:rPr>
        <w:rFonts w:hint="eastAsia"/>
      </w:rPr>
    </w:lvl>
    <w:lvl w:ilvl="3">
      <w:start w:val="1"/>
      <w:numFmt w:val="decimal"/>
      <w:lvlText w:val="%4."/>
      <w:lvlJc w:val="left"/>
      <w:pPr>
        <w:ind w:left="2200" w:hanging="440"/>
      </w:pPr>
      <w:rPr>
        <w:rFonts w:hint="eastAsia"/>
      </w:rPr>
    </w:lvl>
    <w:lvl w:ilvl="4">
      <w:start w:val="1"/>
      <w:numFmt w:val="upperLetter"/>
      <w:lvlText w:val="%5."/>
      <w:lvlJc w:val="left"/>
      <w:pPr>
        <w:ind w:left="2640" w:hanging="440"/>
      </w:pPr>
      <w:rPr>
        <w:rFonts w:hint="eastAsia"/>
      </w:rPr>
    </w:lvl>
    <w:lvl w:ilvl="5">
      <w:start w:val="1"/>
      <w:numFmt w:val="lowerRoman"/>
      <w:lvlText w:val="%6."/>
      <w:lvlJc w:val="right"/>
      <w:pPr>
        <w:ind w:left="3080" w:hanging="440"/>
      </w:pPr>
      <w:rPr>
        <w:rFonts w:hint="eastAsia"/>
      </w:rPr>
    </w:lvl>
    <w:lvl w:ilvl="6">
      <w:start w:val="1"/>
      <w:numFmt w:val="decimal"/>
      <w:lvlText w:val="%7."/>
      <w:lvlJc w:val="left"/>
      <w:pPr>
        <w:ind w:left="3520" w:hanging="440"/>
      </w:pPr>
      <w:rPr>
        <w:rFonts w:hint="eastAsia"/>
      </w:rPr>
    </w:lvl>
    <w:lvl w:ilvl="7">
      <w:start w:val="1"/>
      <w:numFmt w:val="upperLetter"/>
      <w:lvlText w:val="%8."/>
      <w:lvlJc w:val="left"/>
      <w:pPr>
        <w:ind w:left="3960" w:hanging="440"/>
      </w:pPr>
      <w:rPr>
        <w:rFonts w:hint="eastAsia"/>
      </w:rPr>
    </w:lvl>
    <w:lvl w:ilvl="8">
      <w:start w:val="1"/>
      <w:numFmt w:val="lowerRoman"/>
      <w:lvlText w:val="%9."/>
      <w:lvlJc w:val="right"/>
      <w:pPr>
        <w:ind w:left="4400" w:hanging="440"/>
      </w:pPr>
      <w:rPr>
        <w:rFonts w:hint="eastAsia"/>
      </w:rPr>
    </w:lvl>
  </w:abstractNum>
  <w:abstractNum w:abstractNumId="1" w15:restartNumberingAfterBreak="0">
    <w:nsid w:val="2F9B19D0"/>
    <w:multiLevelType w:val="hybridMultilevel"/>
    <w:tmpl w:val="91222EA4"/>
    <w:lvl w:ilvl="0" w:tplc="5D2CEC72">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 w15:restartNumberingAfterBreak="0">
    <w:nsid w:val="3266356F"/>
    <w:multiLevelType w:val="hybridMultilevel"/>
    <w:tmpl w:val="A754D8BC"/>
    <w:lvl w:ilvl="0" w:tplc="2FC61804">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 w15:restartNumberingAfterBreak="0">
    <w:nsid w:val="4CE405E4"/>
    <w:multiLevelType w:val="hybridMultilevel"/>
    <w:tmpl w:val="246A5A60"/>
    <w:lvl w:ilvl="0" w:tplc="EAAA0D50">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4" w15:restartNumberingAfterBreak="0">
    <w:nsid w:val="54A807EC"/>
    <w:multiLevelType w:val="hybridMultilevel"/>
    <w:tmpl w:val="301AA43A"/>
    <w:lvl w:ilvl="0" w:tplc="EF0642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2239CB"/>
    <w:multiLevelType w:val="multilevel"/>
    <w:tmpl w:val="535083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num w:numId="1" w16cid:durableId="1973124389">
    <w:abstractNumId w:val="3"/>
  </w:num>
  <w:num w:numId="2" w16cid:durableId="1848249757">
    <w:abstractNumId w:val="0"/>
  </w:num>
  <w:num w:numId="3" w16cid:durableId="1384983605">
    <w:abstractNumId w:val="1"/>
  </w:num>
  <w:num w:numId="4" w16cid:durableId="1390417993">
    <w:abstractNumId w:val="4"/>
  </w:num>
  <w:num w:numId="5" w16cid:durableId="1336032378">
    <w:abstractNumId w:val="5"/>
  </w:num>
  <w:num w:numId="6" w16cid:durableId="159948347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9"/>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3E26"/>
    <w:rsid w:val="000006D7"/>
    <w:rsid w:val="0000205A"/>
    <w:rsid w:val="000022A2"/>
    <w:rsid w:val="00003A4C"/>
    <w:rsid w:val="00004FC5"/>
    <w:rsid w:val="00005292"/>
    <w:rsid w:val="0000558D"/>
    <w:rsid w:val="00011EF3"/>
    <w:rsid w:val="00012160"/>
    <w:rsid w:val="00013D1D"/>
    <w:rsid w:val="00014F16"/>
    <w:rsid w:val="0001558E"/>
    <w:rsid w:val="00016700"/>
    <w:rsid w:val="000170B7"/>
    <w:rsid w:val="00017E8D"/>
    <w:rsid w:val="00024125"/>
    <w:rsid w:val="000256FF"/>
    <w:rsid w:val="00030498"/>
    <w:rsid w:val="000309FB"/>
    <w:rsid w:val="00032F19"/>
    <w:rsid w:val="000352FD"/>
    <w:rsid w:val="00036EAB"/>
    <w:rsid w:val="00040D7F"/>
    <w:rsid w:val="00040E74"/>
    <w:rsid w:val="0004212C"/>
    <w:rsid w:val="00042A55"/>
    <w:rsid w:val="00043BB3"/>
    <w:rsid w:val="00047131"/>
    <w:rsid w:val="00050F90"/>
    <w:rsid w:val="00054523"/>
    <w:rsid w:val="000545B6"/>
    <w:rsid w:val="0005546A"/>
    <w:rsid w:val="00060CFB"/>
    <w:rsid w:val="00061451"/>
    <w:rsid w:val="00062121"/>
    <w:rsid w:val="00064919"/>
    <w:rsid w:val="000674C4"/>
    <w:rsid w:val="0006750E"/>
    <w:rsid w:val="000678F1"/>
    <w:rsid w:val="00070382"/>
    <w:rsid w:val="00071CF0"/>
    <w:rsid w:val="00071EC2"/>
    <w:rsid w:val="00071F38"/>
    <w:rsid w:val="00072935"/>
    <w:rsid w:val="00074D4E"/>
    <w:rsid w:val="00075DFE"/>
    <w:rsid w:val="00083181"/>
    <w:rsid w:val="00083B56"/>
    <w:rsid w:val="000866EB"/>
    <w:rsid w:val="000870CA"/>
    <w:rsid w:val="000876D9"/>
    <w:rsid w:val="0008783D"/>
    <w:rsid w:val="0009211F"/>
    <w:rsid w:val="0009235C"/>
    <w:rsid w:val="0009258D"/>
    <w:rsid w:val="000929AD"/>
    <w:rsid w:val="000941BC"/>
    <w:rsid w:val="00094E63"/>
    <w:rsid w:val="00095C12"/>
    <w:rsid w:val="00096EEE"/>
    <w:rsid w:val="000A3F33"/>
    <w:rsid w:val="000A551C"/>
    <w:rsid w:val="000B06B4"/>
    <w:rsid w:val="000B1136"/>
    <w:rsid w:val="000B1FFB"/>
    <w:rsid w:val="000B275D"/>
    <w:rsid w:val="000B4539"/>
    <w:rsid w:val="000B526F"/>
    <w:rsid w:val="000B675B"/>
    <w:rsid w:val="000B68BF"/>
    <w:rsid w:val="000B6FFB"/>
    <w:rsid w:val="000C066F"/>
    <w:rsid w:val="000C2378"/>
    <w:rsid w:val="000C276A"/>
    <w:rsid w:val="000C4E63"/>
    <w:rsid w:val="000C6D74"/>
    <w:rsid w:val="000D07AB"/>
    <w:rsid w:val="000D0B3D"/>
    <w:rsid w:val="000D0C1D"/>
    <w:rsid w:val="000D4529"/>
    <w:rsid w:val="000D4728"/>
    <w:rsid w:val="000D5CB6"/>
    <w:rsid w:val="000D762A"/>
    <w:rsid w:val="000E2BF6"/>
    <w:rsid w:val="000E60E9"/>
    <w:rsid w:val="000E7B89"/>
    <w:rsid w:val="000F067D"/>
    <w:rsid w:val="000F0939"/>
    <w:rsid w:val="000F0989"/>
    <w:rsid w:val="000F132E"/>
    <w:rsid w:val="000F2C0E"/>
    <w:rsid w:val="000F326D"/>
    <w:rsid w:val="000F5035"/>
    <w:rsid w:val="000F5771"/>
    <w:rsid w:val="000F57ED"/>
    <w:rsid w:val="000F61A1"/>
    <w:rsid w:val="000F657F"/>
    <w:rsid w:val="000F7378"/>
    <w:rsid w:val="00101121"/>
    <w:rsid w:val="00101602"/>
    <w:rsid w:val="00101C01"/>
    <w:rsid w:val="00101F0F"/>
    <w:rsid w:val="0010367E"/>
    <w:rsid w:val="0010476F"/>
    <w:rsid w:val="00106405"/>
    <w:rsid w:val="001074FD"/>
    <w:rsid w:val="0010793C"/>
    <w:rsid w:val="00107940"/>
    <w:rsid w:val="00107B04"/>
    <w:rsid w:val="0011012D"/>
    <w:rsid w:val="0011080B"/>
    <w:rsid w:val="00113008"/>
    <w:rsid w:val="00113305"/>
    <w:rsid w:val="00117E52"/>
    <w:rsid w:val="001200A2"/>
    <w:rsid w:val="001202F3"/>
    <w:rsid w:val="00121695"/>
    <w:rsid w:val="00121F41"/>
    <w:rsid w:val="00122D2F"/>
    <w:rsid w:val="00123761"/>
    <w:rsid w:val="00127D9A"/>
    <w:rsid w:val="00132341"/>
    <w:rsid w:val="0013240A"/>
    <w:rsid w:val="00133988"/>
    <w:rsid w:val="00133B04"/>
    <w:rsid w:val="00135452"/>
    <w:rsid w:val="00136E6A"/>
    <w:rsid w:val="00137851"/>
    <w:rsid w:val="00137D06"/>
    <w:rsid w:val="00137D65"/>
    <w:rsid w:val="00146C6C"/>
    <w:rsid w:val="0015673F"/>
    <w:rsid w:val="00156D69"/>
    <w:rsid w:val="0015709F"/>
    <w:rsid w:val="0016167A"/>
    <w:rsid w:val="00162C80"/>
    <w:rsid w:val="00166E59"/>
    <w:rsid w:val="001676A7"/>
    <w:rsid w:val="0017039A"/>
    <w:rsid w:val="00175F26"/>
    <w:rsid w:val="0017637A"/>
    <w:rsid w:val="00177FBD"/>
    <w:rsid w:val="00183C59"/>
    <w:rsid w:val="00183FC9"/>
    <w:rsid w:val="00187CAC"/>
    <w:rsid w:val="001942DC"/>
    <w:rsid w:val="00195383"/>
    <w:rsid w:val="00195418"/>
    <w:rsid w:val="001A1B55"/>
    <w:rsid w:val="001A48B4"/>
    <w:rsid w:val="001A5B88"/>
    <w:rsid w:val="001B147E"/>
    <w:rsid w:val="001B2DC6"/>
    <w:rsid w:val="001B3D99"/>
    <w:rsid w:val="001B4153"/>
    <w:rsid w:val="001B4865"/>
    <w:rsid w:val="001B5D50"/>
    <w:rsid w:val="001B6709"/>
    <w:rsid w:val="001B6A25"/>
    <w:rsid w:val="001B77BE"/>
    <w:rsid w:val="001B7F6B"/>
    <w:rsid w:val="001C1B0F"/>
    <w:rsid w:val="001C2FFD"/>
    <w:rsid w:val="001C30C3"/>
    <w:rsid w:val="001C3A0C"/>
    <w:rsid w:val="001C3C0A"/>
    <w:rsid w:val="001C41F7"/>
    <w:rsid w:val="001C46AE"/>
    <w:rsid w:val="001C4763"/>
    <w:rsid w:val="001C7769"/>
    <w:rsid w:val="001D2454"/>
    <w:rsid w:val="001D5074"/>
    <w:rsid w:val="001D6843"/>
    <w:rsid w:val="001D685A"/>
    <w:rsid w:val="001E1540"/>
    <w:rsid w:val="001E2F3C"/>
    <w:rsid w:val="001E4500"/>
    <w:rsid w:val="001E470F"/>
    <w:rsid w:val="001E4EB4"/>
    <w:rsid w:val="001E6ACC"/>
    <w:rsid w:val="001F0AC2"/>
    <w:rsid w:val="001F48C1"/>
    <w:rsid w:val="001F57F5"/>
    <w:rsid w:val="001F7C7C"/>
    <w:rsid w:val="002007A1"/>
    <w:rsid w:val="00201C74"/>
    <w:rsid w:val="002047D2"/>
    <w:rsid w:val="00205CE9"/>
    <w:rsid w:val="002061FE"/>
    <w:rsid w:val="002063F5"/>
    <w:rsid w:val="00213DEF"/>
    <w:rsid w:val="00220C9C"/>
    <w:rsid w:val="00223E2C"/>
    <w:rsid w:val="00225326"/>
    <w:rsid w:val="002266B2"/>
    <w:rsid w:val="0023006B"/>
    <w:rsid w:val="00230245"/>
    <w:rsid w:val="00231600"/>
    <w:rsid w:val="00232364"/>
    <w:rsid w:val="00234CC1"/>
    <w:rsid w:val="00234FA0"/>
    <w:rsid w:val="00235776"/>
    <w:rsid w:val="002404FC"/>
    <w:rsid w:val="00242073"/>
    <w:rsid w:val="00246A98"/>
    <w:rsid w:val="0024728B"/>
    <w:rsid w:val="002472EA"/>
    <w:rsid w:val="002519CE"/>
    <w:rsid w:val="00252A8F"/>
    <w:rsid w:val="00254229"/>
    <w:rsid w:val="00257512"/>
    <w:rsid w:val="00260A6F"/>
    <w:rsid w:val="00264F5F"/>
    <w:rsid w:val="00265EEA"/>
    <w:rsid w:val="0026719B"/>
    <w:rsid w:val="00270CB2"/>
    <w:rsid w:val="00271625"/>
    <w:rsid w:val="002746EB"/>
    <w:rsid w:val="0028074A"/>
    <w:rsid w:val="00281281"/>
    <w:rsid w:val="00281CF4"/>
    <w:rsid w:val="002830CB"/>
    <w:rsid w:val="00283F6C"/>
    <w:rsid w:val="00285008"/>
    <w:rsid w:val="00286321"/>
    <w:rsid w:val="00290DE7"/>
    <w:rsid w:val="0029112B"/>
    <w:rsid w:val="002911B1"/>
    <w:rsid w:val="0029136F"/>
    <w:rsid w:val="00291591"/>
    <w:rsid w:val="00294956"/>
    <w:rsid w:val="00294DA9"/>
    <w:rsid w:val="002A01A3"/>
    <w:rsid w:val="002A095F"/>
    <w:rsid w:val="002A0BE6"/>
    <w:rsid w:val="002A1246"/>
    <w:rsid w:val="002A3080"/>
    <w:rsid w:val="002A4063"/>
    <w:rsid w:val="002A4139"/>
    <w:rsid w:val="002A74C0"/>
    <w:rsid w:val="002B069F"/>
    <w:rsid w:val="002B0BD8"/>
    <w:rsid w:val="002B2C3F"/>
    <w:rsid w:val="002B34DA"/>
    <w:rsid w:val="002B511B"/>
    <w:rsid w:val="002C138D"/>
    <w:rsid w:val="002C155D"/>
    <w:rsid w:val="002C26EF"/>
    <w:rsid w:val="002C5F26"/>
    <w:rsid w:val="002C60DD"/>
    <w:rsid w:val="002D15C5"/>
    <w:rsid w:val="002D1E8B"/>
    <w:rsid w:val="002D3BAA"/>
    <w:rsid w:val="002D48EB"/>
    <w:rsid w:val="002D4DA3"/>
    <w:rsid w:val="002D74D2"/>
    <w:rsid w:val="002D7B14"/>
    <w:rsid w:val="002E0DBE"/>
    <w:rsid w:val="002E16CD"/>
    <w:rsid w:val="002E4D70"/>
    <w:rsid w:val="002E5B1E"/>
    <w:rsid w:val="002E617B"/>
    <w:rsid w:val="002E7510"/>
    <w:rsid w:val="002F38FD"/>
    <w:rsid w:val="00300758"/>
    <w:rsid w:val="00300E17"/>
    <w:rsid w:val="0030119B"/>
    <w:rsid w:val="0030166E"/>
    <w:rsid w:val="003025AD"/>
    <w:rsid w:val="00302EB9"/>
    <w:rsid w:val="003034F2"/>
    <w:rsid w:val="0030481E"/>
    <w:rsid w:val="00304927"/>
    <w:rsid w:val="003062D8"/>
    <w:rsid w:val="003070C7"/>
    <w:rsid w:val="00307819"/>
    <w:rsid w:val="00307E91"/>
    <w:rsid w:val="00311EDA"/>
    <w:rsid w:val="003128B6"/>
    <w:rsid w:val="00313944"/>
    <w:rsid w:val="003142EF"/>
    <w:rsid w:val="00314ED7"/>
    <w:rsid w:val="00315365"/>
    <w:rsid w:val="00315D64"/>
    <w:rsid w:val="00315E40"/>
    <w:rsid w:val="00315F80"/>
    <w:rsid w:val="00316720"/>
    <w:rsid w:val="00316BA2"/>
    <w:rsid w:val="00317DA2"/>
    <w:rsid w:val="00320089"/>
    <w:rsid w:val="00320C13"/>
    <w:rsid w:val="003219B7"/>
    <w:rsid w:val="00322763"/>
    <w:rsid w:val="00323199"/>
    <w:rsid w:val="003245F7"/>
    <w:rsid w:val="003250FD"/>
    <w:rsid w:val="00326200"/>
    <w:rsid w:val="003263A0"/>
    <w:rsid w:val="0032672F"/>
    <w:rsid w:val="0033041B"/>
    <w:rsid w:val="00332FF6"/>
    <w:rsid w:val="003335C9"/>
    <w:rsid w:val="003346A1"/>
    <w:rsid w:val="00341E5C"/>
    <w:rsid w:val="003425D5"/>
    <w:rsid w:val="00343C1E"/>
    <w:rsid w:val="00344AE4"/>
    <w:rsid w:val="00344BCC"/>
    <w:rsid w:val="003451EF"/>
    <w:rsid w:val="0034618B"/>
    <w:rsid w:val="00346BE0"/>
    <w:rsid w:val="00347045"/>
    <w:rsid w:val="003473F8"/>
    <w:rsid w:val="003524C4"/>
    <w:rsid w:val="003539C1"/>
    <w:rsid w:val="003601F2"/>
    <w:rsid w:val="00360709"/>
    <w:rsid w:val="0036164B"/>
    <w:rsid w:val="0036407D"/>
    <w:rsid w:val="00364BB9"/>
    <w:rsid w:val="00366649"/>
    <w:rsid w:val="003718AD"/>
    <w:rsid w:val="003737FE"/>
    <w:rsid w:val="003739AB"/>
    <w:rsid w:val="00374934"/>
    <w:rsid w:val="00374D5A"/>
    <w:rsid w:val="003768C9"/>
    <w:rsid w:val="00376A6F"/>
    <w:rsid w:val="00380D22"/>
    <w:rsid w:val="00382906"/>
    <w:rsid w:val="00383959"/>
    <w:rsid w:val="003840E2"/>
    <w:rsid w:val="00385BC1"/>
    <w:rsid w:val="003860DA"/>
    <w:rsid w:val="0038643F"/>
    <w:rsid w:val="003872DB"/>
    <w:rsid w:val="00390F12"/>
    <w:rsid w:val="00392705"/>
    <w:rsid w:val="0039299E"/>
    <w:rsid w:val="003929D5"/>
    <w:rsid w:val="00393538"/>
    <w:rsid w:val="00394A64"/>
    <w:rsid w:val="00395449"/>
    <w:rsid w:val="0039549F"/>
    <w:rsid w:val="0039573C"/>
    <w:rsid w:val="00397BB8"/>
    <w:rsid w:val="003A1605"/>
    <w:rsid w:val="003A2247"/>
    <w:rsid w:val="003A283F"/>
    <w:rsid w:val="003A28C0"/>
    <w:rsid w:val="003A368C"/>
    <w:rsid w:val="003A651D"/>
    <w:rsid w:val="003A6DAE"/>
    <w:rsid w:val="003B0756"/>
    <w:rsid w:val="003B0A8D"/>
    <w:rsid w:val="003B102C"/>
    <w:rsid w:val="003B198A"/>
    <w:rsid w:val="003B2A06"/>
    <w:rsid w:val="003B38E5"/>
    <w:rsid w:val="003B48D8"/>
    <w:rsid w:val="003B561B"/>
    <w:rsid w:val="003B680D"/>
    <w:rsid w:val="003B7283"/>
    <w:rsid w:val="003C000A"/>
    <w:rsid w:val="003C0436"/>
    <w:rsid w:val="003C055B"/>
    <w:rsid w:val="003C05F1"/>
    <w:rsid w:val="003C261F"/>
    <w:rsid w:val="003C3CB9"/>
    <w:rsid w:val="003C7008"/>
    <w:rsid w:val="003C71FA"/>
    <w:rsid w:val="003D1F3E"/>
    <w:rsid w:val="003D335E"/>
    <w:rsid w:val="003D43E3"/>
    <w:rsid w:val="003D539C"/>
    <w:rsid w:val="003D7DFE"/>
    <w:rsid w:val="003D7F07"/>
    <w:rsid w:val="003E19DB"/>
    <w:rsid w:val="003E1BD6"/>
    <w:rsid w:val="003E1F64"/>
    <w:rsid w:val="003E4A50"/>
    <w:rsid w:val="003E4EEC"/>
    <w:rsid w:val="003E5D6E"/>
    <w:rsid w:val="003E6FBA"/>
    <w:rsid w:val="003F0C5B"/>
    <w:rsid w:val="003F2471"/>
    <w:rsid w:val="003F401E"/>
    <w:rsid w:val="003F68D1"/>
    <w:rsid w:val="003F7001"/>
    <w:rsid w:val="003F70A2"/>
    <w:rsid w:val="003F7A89"/>
    <w:rsid w:val="004000DC"/>
    <w:rsid w:val="004075DA"/>
    <w:rsid w:val="004103B8"/>
    <w:rsid w:val="004119E5"/>
    <w:rsid w:val="00413924"/>
    <w:rsid w:val="0041525A"/>
    <w:rsid w:val="00415AF0"/>
    <w:rsid w:val="00416D0A"/>
    <w:rsid w:val="00416FB7"/>
    <w:rsid w:val="00417B30"/>
    <w:rsid w:val="004209A1"/>
    <w:rsid w:val="004215E8"/>
    <w:rsid w:val="00422E11"/>
    <w:rsid w:val="00423A60"/>
    <w:rsid w:val="004243C6"/>
    <w:rsid w:val="004246B4"/>
    <w:rsid w:val="00425DC7"/>
    <w:rsid w:val="004268EF"/>
    <w:rsid w:val="004275CC"/>
    <w:rsid w:val="004334D7"/>
    <w:rsid w:val="00434470"/>
    <w:rsid w:val="00435E2A"/>
    <w:rsid w:val="004366E8"/>
    <w:rsid w:val="00436E0C"/>
    <w:rsid w:val="004371BD"/>
    <w:rsid w:val="004401FA"/>
    <w:rsid w:val="00440AFE"/>
    <w:rsid w:val="004422D3"/>
    <w:rsid w:val="00444CD9"/>
    <w:rsid w:val="0044645F"/>
    <w:rsid w:val="004500C7"/>
    <w:rsid w:val="00450475"/>
    <w:rsid w:val="0045131A"/>
    <w:rsid w:val="00452075"/>
    <w:rsid w:val="00452E46"/>
    <w:rsid w:val="0045750A"/>
    <w:rsid w:val="004621A3"/>
    <w:rsid w:val="00463385"/>
    <w:rsid w:val="00470D81"/>
    <w:rsid w:val="00471A99"/>
    <w:rsid w:val="00471C86"/>
    <w:rsid w:val="00472EE6"/>
    <w:rsid w:val="00473E26"/>
    <w:rsid w:val="00474954"/>
    <w:rsid w:val="00477F32"/>
    <w:rsid w:val="00480988"/>
    <w:rsid w:val="00480EB0"/>
    <w:rsid w:val="00480F2F"/>
    <w:rsid w:val="00480F69"/>
    <w:rsid w:val="004838DF"/>
    <w:rsid w:val="00484E40"/>
    <w:rsid w:val="004853BE"/>
    <w:rsid w:val="0048618F"/>
    <w:rsid w:val="0048649D"/>
    <w:rsid w:val="004876B2"/>
    <w:rsid w:val="004910C4"/>
    <w:rsid w:val="00493714"/>
    <w:rsid w:val="00494BFC"/>
    <w:rsid w:val="00494D6F"/>
    <w:rsid w:val="00495B11"/>
    <w:rsid w:val="004970B4"/>
    <w:rsid w:val="004A1DBB"/>
    <w:rsid w:val="004A2278"/>
    <w:rsid w:val="004A302C"/>
    <w:rsid w:val="004A633E"/>
    <w:rsid w:val="004A76A0"/>
    <w:rsid w:val="004B08A1"/>
    <w:rsid w:val="004B32DA"/>
    <w:rsid w:val="004B3973"/>
    <w:rsid w:val="004B425B"/>
    <w:rsid w:val="004B6D93"/>
    <w:rsid w:val="004C081F"/>
    <w:rsid w:val="004C2286"/>
    <w:rsid w:val="004C22A3"/>
    <w:rsid w:val="004C2A95"/>
    <w:rsid w:val="004C3FF7"/>
    <w:rsid w:val="004C417D"/>
    <w:rsid w:val="004C5181"/>
    <w:rsid w:val="004C564B"/>
    <w:rsid w:val="004C64A2"/>
    <w:rsid w:val="004C70CD"/>
    <w:rsid w:val="004D1E20"/>
    <w:rsid w:val="004D1F77"/>
    <w:rsid w:val="004D2AFB"/>
    <w:rsid w:val="004D4EC5"/>
    <w:rsid w:val="004E072F"/>
    <w:rsid w:val="004E0790"/>
    <w:rsid w:val="004E0DAE"/>
    <w:rsid w:val="004E1EF3"/>
    <w:rsid w:val="004E2431"/>
    <w:rsid w:val="004E329A"/>
    <w:rsid w:val="004F1489"/>
    <w:rsid w:val="004F2196"/>
    <w:rsid w:val="004F2D0E"/>
    <w:rsid w:val="004F39DC"/>
    <w:rsid w:val="004F4ED9"/>
    <w:rsid w:val="004F68D0"/>
    <w:rsid w:val="004F7FC6"/>
    <w:rsid w:val="00500EB7"/>
    <w:rsid w:val="00501198"/>
    <w:rsid w:val="005018CD"/>
    <w:rsid w:val="00501D7D"/>
    <w:rsid w:val="00502DE7"/>
    <w:rsid w:val="005055B3"/>
    <w:rsid w:val="005072A4"/>
    <w:rsid w:val="00510489"/>
    <w:rsid w:val="00512262"/>
    <w:rsid w:val="005124CB"/>
    <w:rsid w:val="0051292C"/>
    <w:rsid w:val="0051414D"/>
    <w:rsid w:val="005146C6"/>
    <w:rsid w:val="00514700"/>
    <w:rsid w:val="00514EAD"/>
    <w:rsid w:val="005152D8"/>
    <w:rsid w:val="00521404"/>
    <w:rsid w:val="00522181"/>
    <w:rsid w:val="00522C94"/>
    <w:rsid w:val="00523119"/>
    <w:rsid w:val="00524B91"/>
    <w:rsid w:val="005306BB"/>
    <w:rsid w:val="00531B6B"/>
    <w:rsid w:val="005340EC"/>
    <w:rsid w:val="005357CE"/>
    <w:rsid w:val="0054009A"/>
    <w:rsid w:val="00542267"/>
    <w:rsid w:val="00542901"/>
    <w:rsid w:val="00543CE9"/>
    <w:rsid w:val="00545C83"/>
    <w:rsid w:val="00546E70"/>
    <w:rsid w:val="00546FB6"/>
    <w:rsid w:val="005507F9"/>
    <w:rsid w:val="00553A66"/>
    <w:rsid w:val="005554AB"/>
    <w:rsid w:val="00557C92"/>
    <w:rsid w:val="00560AAB"/>
    <w:rsid w:val="00560BE5"/>
    <w:rsid w:val="005626AD"/>
    <w:rsid w:val="00562A6A"/>
    <w:rsid w:val="00562FBD"/>
    <w:rsid w:val="00565003"/>
    <w:rsid w:val="00565311"/>
    <w:rsid w:val="00565AD3"/>
    <w:rsid w:val="0056769B"/>
    <w:rsid w:val="00572199"/>
    <w:rsid w:val="00572539"/>
    <w:rsid w:val="00573283"/>
    <w:rsid w:val="00573AD4"/>
    <w:rsid w:val="005740EB"/>
    <w:rsid w:val="005768C3"/>
    <w:rsid w:val="00583BAA"/>
    <w:rsid w:val="00585569"/>
    <w:rsid w:val="0058649B"/>
    <w:rsid w:val="00587662"/>
    <w:rsid w:val="005909CB"/>
    <w:rsid w:val="00591637"/>
    <w:rsid w:val="00592557"/>
    <w:rsid w:val="005947D7"/>
    <w:rsid w:val="0059593D"/>
    <w:rsid w:val="00595E2A"/>
    <w:rsid w:val="005A182B"/>
    <w:rsid w:val="005A219C"/>
    <w:rsid w:val="005A3D8B"/>
    <w:rsid w:val="005A51B6"/>
    <w:rsid w:val="005A5D93"/>
    <w:rsid w:val="005A64E4"/>
    <w:rsid w:val="005A65DF"/>
    <w:rsid w:val="005A780B"/>
    <w:rsid w:val="005A7B10"/>
    <w:rsid w:val="005B3C91"/>
    <w:rsid w:val="005B5490"/>
    <w:rsid w:val="005C0115"/>
    <w:rsid w:val="005C0229"/>
    <w:rsid w:val="005C046C"/>
    <w:rsid w:val="005C0531"/>
    <w:rsid w:val="005C12E9"/>
    <w:rsid w:val="005C186F"/>
    <w:rsid w:val="005C19CE"/>
    <w:rsid w:val="005C2049"/>
    <w:rsid w:val="005C494C"/>
    <w:rsid w:val="005C5378"/>
    <w:rsid w:val="005C5DE8"/>
    <w:rsid w:val="005D24B5"/>
    <w:rsid w:val="005D382E"/>
    <w:rsid w:val="005D4A2C"/>
    <w:rsid w:val="005D529F"/>
    <w:rsid w:val="005D73E4"/>
    <w:rsid w:val="005E0959"/>
    <w:rsid w:val="005E3961"/>
    <w:rsid w:val="005E4082"/>
    <w:rsid w:val="005E4E44"/>
    <w:rsid w:val="005E58CC"/>
    <w:rsid w:val="005E62B9"/>
    <w:rsid w:val="005E6B37"/>
    <w:rsid w:val="005F29B4"/>
    <w:rsid w:val="005F6CFD"/>
    <w:rsid w:val="005F731D"/>
    <w:rsid w:val="00600C58"/>
    <w:rsid w:val="00600FB6"/>
    <w:rsid w:val="00601F98"/>
    <w:rsid w:val="006040D8"/>
    <w:rsid w:val="00604AE4"/>
    <w:rsid w:val="0060594D"/>
    <w:rsid w:val="00607C1E"/>
    <w:rsid w:val="00607E14"/>
    <w:rsid w:val="006116C2"/>
    <w:rsid w:val="00611C54"/>
    <w:rsid w:val="00611FA9"/>
    <w:rsid w:val="00612C5F"/>
    <w:rsid w:val="00613523"/>
    <w:rsid w:val="00616F2C"/>
    <w:rsid w:val="00620C18"/>
    <w:rsid w:val="00621A20"/>
    <w:rsid w:val="00621C37"/>
    <w:rsid w:val="00622933"/>
    <w:rsid w:val="006300F6"/>
    <w:rsid w:val="00630221"/>
    <w:rsid w:val="00634E85"/>
    <w:rsid w:val="00635D70"/>
    <w:rsid w:val="006402ED"/>
    <w:rsid w:val="006435C1"/>
    <w:rsid w:val="00643EED"/>
    <w:rsid w:val="00645B8A"/>
    <w:rsid w:val="00646770"/>
    <w:rsid w:val="00647958"/>
    <w:rsid w:val="00651E45"/>
    <w:rsid w:val="0065234F"/>
    <w:rsid w:val="00653953"/>
    <w:rsid w:val="00653CF7"/>
    <w:rsid w:val="00654DA9"/>
    <w:rsid w:val="00654F37"/>
    <w:rsid w:val="00662F3F"/>
    <w:rsid w:val="00667AE0"/>
    <w:rsid w:val="0067065B"/>
    <w:rsid w:val="00674EDE"/>
    <w:rsid w:val="00675847"/>
    <w:rsid w:val="00677399"/>
    <w:rsid w:val="00680F60"/>
    <w:rsid w:val="0068175D"/>
    <w:rsid w:val="006817C6"/>
    <w:rsid w:val="00683943"/>
    <w:rsid w:val="00683C74"/>
    <w:rsid w:val="00684EEA"/>
    <w:rsid w:val="00685E0A"/>
    <w:rsid w:val="00686880"/>
    <w:rsid w:val="0069027E"/>
    <w:rsid w:val="00691ED6"/>
    <w:rsid w:val="00692567"/>
    <w:rsid w:val="00692E35"/>
    <w:rsid w:val="00695043"/>
    <w:rsid w:val="00695ECB"/>
    <w:rsid w:val="006A0ADD"/>
    <w:rsid w:val="006A1F2E"/>
    <w:rsid w:val="006A4BCC"/>
    <w:rsid w:val="006A545D"/>
    <w:rsid w:val="006A5B50"/>
    <w:rsid w:val="006A6BAF"/>
    <w:rsid w:val="006A6C80"/>
    <w:rsid w:val="006A7DBE"/>
    <w:rsid w:val="006B2580"/>
    <w:rsid w:val="006B3168"/>
    <w:rsid w:val="006B3599"/>
    <w:rsid w:val="006B43A1"/>
    <w:rsid w:val="006B4BDE"/>
    <w:rsid w:val="006B58AB"/>
    <w:rsid w:val="006B657C"/>
    <w:rsid w:val="006B73A8"/>
    <w:rsid w:val="006C079B"/>
    <w:rsid w:val="006C2295"/>
    <w:rsid w:val="006C399B"/>
    <w:rsid w:val="006C3BF9"/>
    <w:rsid w:val="006C45C4"/>
    <w:rsid w:val="006C4A8C"/>
    <w:rsid w:val="006C608B"/>
    <w:rsid w:val="006D1646"/>
    <w:rsid w:val="006D1CB7"/>
    <w:rsid w:val="006D5D02"/>
    <w:rsid w:val="006D6CC7"/>
    <w:rsid w:val="006D739A"/>
    <w:rsid w:val="006E0CCF"/>
    <w:rsid w:val="006E16DF"/>
    <w:rsid w:val="006E3AFA"/>
    <w:rsid w:val="006E4887"/>
    <w:rsid w:val="006E7C54"/>
    <w:rsid w:val="006F04A3"/>
    <w:rsid w:val="006F10A0"/>
    <w:rsid w:val="006F136B"/>
    <w:rsid w:val="006F30D2"/>
    <w:rsid w:val="006F3720"/>
    <w:rsid w:val="006F60FE"/>
    <w:rsid w:val="00700136"/>
    <w:rsid w:val="0070247E"/>
    <w:rsid w:val="007046F4"/>
    <w:rsid w:val="007054BB"/>
    <w:rsid w:val="007064B4"/>
    <w:rsid w:val="00707345"/>
    <w:rsid w:val="007105EF"/>
    <w:rsid w:val="00710BBA"/>
    <w:rsid w:val="0071215C"/>
    <w:rsid w:val="00712CF0"/>
    <w:rsid w:val="00713484"/>
    <w:rsid w:val="00713BAB"/>
    <w:rsid w:val="007147B7"/>
    <w:rsid w:val="00715D42"/>
    <w:rsid w:val="00717E3C"/>
    <w:rsid w:val="007202BE"/>
    <w:rsid w:val="007220ED"/>
    <w:rsid w:val="0072361F"/>
    <w:rsid w:val="0072452A"/>
    <w:rsid w:val="00724A56"/>
    <w:rsid w:val="00724ADF"/>
    <w:rsid w:val="00725850"/>
    <w:rsid w:val="00732A69"/>
    <w:rsid w:val="00735487"/>
    <w:rsid w:val="0073687A"/>
    <w:rsid w:val="00740F0B"/>
    <w:rsid w:val="0074231F"/>
    <w:rsid w:val="00742C06"/>
    <w:rsid w:val="00742FB8"/>
    <w:rsid w:val="00744470"/>
    <w:rsid w:val="007449C7"/>
    <w:rsid w:val="00751B6E"/>
    <w:rsid w:val="00751CDA"/>
    <w:rsid w:val="00752342"/>
    <w:rsid w:val="0075382A"/>
    <w:rsid w:val="00753CE4"/>
    <w:rsid w:val="00755AB3"/>
    <w:rsid w:val="00755BD1"/>
    <w:rsid w:val="00755E0D"/>
    <w:rsid w:val="00756CA8"/>
    <w:rsid w:val="00760C93"/>
    <w:rsid w:val="00761A3C"/>
    <w:rsid w:val="0076429D"/>
    <w:rsid w:val="007654BA"/>
    <w:rsid w:val="00766392"/>
    <w:rsid w:val="00766CDF"/>
    <w:rsid w:val="00767A6E"/>
    <w:rsid w:val="00767F92"/>
    <w:rsid w:val="007707B5"/>
    <w:rsid w:val="00771497"/>
    <w:rsid w:val="00772CBD"/>
    <w:rsid w:val="007732B2"/>
    <w:rsid w:val="007755F8"/>
    <w:rsid w:val="0077611C"/>
    <w:rsid w:val="00777198"/>
    <w:rsid w:val="007804E0"/>
    <w:rsid w:val="00783278"/>
    <w:rsid w:val="00784887"/>
    <w:rsid w:val="00785D0A"/>
    <w:rsid w:val="0078764D"/>
    <w:rsid w:val="00787B4A"/>
    <w:rsid w:val="007904C5"/>
    <w:rsid w:val="00790A36"/>
    <w:rsid w:val="00792C54"/>
    <w:rsid w:val="00793C39"/>
    <w:rsid w:val="00793F83"/>
    <w:rsid w:val="00794F1C"/>
    <w:rsid w:val="00796A66"/>
    <w:rsid w:val="007A26D5"/>
    <w:rsid w:val="007B2BD5"/>
    <w:rsid w:val="007B2EE9"/>
    <w:rsid w:val="007B42F0"/>
    <w:rsid w:val="007B45B1"/>
    <w:rsid w:val="007B5EC1"/>
    <w:rsid w:val="007B72F2"/>
    <w:rsid w:val="007C0CFC"/>
    <w:rsid w:val="007C35DF"/>
    <w:rsid w:val="007C42A3"/>
    <w:rsid w:val="007C43CB"/>
    <w:rsid w:val="007C6213"/>
    <w:rsid w:val="007D0DD2"/>
    <w:rsid w:val="007D43C8"/>
    <w:rsid w:val="007D5B23"/>
    <w:rsid w:val="007D70BA"/>
    <w:rsid w:val="007D7249"/>
    <w:rsid w:val="007E0704"/>
    <w:rsid w:val="007E0D43"/>
    <w:rsid w:val="007E2FEF"/>
    <w:rsid w:val="007E3A24"/>
    <w:rsid w:val="007E4E0B"/>
    <w:rsid w:val="007E5680"/>
    <w:rsid w:val="007E64F3"/>
    <w:rsid w:val="007E6B4E"/>
    <w:rsid w:val="007E6E3A"/>
    <w:rsid w:val="007E7F6F"/>
    <w:rsid w:val="007F1545"/>
    <w:rsid w:val="007F3299"/>
    <w:rsid w:val="007F5724"/>
    <w:rsid w:val="007F610F"/>
    <w:rsid w:val="007F7EBE"/>
    <w:rsid w:val="00800BC8"/>
    <w:rsid w:val="00801B78"/>
    <w:rsid w:val="00802BEE"/>
    <w:rsid w:val="00805EEE"/>
    <w:rsid w:val="00812E61"/>
    <w:rsid w:val="00815352"/>
    <w:rsid w:val="008157C8"/>
    <w:rsid w:val="00816231"/>
    <w:rsid w:val="00816637"/>
    <w:rsid w:val="008167B3"/>
    <w:rsid w:val="00816902"/>
    <w:rsid w:val="00820875"/>
    <w:rsid w:val="008211BA"/>
    <w:rsid w:val="008231F2"/>
    <w:rsid w:val="00823C63"/>
    <w:rsid w:val="008255B8"/>
    <w:rsid w:val="008263AB"/>
    <w:rsid w:val="00830C39"/>
    <w:rsid w:val="0083198D"/>
    <w:rsid w:val="0083428E"/>
    <w:rsid w:val="00834486"/>
    <w:rsid w:val="0084096B"/>
    <w:rsid w:val="00840ECA"/>
    <w:rsid w:val="0084124E"/>
    <w:rsid w:val="00843629"/>
    <w:rsid w:val="008466A1"/>
    <w:rsid w:val="00847E4C"/>
    <w:rsid w:val="008504D2"/>
    <w:rsid w:val="00851BB2"/>
    <w:rsid w:val="00852559"/>
    <w:rsid w:val="008525BE"/>
    <w:rsid w:val="0085345E"/>
    <w:rsid w:val="008551DA"/>
    <w:rsid w:val="00855265"/>
    <w:rsid w:val="00855FBE"/>
    <w:rsid w:val="008612D7"/>
    <w:rsid w:val="00861E0A"/>
    <w:rsid w:val="00864E96"/>
    <w:rsid w:val="0087180A"/>
    <w:rsid w:val="00873311"/>
    <w:rsid w:val="00876239"/>
    <w:rsid w:val="00877BEC"/>
    <w:rsid w:val="0088021D"/>
    <w:rsid w:val="00880576"/>
    <w:rsid w:val="008809C6"/>
    <w:rsid w:val="008824BB"/>
    <w:rsid w:val="0088376D"/>
    <w:rsid w:val="00884D4B"/>
    <w:rsid w:val="00886443"/>
    <w:rsid w:val="00886C4E"/>
    <w:rsid w:val="0089044F"/>
    <w:rsid w:val="00890497"/>
    <w:rsid w:val="00890937"/>
    <w:rsid w:val="0089148F"/>
    <w:rsid w:val="00894A14"/>
    <w:rsid w:val="00895814"/>
    <w:rsid w:val="008964A7"/>
    <w:rsid w:val="00897B61"/>
    <w:rsid w:val="008A04DF"/>
    <w:rsid w:val="008A15BD"/>
    <w:rsid w:val="008A1AFD"/>
    <w:rsid w:val="008A2577"/>
    <w:rsid w:val="008A2B6A"/>
    <w:rsid w:val="008A52A9"/>
    <w:rsid w:val="008A61EA"/>
    <w:rsid w:val="008A6C4F"/>
    <w:rsid w:val="008B095C"/>
    <w:rsid w:val="008B18AA"/>
    <w:rsid w:val="008B1A4B"/>
    <w:rsid w:val="008B366A"/>
    <w:rsid w:val="008B45E4"/>
    <w:rsid w:val="008B6F1B"/>
    <w:rsid w:val="008C0E7A"/>
    <w:rsid w:val="008C6475"/>
    <w:rsid w:val="008C6922"/>
    <w:rsid w:val="008C732A"/>
    <w:rsid w:val="008D1B68"/>
    <w:rsid w:val="008D63C2"/>
    <w:rsid w:val="008D689E"/>
    <w:rsid w:val="008E2FD0"/>
    <w:rsid w:val="008E5E59"/>
    <w:rsid w:val="008E5F03"/>
    <w:rsid w:val="008E7B94"/>
    <w:rsid w:val="008F1269"/>
    <w:rsid w:val="008F2BF0"/>
    <w:rsid w:val="008F4B00"/>
    <w:rsid w:val="008F6F56"/>
    <w:rsid w:val="00900635"/>
    <w:rsid w:val="00900FF6"/>
    <w:rsid w:val="00901A5A"/>
    <w:rsid w:val="00902236"/>
    <w:rsid w:val="0090246E"/>
    <w:rsid w:val="009041A6"/>
    <w:rsid w:val="00904E11"/>
    <w:rsid w:val="00906ADA"/>
    <w:rsid w:val="00907842"/>
    <w:rsid w:val="009111E9"/>
    <w:rsid w:val="00911957"/>
    <w:rsid w:val="009135A1"/>
    <w:rsid w:val="00914B50"/>
    <w:rsid w:val="00916551"/>
    <w:rsid w:val="00916805"/>
    <w:rsid w:val="00916BFD"/>
    <w:rsid w:val="00916C42"/>
    <w:rsid w:val="0091721A"/>
    <w:rsid w:val="00923022"/>
    <w:rsid w:val="0092505C"/>
    <w:rsid w:val="009256DD"/>
    <w:rsid w:val="00925C0F"/>
    <w:rsid w:val="00925EA2"/>
    <w:rsid w:val="009268F0"/>
    <w:rsid w:val="00927E21"/>
    <w:rsid w:val="00931110"/>
    <w:rsid w:val="00931800"/>
    <w:rsid w:val="00931CA0"/>
    <w:rsid w:val="00934BF3"/>
    <w:rsid w:val="00941F97"/>
    <w:rsid w:val="00942B9A"/>
    <w:rsid w:val="00942E58"/>
    <w:rsid w:val="00943D25"/>
    <w:rsid w:val="00943F23"/>
    <w:rsid w:val="009445C9"/>
    <w:rsid w:val="00944904"/>
    <w:rsid w:val="00953482"/>
    <w:rsid w:val="00955531"/>
    <w:rsid w:val="0095671B"/>
    <w:rsid w:val="009607A2"/>
    <w:rsid w:val="00961092"/>
    <w:rsid w:val="00961138"/>
    <w:rsid w:val="0096186C"/>
    <w:rsid w:val="00961D18"/>
    <w:rsid w:val="00961ED1"/>
    <w:rsid w:val="00962113"/>
    <w:rsid w:val="00962AB1"/>
    <w:rsid w:val="0096335F"/>
    <w:rsid w:val="00963E6E"/>
    <w:rsid w:val="00964A19"/>
    <w:rsid w:val="00966034"/>
    <w:rsid w:val="00966346"/>
    <w:rsid w:val="00967713"/>
    <w:rsid w:val="009705C5"/>
    <w:rsid w:val="00970A9A"/>
    <w:rsid w:val="0097452A"/>
    <w:rsid w:val="00974964"/>
    <w:rsid w:val="00976908"/>
    <w:rsid w:val="00976E5A"/>
    <w:rsid w:val="00981A8D"/>
    <w:rsid w:val="00982E0C"/>
    <w:rsid w:val="00984564"/>
    <w:rsid w:val="00984B59"/>
    <w:rsid w:val="00987AEC"/>
    <w:rsid w:val="00991667"/>
    <w:rsid w:val="00992D2A"/>
    <w:rsid w:val="009936AF"/>
    <w:rsid w:val="00995BA8"/>
    <w:rsid w:val="009976E2"/>
    <w:rsid w:val="009A0323"/>
    <w:rsid w:val="009A0DB3"/>
    <w:rsid w:val="009A1F62"/>
    <w:rsid w:val="009A23DB"/>
    <w:rsid w:val="009A2905"/>
    <w:rsid w:val="009A386A"/>
    <w:rsid w:val="009A388F"/>
    <w:rsid w:val="009A462C"/>
    <w:rsid w:val="009A6065"/>
    <w:rsid w:val="009A66D0"/>
    <w:rsid w:val="009B1860"/>
    <w:rsid w:val="009B2AD1"/>
    <w:rsid w:val="009B36A1"/>
    <w:rsid w:val="009B3856"/>
    <w:rsid w:val="009B6BD3"/>
    <w:rsid w:val="009B7258"/>
    <w:rsid w:val="009C00F6"/>
    <w:rsid w:val="009C1E90"/>
    <w:rsid w:val="009C4076"/>
    <w:rsid w:val="009C45A0"/>
    <w:rsid w:val="009C4C53"/>
    <w:rsid w:val="009C6A79"/>
    <w:rsid w:val="009C7ADA"/>
    <w:rsid w:val="009D2411"/>
    <w:rsid w:val="009D57EA"/>
    <w:rsid w:val="009D70F7"/>
    <w:rsid w:val="009D7AC9"/>
    <w:rsid w:val="009E13D3"/>
    <w:rsid w:val="009E2F38"/>
    <w:rsid w:val="009E3D5D"/>
    <w:rsid w:val="009E4C56"/>
    <w:rsid w:val="009E4DAC"/>
    <w:rsid w:val="009E6714"/>
    <w:rsid w:val="009F2479"/>
    <w:rsid w:val="009F2E24"/>
    <w:rsid w:val="009F415E"/>
    <w:rsid w:val="009F430A"/>
    <w:rsid w:val="009F43D7"/>
    <w:rsid w:val="009F4A01"/>
    <w:rsid w:val="00A0140F"/>
    <w:rsid w:val="00A03B01"/>
    <w:rsid w:val="00A111C7"/>
    <w:rsid w:val="00A12028"/>
    <w:rsid w:val="00A1241D"/>
    <w:rsid w:val="00A12642"/>
    <w:rsid w:val="00A14386"/>
    <w:rsid w:val="00A20E4C"/>
    <w:rsid w:val="00A2154E"/>
    <w:rsid w:val="00A21A57"/>
    <w:rsid w:val="00A2365C"/>
    <w:rsid w:val="00A26B56"/>
    <w:rsid w:val="00A32C22"/>
    <w:rsid w:val="00A33111"/>
    <w:rsid w:val="00A33698"/>
    <w:rsid w:val="00A34476"/>
    <w:rsid w:val="00A3451F"/>
    <w:rsid w:val="00A34B4F"/>
    <w:rsid w:val="00A36DB1"/>
    <w:rsid w:val="00A37092"/>
    <w:rsid w:val="00A41110"/>
    <w:rsid w:val="00A41F7A"/>
    <w:rsid w:val="00A42CFA"/>
    <w:rsid w:val="00A4437D"/>
    <w:rsid w:val="00A47C64"/>
    <w:rsid w:val="00A51EFA"/>
    <w:rsid w:val="00A5354B"/>
    <w:rsid w:val="00A543C2"/>
    <w:rsid w:val="00A55B97"/>
    <w:rsid w:val="00A564FA"/>
    <w:rsid w:val="00A57926"/>
    <w:rsid w:val="00A57BC8"/>
    <w:rsid w:val="00A57F50"/>
    <w:rsid w:val="00A61C5C"/>
    <w:rsid w:val="00A633F8"/>
    <w:rsid w:val="00A63AD9"/>
    <w:rsid w:val="00A64C93"/>
    <w:rsid w:val="00A6532E"/>
    <w:rsid w:val="00A6595A"/>
    <w:rsid w:val="00A66CDC"/>
    <w:rsid w:val="00A67405"/>
    <w:rsid w:val="00A7003B"/>
    <w:rsid w:val="00A70862"/>
    <w:rsid w:val="00A733B9"/>
    <w:rsid w:val="00A75DB1"/>
    <w:rsid w:val="00A764DE"/>
    <w:rsid w:val="00A765BE"/>
    <w:rsid w:val="00A8068F"/>
    <w:rsid w:val="00A8198A"/>
    <w:rsid w:val="00A82024"/>
    <w:rsid w:val="00A84055"/>
    <w:rsid w:val="00A860A6"/>
    <w:rsid w:val="00A90E5A"/>
    <w:rsid w:val="00A91237"/>
    <w:rsid w:val="00A93704"/>
    <w:rsid w:val="00A9505F"/>
    <w:rsid w:val="00A960D0"/>
    <w:rsid w:val="00A96985"/>
    <w:rsid w:val="00A97BFF"/>
    <w:rsid w:val="00AA01D0"/>
    <w:rsid w:val="00AA1EE1"/>
    <w:rsid w:val="00AA2205"/>
    <w:rsid w:val="00AA2A14"/>
    <w:rsid w:val="00AA668A"/>
    <w:rsid w:val="00AB4146"/>
    <w:rsid w:val="00AB52F8"/>
    <w:rsid w:val="00AB6B3D"/>
    <w:rsid w:val="00AB7168"/>
    <w:rsid w:val="00AB75B5"/>
    <w:rsid w:val="00AB7D3A"/>
    <w:rsid w:val="00AC29F5"/>
    <w:rsid w:val="00AC3965"/>
    <w:rsid w:val="00AC4035"/>
    <w:rsid w:val="00AC4752"/>
    <w:rsid w:val="00AC499A"/>
    <w:rsid w:val="00AC51DE"/>
    <w:rsid w:val="00AC54B4"/>
    <w:rsid w:val="00AC5EAC"/>
    <w:rsid w:val="00AC6707"/>
    <w:rsid w:val="00AC7872"/>
    <w:rsid w:val="00AD07DA"/>
    <w:rsid w:val="00AD4413"/>
    <w:rsid w:val="00AD4D95"/>
    <w:rsid w:val="00AD5BF1"/>
    <w:rsid w:val="00AD6E16"/>
    <w:rsid w:val="00AD6FD7"/>
    <w:rsid w:val="00AD71BB"/>
    <w:rsid w:val="00AD7908"/>
    <w:rsid w:val="00AE0191"/>
    <w:rsid w:val="00AE1B6C"/>
    <w:rsid w:val="00AE1CA6"/>
    <w:rsid w:val="00AE4350"/>
    <w:rsid w:val="00AE72DA"/>
    <w:rsid w:val="00AF0867"/>
    <w:rsid w:val="00AF192F"/>
    <w:rsid w:val="00AF2EF2"/>
    <w:rsid w:val="00AF49A0"/>
    <w:rsid w:val="00AF4A66"/>
    <w:rsid w:val="00AF5C84"/>
    <w:rsid w:val="00AF6B5E"/>
    <w:rsid w:val="00B00D7C"/>
    <w:rsid w:val="00B01A8C"/>
    <w:rsid w:val="00B01DB0"/>
    <w:rsid w:val="00B026B1"/>
    <w:rsid w:val="00B02F78"/>
    <w:rsid w:val="00B038FE"/>
    <w:rsid w:val="00B03D3D"/>
    <w:rsid w:val="00B0450F"/>
    <w:rsid w:val="00B05C10"/>
    <w:rsid w:val="00B06445"/>
    <w:rsid w:val="00B07450"/>
    <w:rsid w:val="00B0747F"/>
    <w:rsid w:val="00B1195F"/>
    <w:rsid w:val="00B12C77"/>
    <w:rsid w:val="00B131DC"/>
    <w:rsid w:val="00B13232"/>
    <w:rsid w:val="00B13BBC"/>
    <w:rsid w:val="00B15D10"/>
    <w:rsid w:val="00B2138E"/>
    <w:rsid w:val="00B23976"/>
    <w:rsid w:val="00B2707A"/>
    <w:rsid w:val="00B31C4A"/>
    <w:rsid w:val="00B32B31"/>
    <w:rsid w:val="00B33B5B"/>
    <w:rsid w:val="00B35449"/>
    <w:rsid w:val="00B415F6"/>
    <w:rsid w:val="00B451F0"/>
    <w:rsid w:val="00B47B18"/>
    <w:rsid w:val="00B50121"/>
    <w:rsid w:val="00B50318"/>
    <w:rsid w:val="00B50B94"/>
    <w:rsid w:val="00B50C66"/>
    <w:rsid w:val="00B534F4"/>
    <w:rsid w:val="00B55425"/>
    <w:rsid w:val="00B55D27"/>
    <w:rsid w:val="00B57DA6"/>
    <w:rsid w:val="00B64263"/>
    <w:rsid w:val="00B662F2"/>
    <w:rsid w:val="00B669E3"/>
    <w:rsid w:val="00B67997"/>
    <w:rsid w:val="00B71843"/>
    <w:rsid w:val="00B7269A"/>
    <w:rsid w:val="00B72D5F"/>
    <w:rsid w:val="00B7315C"/>
    <w:rsid w:val="00B736A2"/>
    <w:rsid w:val="00B7480C"/>
    <w:rsid w:val="00B753FA"/>
    <w:rsid w:val="00B7680D"/>
    <w:rsid w:val="00B76872"/>
    <w:rsid w:val="00B77BC0"/>
    <w:rsid w:val="00B82616"/>
    <w:rsid w:val="00B8355F"/>
    <w:rsid w:val="00B83DE0"/>
    <w:rsid w:val="00B85747"/>
    <w:rsid w:val="00B85A2D"/>
    <w:rsid w:val="00B866FF"/>
    <w:rsid w:val="00B86B20"/>
    <w:rsid w:val="00B86E45"/>
    <w:rsid w:val="00B9125C"/>
    <w:rsid w:val="00B91CAF"/>
    <w:rsid w:val="00B92879"/>
    <w:rsid w:val="00B9456E"/>
    <w:rsid w:val="00B94B9D"/>
    <w:rsid w:val="00B94E36"/>
    <w:rsid w:val="00B94F4E"/>
    <w:rsid w:val="00B96A8C"/>
    <w:rsid w:val="00B96E3D"/>
    <w:rsid w:val="00BA4995"/>
    <w:rsid w:val="00BA4BB1"/>
    <w:rsid w:val="00BA5E0C"/>
    <w:rsid w:val="00BB01E6"/>
    <w:rsid w:val="00BB14BD"/>
    <w:rsid w:val="00BB1669"/>
    <w:rsid w:val="00BB2422"/>
    <w:rsid w:val="00BB4D54"/>
    <w:rsid w:val="00BB531A"/>
    <w:rsid w:val="00BB5689"/>
    <w:rsid w:val="00BB62EE"/>
    <w:rsid w:val="00BC00BE"/>
    <w:rsid w:val="00BC0600"/>
    <w:rsid w:val="00BC135D"/>
    <w:rsid w:val="00BC5986"/>
    <w:rsid w:val="00BC7BE5"/>
    <w:rsid w:val="00BC7FEA"/>
    <w:rsid w:val="00BD03DC"/>
    <w:rsid w:val="00BD0D96"/>
    <w:rsid w:val="00BD229C"/>
    <w:rsid w:val="00BD2A71"/>
    <w:rsid w:val="00BD2EF4"/>
    <w:rsid w:val="00BD5C15"/>
    <w:rsid w:val="00BD7627"/>
    <w:rsid w:val="00BD7A41"/>
    <w:rsid w:val="00BE29AE"/>
    <w:rsid w:val="00BE3179"/>
    <w:rsid w:val="00BE3810"/>
    <w:rsid w:val="00BE5171"/>
    <w:rsid w:val="00BE725B"/>
    <w:rsid w:val="00BE72BA"/>
    <w:rsid w:val="00BE7DBA"/>
    <w:rsid w:val="00BF00E8"/>
    <w:rsid w:val="00BF0EB7"/>
    <w:rsid w:val="00BF237F"/>
    <w:rsid w:val="00C02301"/>
    <w:rsid w:val="00C025A0"/>
    <w:rsid w:val="00C030E9"/>
    <w:rsid w:val="00C03971"/>
    <w:rsid w:val="00C046D4"/>
    <w:rsid w:val="00C04B83"/>
    <w:rsid w:val="00C11AA1"/>
    <w:rsid w:val="00C138B3"/>
    <w:rsid w:val="00C1569C"/>
    <w:rsid w:val="00C169CB"/>
    <w:rsid w:val="00C1770A"/>
    <w:rsid w:val="00C177AA"/>
    <w:rsid w:val="00C17949"/>
    <w:rsid w:val="00C20C5A"/>
    <w:rsid w:val="00C20F1A"/>
    <w:rsid w:val="00C2195D"/>
    <w:rsid w:val="00C238F6"/>
    <w:rsid w:val="00C24F81"/>
    <w:rsid w:val="00C252DA"/>
    <w:rsid w:val="00C25EFD"/>
    <w:rsid w:val="00C2797C"/>
    <w:rsid w:val="00C27E89"/>
    <w:rsid w:val="00C3079F"/>
    <w:rsid w:val="00C30E1D"/>
    <w:rsid w:val="00C31817"/>
    <w:rsid w:val="00C33AC8"/>
    <w:rsid w:val="00C342D0"/>
    <w:rsid w:val="00C35948"/>
    <w:rsid w:val="00C41A75"/>
    <w:rsid w:val="00C44EEA"/>
    <w:rsid w:val="00C47624"/>
    <w:rsid w:val="00C51123"/>
    <w:rsid w:val="00C51E2F"/>
    <w:rsid w:val="00C5208D"/>
    <w:rsid w:val="00C536FA"/>
    <w:rsid w:val="00C54532"/>
    <w:rsid w:val="00C54551"/>
    <w:rsid w:val="00C552AF"/>
    <w:rsid w:val="00C55A03"/>
    <w:rsid w:val="00C56324"/>
    <w:rsid w:val="00C56765"/>
    <w:rsid w:val="00C56AE6"/>
    <w:rsid w:val="00C570F3"/>
    <w:rsid w:val="00C577B0"/>
    <w:rsid w:val="00C60739"/>
    <w:rsid w:val="00C62D58"/>
    <w:rsid w:val="00C630C6"/>
    <w:rsid w:val="00C65D43"/>
    <w:rsid w:val="00C679EE"/>
    <w:rsid w:val="00C723BA"/>
    <w:rsid w:val="00C727DA"/>
    <w:rsid w:val="00C76EF1"/>
    <w:rsid w:val="00C77FCD"/>
    <w:rsid w:val="00C8087D"/>
    <w:rsid w:val="00C82356"/>
    <w:rsid w:val="00C8533D"/>
    <w:rsid w:val="00C8594E"/>
    <w:rsid w:val="00C86938"/>
    <w:rsid w:val="00C90E89"/>
    <w:rsid w:val="00C91508"/>
    <w:rsid w:val="00C92FB7"/>
    <w:rsid w:val="00C947BD"/>
    <w:rsid w:val="00C950AE"/>
    <w:rsid w:val="00C95B50"/>
    <w:rsid w:val="00CA0798"/>
    <w:rsid w:val="00CA165D"/>
    <w:rsid w:val="00CA2EB2"/>
    <w:rsid w:val="00CA34EF"/>
    <w:rsid w:val="00CA62F3"/>
    <w:rsid w:val="00CA6655"/>
    <w:rsid w:val="00CA6BE1"/>
    <w:rsid w:val="00CA6DE2"/>
    <w:rsid w:val="00CB28CE"/>
    <w:rsid w:val="00CB53A0"/>
    <w:rsid w:val="00CB5769"/>
    <w:rsid w:val="00CC0F26"/>
    <w:rsid w:val="00CC14DC"/>
    <w:rsid w:val="00CC3559"/>
    <w:rsid w:val="00CC48DB"/>
    <w:rsid w:val="00CC6349"/>
    <w:rsid w:val="00CC6455"/>
    <w:rsid w:val="00CC6F24"/>
    <w:rsid w:val="00CD3136"/>
    <w:rsid w:val="00CD47D3"/>
    <w:rsid w:val="00CD6557"/>
    <w:rsid w:val="00CD7C0A"/>
    <w:rsid w:val="00CE17EB"/>
    <w:rsid w:val="00CE1E6D"/>
    <w:rsid w:val="00CE21A3"/>
    <w:rsid w:val="00CE5884"/>
    <w:rsid w:val="00CE6A6F"/>
    <w:rsid w:val="00CE71E9"/>
    <w:rsid w:val="00CE7360"/>
    <w:rsid w:val="00CF063E"/>
    <w:rsid w:val="00CF10A2"/>
    <w:rsid w:val="00CF3C1F"/>
    <w:rsid w:val="00CF52D5"/>
    <w:rsid w:val="00CF6866"/>
    <w:rsid w:val="00CF6E38"/>
    <w:rsid w:val="00CF72C1"/>
    <w:rsid w:val="00CF7F60"/>
    <w:rsid w:val="00D0325E"/>
    <w:rsid w:val="00D032C5"/>
    <w:rsid w:val="00D04077"/>
    <w:rsid w:val="00D05826"/>
    <w:rsid w:val="00D05E45"/>
    <w:rsid w:val="00D10053"/>
    <w:rsid w:val="00D1029D"/>
    <w:rsid w:val="00D11ADC"/>
    <w:rsid w:val="00D11E59"/>
    <w:rsid w:val="00D1296A"/>
    <w:rsid w:val="00D130B5"/>
    <w:rsid w:val="00D13D82"/>
    <w:rsid w:val="00D141A0"/>
    <w:rsid w:val="00D148EF"/>
    <w:rsid w:val="00D166DD"/>
    <w:rsid w:val="00D202EE"/>
    <w:rsid w:val="00D217AA"/>
    <w:rsid w:val="00D21BCB"/>
    <w:rsid w:val="00D21F2B"/>
    <w:rsid w:val="00D230E8"/>
    <w:rsid w:val="00D24A91"/>
    <w:rsid w:val="00D24D44"/>
    <w:rsid w:val="00D2522B"/>
    <w:rsid w:val="00D27D83"/>
    <w:rsid w:val="00D303F8"/>
    <w:rsid w:val="00D31613"/>
    <w:rsid w:val="00D34C57"/>
    <w:rsid w:val="00D35AC8"/>
    <w:rsid w:val="00D40376"/>
    <w:rsid w:val="00D4165B"/>
    <w:rsid w:val="00D43368"/>
    <w:rsid w:val="00D43E75"/>
    <w:rsid w:val="00D43F45"/>
    <w:rsid w:val="00D46054"/>
    <w:rsid w:val="00D5089E"/>
    <w:rsid w:val="00D56F02"/>
    <w:rsid w:val="00D57096"/>
    <w:rsid w:val="00D576AC"/>
    <w:rsid w:val="00D60073"/>
    <w:rsid w:val="00D61F5C"/>
    <w:rsid w:val="00D6208A"/>
    <w:rsid w:val="00D6267C"/>
    <w:rsid w:val="00D62736"/>
    <w:rsid w:val="00D62744"/>
    <w:rsid w:val="00D638AC"/>
    <w:rsid w:val="00D639BA"/>
    <w:rsid w:val="00D652FE"/>
    <w:rsid w:val="00D65B46"/>
    <w:rsid w:val="00D70A73"/>
    <w:rsid w:val="00D7111B"/>
    <w:rsid w:val="00D719A9"/>
    <w:rsid w:val="00D7380E"/>
    <w:rsid w:val="00D75502"/>
    <w:rsid w:val="00D75F67"/>
    <w:rsid w:val="00D77428"/>
    <w:rsid w:val="00D77F68"/>
    <w:rsid w:val="00D80AF1"/>
    <w:rsid w:val="00D8440C"/>
    <w:rsid w:val="00D845A9"/>
    <w:rsid w:val="00D849A3"/>
    <w:rsid w:val="00D86B27"/>
    <w:rsid w:val="00DA0857"/>
    <w:rsid w:val="00DA0CE0"/>
    <w:rsid w:val="00DA1093"/>
    <w:rsid w:val="00DA1300"/>
    <w:rsid w:val="00DA1391"/>
    <w:rsid w:val="00DA3640"/>
    <w:rsid w:val="00DA38E9"/>
    <w:rsid w:val="00DA4EF5"/>
    <w:rsid w:val="00DA6395"/>
    <w:rsid w:val="00DA671E"/>
    <w:rsid w:val="00DA74FD"/>
    <w:rsid w:val="00DB026F"/>
    <w:rsid w:val="00DB03E8"/>
    <w:rsid w:val="00DB0B4E"/>
    <w:rsid w:val="00DB2CF8"/>
    <w:rsid w:val="00DB4B40"/>
    <w:rsid w:val="00DC1EB3"/>
    <w:rsid w:val="00DC4E7B"/>
    <w:rsid w:val="00DC5881"/>
    <w:rsid w:val="00DC62EC"/>
    <w:rsid w:val="00DC76C8"/>
    <w:rsid w:val="00DD0089"/>
    <w:rsid w:val="00DD1937"/>
    <w:rsid w:val="00DD19BE"/>
    <w:rsid w:val="00DD260A"/>
    <w:rsid w:val="00DD393B"/>
    <w:rsid w:val="00DD54C0"/>
    <w:rsid w:val="00DD68D8"/>
    <w:rsid w:val="00DD7583"/>
    <w:rsid w:val="00DD79D9"/>
    <w:rsid w:val="00DE6CBB"/>
    <w:rsid w:val="00DE7586"/>
    <w:rsid w:val="00DF0E96"/>
    <w:rsid w:val="00DF2052"/>
    <w:rsid w:val="00DF3B36"/>
    <w:rsid w:val="00DF451A"/>
    <w:rsid w:val="00DF5C19"/>
    <w:rsid w:val="00DF612D"/>
    <w:rsid w:val="00DF6EC1"/>
    <w:rsid w:val="00E01C55"/>
    <w:rsid w:val="00E0739F"/>
    <w:rsid w:val="00E07846"/>
    <w:rsid w:val="00E07F0C"/>
    <w:rsid w:val="00E111B8"/>
    <w:rsid w:val="00E11954"/>
    <w:rsid w:val="00E124FC"/>
    <w:rsid w:val="00E15074"/>
    <w:rsid w:val="00E155A2"/>
    <w:rsid w:val="00E15F7B"/>
    <w:rsid w:val="00E161A9"/>
    <w:rsid w:val="00E1684E"/>
    <w:rsid w:val="00E17D57"/>
    <w:rsid w:val="00E221DE"/>
    <w:rsid w:val="00E22857"/>
    <w:rsid w:val="00E22B5D"/>
    <w:rsid w:val="00E2354C"/>
    <w:rsid w:val="00E27A87"/>
    <w:rsid w:val="00E3060A"/>
    <w:rsid w:val="00E3095D"/>
    <w:rsid w:val="00E30D2A"/>
    <w:rsid w:val="00E325EA"/>
    <w:rsid w:val="00E33EEC"/>
    <w:rsid w:val="00E35259"/>
    <w:rsid w:val="00E3536E"/>
    <w:rsid w:val="00E3571C"/>
    <w:rsid w:val="00E361A3"/>
    <w:rsid w:val="00E37F43"/>
    <w:rsid w:val="00E41D27"/>
    <w:rsid w:val="00E45252"/>
    <w:rsid w:val="00E5078C"/>
    <w:rsid w:val="00E5081E"/>
    <w:rsid w:val="00E50EE5"/>
    <w:rsid w:val="00E51D4C"/>
    <w:rsid w:val="00E55194"/>
    <w:rsid w:val="00E556F6"/>
    <w:rsid w:val="00E60413"/>
    <w:rsid w:val="00E60C10"/>
    <w:rsid w:val="00E6199E"/>
    <w:rsid w:val="00E6280E"/>
    <w:rsid w:val="00E636BD"/>
    <w:rsid w:val="00E645A1"/>
    <w:rsid w:val="00E64D06"/>
    <w:rsid w:val="00E64E09"/>
    <w:rsid w:val="00E7143E"/>
    <w:rsid w:val="00E73B32"/>
    <w:rsid w:val="00E73E68"/>
    <w:rsid w:val="00E744C8"/>
    <w:rsid w:val="00E76C64"/>
    <w:rsid w:val="00E806D9"/>
    <w:rsid w:val="00E8099A"/>
    <w:rsid w:val="00E81498"/>
    <w:rsid w:val="00E83D08"/>
    <w:rsid w:val="00E84666"/>
    <w:rsid w:val="00E87204"/>
    <w:rsid w:val="00E903B0"/>
    <w:rsid w:val="00E926D0"/>
    <w:rsid w:val="00E93B0B"/>
    <w:rsid w:val="00E947F7"/>
    <w:rsid w:val="00E94F02"/>
    <w:rsid w:val="00E96307"/>
    <w:rsid w:val="00EA03EA"/>
    <w:rsid w:val="00EA498C"/>
    <w:rsid w:val="00EA5564"/>
    <w:rsid w:val="00EA7BFA"/>
    <w:rsid w:val="00EB0014"/>
    <w:rsid w:val="00EB43B8"/>
    <w:rsid w:val="00EB4BE5"/>
    <w:rsid w:val="00EB5D6B"/>
    <w:rsid w:val="00EB70A5"/>
    <w:rsid w:val="00EB730A"/>
    <w:rsid w:val="00EB79D5"/>
    <w:rsid w:val="00EB7CB7"/>
    <w:rsid w:val="00EB7CEF"/>
    <w:rsid w:val="00EC0565"/>
    <w:rsid w:val="00EC1CF0"/>
    <w:rsid w:val="00EC24BA"/>
    <w:rsid w:val="00EC27DE"/>
    <w:rsid w:val="00EC3861"/>
    <w:rsid w:val="00ED069E"/>
    <w:rsid w:val="00ED1975"/>
    <w:rsid w:val="00ED2C59"/>
    <w:rsid w:val="00ED5A81"/>
    <w:rsid w:val="00EE0249"/>
    <w:rsid w:val="00EE02E9"/>
    <w:rsid w:val="00EE1B50"/>
    <w:rsid w:val="00EE3000"/>
    <w:rsid w:val="00EE61C3"/>
    <w:rsid w:val="00EE6A78"/>
    <w:rsid w:val="00EF075A"/>
    <w:rsid w:val="00EF3ED4"/>
    <w:rsid w:val="00EF6E1B"/>
    <w:rsid w:val="00F0076A"/>
    <w:rsid w:val="00F039CC"/>
    <w:rsid w:val="00F041DB"/>
    <w:rsid w:val="00F11352"/>
    <w:rsid w:val="00F1205F"/>
    <w:rsid w:val="00F125A0"/>
    <w:rsid w:val="00F135A3"/>
    <w:rsid w:val="00F13DB7"/>
    <w:rsid w:val="00F1511E"/>
    <w:rsid w:val="00F21D94"/>
    <w:rsid w:val="00F22375"/>
    <w:rsid w:val="00F239CB"/>
    <w:rsid w:val="00F24341"/>
    <w:rsid w:val="00F300F2"/>
    <w:rsid w:val="00F319C3"/>
    <w:rsid w:val="00F31DF2"/>
    <w:rsid w:val="00F3399F"/>
    <w:rsid w:val="00F33BDF"/>
    <w:rsid w:val="00F36026"/>
    <w:rsid w:val="00F364FE"/>
    <w:rsid w:val="00F373BE"/>
    <w:rsid w:val="00F40E1A"/>
    <w:rsid w:val="00F41FFF"/>
    <w:rsid w:val="00F4314A"/>
    <w:rsid w:val="00F43293"/>
    <w:rsid w:val="00F45A13"/>
    <w:rsid w:val="00F45E94"/>
    <w:rsid w:val="00F47798"/>
    <w:rsid w:val="00F51E76"/>
    <w:rsid w:val="00F51FAA"/>
    <w:rsid w:val="00F52E03"/>
    <w:rsid w:val="00F55CDA"/>
    <w:rsid w:val="00F60260"/>
    <w:rsid w:val="00F6048D"/>
    <w:rsid w:val="00F6140C"/>
    <w:rsid w:val="00F61B9E"/>
    <w:rsid w:val="00F62168"/>
    <w:rsid w:val="00F6319D"/>
    <w:rsid w:val="00F64AB5"/>
    <w:rsid w:val="00F64B74"/>
    <w:rsid w:val="00F64EAD"/>
    <w:rsid w:val="00F651A8"/>
    <w:rsid w:val="00F669AF"/>
    <w:rsid w:val="00F703B1"/>
    <w:rsid w:val="00F71583"/>
    <w:rsid w:val="00F73BD7"/>
    <w:rsid w:val="00F7484C"/>
    <w:rsid w:val="00F7493A"/>
    <w:rsid w:val="00F74EC1"/>
    <w:rsid w:val="00F76AD9"/>
    <w:rsid w:val="00F80614"/>
    <w:rsid w:val="00F80BBB"/>
    <w:rsid w:val="00F8184C"/>
    <w:rsid w:val="00F86EC9"/>
    <w:rsid w:val="00F90405"/>
    <w:rsid w:val="00F90650"/>
    <w:rsid w:val="00F92CBF"/>
    <w:rsid w:val="00F9477F"/>
    <w:rsid w:val="00F96803"/>
    <w:rsid w:val="00FA2279"/>
    <w:rsid w:val="00FA63DE"/>
    <w:rsid w:val="00FB1441"/>
    <w:rsid w:val="00FB160A"/>
    <w:rsid w:val="00FB1FC5"/>
    <w:rsid w:val="00FB295F"/>
    <w:rsid w:val="00FB51C4"/>
    <w:rsid w:val="00FB6F28"/>
    <w:rsid w:val="00FB6FF2"/>
    <w:rsid w:val="00FB73AC"/>
    <w:rsid w:val="00FC4922"/>
    <w:rsid w:val="00FC55E1"/>
    <w:rsid w:val="00FC58BC"/>
    <w:rsid w:val="00FD075F"/>
    <w:rsid w:val="00FD0CF1"/>
    <w:rsid w:val="00FD21A3"/>
    <w:rsid w:val="00FD2DB4"/>
    <w:rsid w:val="00FD457F"/>
    <w:rsid w:val="00FD47FC"/>
    <w:rsid w:val="00FD5BE1"/>
    <w:rsid w:val="00FE0E20"/>
    <w:rsid w:val="00FE21ED"/>
    <w:rsid w:val="00FE28EE"/>
    <w:rsid w:val="00FE361B"/>
    <w:rsid w:val="00FE40C9"/>
    <w:rsid w:val="00FE44F5"/>
    <w:rsid w:val="00FE52E8"/>
    <w:rsid w:val="00FE6C5D"/>
    <w:rsid w:val="00FE7095"/>
    <w:rsid w:val="00FF280E"/>
    <w:rsid w:val="00FF2AA1"/>
    <w:rsid w:val="00FF3819"/>
    <w:rsid w:val="00FF3C1A"/>
    <w:rsid w:val="00FF4B9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93A24C7"/>
  <w14:defaultImageDpi w14:val="32767"/>
  <w15:chartTrackingRefBased/>
  <w15:docId w15:val="{6D8A9A41-5B44-40C4-9626-9D8A41E70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E5E59"/>
    <w:pPr>
      <w:widowControl w:val="0"/>
      <w:wordWrap w:val="0"/>
      <w:autoSpaceDE w:val="0"/>
      <w:autoSpaceDN w:val="0"/>
    </w:pPr>
    <w:rPr>
      <w:rFonts w:eastAsia="Times New Roman"/>
    </w:rPr>
  </w:style>
  <w:style w:type="paragraph" w:styleId="1">
    <w:name w:val="heading 1"/>
    <w:basedOn w:val="a"/>
    <w:next w:val="a"/>
    <w:link w:val="1Char"/>
    <w:uiPriority w:val="9"/>
    <w:qFormat/>
    <w:rsid w:val="00751B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B47B1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751B6E"/>
    <w:rPr>
      <w:rFonts w:asciiTheme="majorHAnsi" w:eastAsiaTheme="majorEastAsia" w:hAnsiTheme="majorHAnsi" w:cstheme="majorBidi"/>
      <w:color w:val="2F5496" w:themeColor="accent1" w:themeShade="BF"/>
      <w:sz w:val="32"/>
      <w:szCs w:val="32"/>
    </w:rPr>
  </w:style>
  <w:style w:type="character" w:customStyle="1" w:styleId="2Char">
    <w:name w:val="제목 2 Char"/>
    <w:basedOn w:val="a0"/>
    <w:link w:val="2"/>
    <w:uiPriority w:val="9"/>
    <w:rsid w:val="00B47B18"/>
    <w:rPr>
      <w:rFonts w:asciiTheme="majorHAnsi" w:eastAsiaTheme="majorEastAsia" w:hAnsiTheme="majorHAnsi" w:cstheme="majorBidi"/>
    </w:rPr>
  </w:style>
  <w:style w:type="character" w:styleId="a3">
    <w:name w:val="Placeholder Text"/>
    <w:basedOn w:val="a0"/>
    <w:uiPriority w:val="99"/>
    <w:semiHidden/>
    <w:rsid w:val="001D685A"/>
    <w:rPr>
      <w:color w:val="808080"/>
    </w:rPr>
  </w:style>
  <w:style w:type="character" w:styleId="a4">
    <w:name w:val="Emphasis"/>
    <w:basedOn w:val="a0"/>
    <w:uiPriority w:val="20"/>
    <w:qFormat/>
    <w:rsid w:val="00BB1669"/>
    <w:rPr>
      <w:i/>
      <w:iCs/>
    </w:rPr>
  </w:style>
  <w:style w:type="character" w:styleId="a5">
    <w:name w:val="Strong"/>
    <w:basedOn w:val="a0"/>
    <w:uiPriority w:val="22"/>
    <w:qFormat/>
    <w:rsid w:val="00BB1669"/>
    <w:rPr>
      <w:b/>
      <w:bCs/>
    </w:rPr>
  </w:style>
  <w:style w:type="paragraph" w:styleId="a6">
    <w:name w:val="List Paragraph"/>
    <w:basedOn w:val="a"/>
    <w:link w:val="Char"/>
    <w:uiPriority w:val="34"/>
    <w:qFormat/>
    <w:rsid w:val="0004212C"/>
    <w:pPr>
      <w:ind w:leftChars="400" w:left="800"/>
    </w:pPr>
  </w:style>
  <w:style w:type="character" w:customStyle="1" w:styleId="Char">
    <w:name w:val="목록 단락 Char"/>
    <w:basedOn w:val="a0"/>
    <w:link w:val="a6"/>
    <w:uiPriority w:val="34"/>
    <w:rsid w:val="006A6BAF"/>
  </w:style>
  <w:style w:type="paragraph" w:customStyle="1" w:styleId="BBAuthorName">
    <w:name w:val="BB_Author_Name"/>
    <w:basedOn w:val="a"/>
    <w:next w:val="BCAuthorAddress"/>
    <w:autoRedefine/>
    <w:rsid w:val="00847E4C"/>
    <w:pPr>
      <w:widowControl/>
      <w:wordWrap/>
      <w:autoSpaceDE/>
      <w:autoSpaceDN/>
      <w:spacing w:after="180" w:line="240" w:lineRule="auto"/>
      <w:jc w:val="left"/>
    </w:pPr>
    <w:rPr>
      <w:rFonts w:ascii="Times New Roman" w:eastAsia="바탕" w:hAnsi="Times New Roman" w:cs="Times New Roman"/>
      <w:kern w:val="26"/>
      <w:sz w:val="24"/>
      <w:szCs w:val="20"/>
    </w:rPr>
  </w:style>
  <w:style w:type="paragraph" w:customStyle="1" w:styleId="BCAuthorAddress">
    <w:name w:val="BC_Author_Address"/>
    <w:basedOn w:val="a"/>
    <w:next w:val="a"/>
    <w:autoRedefine/>
    <w:rsid w:val="003D43E3"/>
    <w:pPr>
      <w:widowControl/>
      <w:wordWrap/>
      <w:autoSpaceDE/>
      <w:autoSpaceDN/>
      <w:spacing w:after="60" w:line="240" w:lineRule="auto"/>
      <w:jc w:val="left"/>
    </w:pPr>
    <w:rPr>
      <w:rFonts w:ascii="Arno Pro" w:eastAsia="바탕" w:hAnsi="Arno Pro" w:cs="Times New Roman"/>
      <w:kern w:val="22"/>
      <w:szCs w:val="20"/>
      <w:lang w:eastAsia="en-US"/>
    </w:rPr>
  </w:style>
  <w:style w:type="paragraph" w:styleId="a7">
    <w:name w:val="header"/>
    <w:basedOn w:val="a"/>
    <w:link w:val="Char0"/>
    <w:uiPriority w:val="99"/>
    <w:unhideWhenUsed/>
    <w:rsid w:val="004A633E"/>
    <w:pPr>
      <w:tabs>
        <w:tab w:val="center" w:pos="4513"/>
        <w:tab w:val="right" w:pos="9026"/>
      </w:tabs>
      <w:snapToGrid w:val="0"/>
    </w:pPr>
  </w:style>
  <w:style w:type="character" w:customStyle="1" w:styleId="Char0">
    <w:name w:val="머리글 Char"/>
    <w:basedOn w:val="a0"/>
    <w:link w:val="a7"/>
    <w:uiPriority w:val="99"/>
    <w:rsid w:val="004A633E"/>
  </w:style>
  <w:style w:type="paragraph" w:styleId="a8">
    <w:name w:val="footer"/>
    <w:basedOn w:val="a"/>
    <w:link w:val="Char1"/>
    <w:uiPriority w:val="99"/>
    <w:unhideWhenUsed/>
    <w:rsid w:val="004A633E"/>
    <w:pPr>
      <w:tabs>
        <w:tab w:val="center" w:pos="4513"/>
        <w:tab w:val="right" w:pos="9026"/>
      </w:tabs>
      <w:snapToGrid w:val="0"/>
    </w:pPr>
  </w:style>
  <w:style w:type="character" w:customStyle="1" w:styleId="Char1">
    <w:name w:val="바닥글 Char"/>
    <w:basedOn w:val="a0"/>
    <w:link w:val="a8"/>
    <w:uiPriority w:val="99"/>
    <w:rsid w:val="004A633E"/>
  </w:style>
  <w:style w:type="paragraph" w:styleId="a9">
    <w:name w:val="Balloon Text"/>
    <w:basedOn w:val="a"/>
    <w:link w:val="Char2"/>
    <w:uiPriority w:val="99"/>
    <w:semiHidden/>
    <w:unhideWhenUsed/>
    <w:rsid w:val="00480988"/>
    <w:pPr>
      <w:spacing w:after="0" w:line="240" w:lineRule="auto"/>
    </w:pPr>
    <w:rPr>
      <w:rFonts w:ascii="맑은 고딕" w:eastAsia="맑은 고딕"/>
      <w:sz w:val="18"/>
      <w:szCs w:val="18"/>
    </w:rPr>
  </w:style>
  <w:style w:type="character" w:customStyle="1" w:styleId="Char2">
    <w:name w:val="풍선 도움말 텍스트 Char"/>
    <w:basedOn w:val="a0"/>
    <w:link w:val="a9"/>
    <w:uiPriority w:val="99"/>
    <w:semiHidden/>
    <w:rsid w:val="00480988"/>
    <w:rPr>
      <w:rFonts w:ascii="맑은 고딕" w:eastAsia="맑은 고딕"/>
      <w:sz w:val="18"/>
      <w:szCs w:val="18"/>
    </w:rPr>
  </w:style>
  <w:style w:type="character" w:styleId="aa">
    <w:name w:val="endnote reference"/>
    <w:basedOn w:val="a0"/>
    <w:uiPriority w:val="99"/>
    <w:unhideWhenUsed/>
    <w:rsid w:val="00802BEE"/>
    <w:rPr>
      <w:rFonts w:ascii="Times New Roman" w:hAnsi="Times New Roman"/>
      <w:spacing w:val="0"/>
      <w:sz w:val="22"/>
      <w:vertAlign w:val="baseline"/>
    </w:rPr>
  </w:style>
  <w:style w:type="paragraph" w:styleId="ab">
    <w:name w:val="footnote text"/>
    <w:basedOn w:val="a"/>
    <w:link w:val="Char3"/>
    <w:uiPriority w:val="99"/>
    <w:semiHidden/>
    <w:unhideWhenUsed/>
    <w:rsid w:val="003F68D1"/>
    <w:pPr>
      <w:snapToGrid w:val="0"/>
      <w:jc w:val="left"/>
    </w:pPr>
  </w:style>
  <w:style w:type="character" w:customStyle="1" w:styleId="Char3">
    <w:name w:val="각주 텍스트 Char"/>
    <w:basedOn w:val="a0"/>
    <w:link w:val="ab"/>
    <w:uiPriority w:val="99"/>
    <w:semiHidden/>
    <w:rsid w:val="003F68D1"/>
  </w:style>
  <w:style w:type="character" w:styleId="ac">
    <w:name w:val="footnote reference"/>
    <w:basedOn w:val="a0"/>
    <w:uiPriority w:val="99"/>
    <w:semiHidden/>
    <w:unhideWhenUsed/>
    <w:rsid w:val="003F68D1"/>
    <w:rPr>
      <w:vertAlign w:val="superscript"/>
    </w:rPr>
  </w:style>
  <w:style w:type="paragraph" w:styleId="ad">
    <w:name w:val="endnote text"/>
    <w:basedOn w:val="a"/>
    <w:link w:val="Char4"/>
    <w:uiPriority w:val="99"/>
    <w:unhideWhenUsed/>
    <w:rsid w:val="003F68D1"/>
    <w:pPr>
      <w:snapToGrid w:val="0"/>
      <w:jc w:val="left"/>
    </w:pPr>
  </w:style>
  <w:style w:type="character" w:customStyle="1" w:styleId="Char4">
    <w:name w:val="미주 텍스트 Char"/>
    <w:basedOn w:val="a0"/>
    <w:link w:val="ad"/>
    <w:uiPriority w:val="99"/>
    <w:rsid w:val="003F68D1"/>
  </w:style>
  <w:style w:type="paragraph" w:styleId="TOC">
    <w:name w:val="TOC Heading"/>
    <w:basedOn w:val="1"/>
    <w:next w:val="a"/>
    <w:uiPriority w:val="39"/>
    <w:unhideWhenUsed/>
    <w:qFormat/>
    <w:rsid w:val="00751B6E"/>
    <w:pPr>
      <w:widowControl/>
      <w:wordWrap/>
      <w:autoSpaceDE/>
      <w:autoSpaceDN/>
      <w:jc w:val="left"/>
      <w:outlineLvl w:val="9"/>
    </w:pPr>
    <w:rPr>
      <w:kern w:val="0"/>
    </w:rPr>
  </w:style>
  <w:style w:type="paragraph" w:styleId="20">
    <w:name w:val="toc 2"/>
    <w:basedOn w:val="a"/>
    <w:next w:val="a"/>
    <w:autoRedefine/>
    <w:uiPriority w:val="39"/>
    <w:unhideWhenUsed/>
    <w:rsid w:val="00751B6E"/>
    <w:pPr>
      <w:widowControl/>
      <w:wordWrap/>
      <w:autoSpaceDE/>
      <w:autoSpaceDN/>
      <w:spacing w:after="100"/>
      <w:ind w:left="220"/>
      <w:jc w:val="left"/>
    </w:pPr>
    <w:rPr>
      <w:rFonts w:cs="Times New Roman"/>
      <w:kern w:val="0"/>
      <w:sz w:val="22"/>
    </w:rPr>
  </w:style>
  <w:style w:type="paragraph" w:styleId="10">
    <w:name w:val="toc 1"/>
    <w:basedOn w:val="a"/>
    <w:next w:val="a"/>
    <w:autoRedefine/>
    <w:uiPriority w:val="39"/>
    <w:unhideWhenUsed/>
    <w:rsid w:val="00751B6E"/>
    <w:pPr>
      <w:widowControl/>
      <w:wordWrap/>
      <w:autoSpaceDE/>
      <w:autoSpaceDN/>
      <w:spacing w:after="100"/>
      <w:jc w:val="left"/>
    </w:pPr>
    <w:rPr>
      <w:rFonts w:cs="Times New Roman"/>
      <w:kern w:val="0"/>
      <w:sz w:val="22"/>
    </w:rPr>
  </w:style>
  <w:style w:type="paragraph" w:styleId="3">
    <w:name w:val="toc 3"/>
    <w:basedOn w:val="a"/>
    <w:next w:val="a"/>
    <w:autoRedefine/>
    <w:uiPriority w:val="39"/>
    <w:unhideWhenUsed/>
    <w:rsid w:val="00751B6E"/>
    <w:pPr>
      <w:widowControl/>
      <w:wordWrap/>
      <w:autoSpaceDE/>
      <w:autoSpaceDN/>
      <w:spacing w:after="100"/>
      <w:ind w:left="440"/>
      <w:jc w:val="left"/>
    </w:pPr>
    <w:rPr>
      <w:rFonts w:cs="Times New Roman"/>
      <w:kern w:val="0"/>
      <w:sz w:val="22"/>
    </w:rPr>
  </w:style>
  <w:style w:type="character" w:styleId="ae">
    <w:name w:val="annotation reference"/>
    <w:basedOn w:val="a0"/>
    <w:uiPriority w:val="99"/>
    <w:semiHidden/>
    <w:unhideWhenUsed/>
    <w:rsid w:val="00D0325E"/>
    <w:rPr>
      <w:sz w:val="18"/>
      <w:szCs w:val="18"/>
    </w:rPr>
  </w:style>
  <w:style w:type="paragraph" w:styleId="af">
    <w:name w:val="annotation text"/>
    <w:basedOn w:val="a"/>
    <w:link w:val="Char5"/>
    <w:uiPriority w:val="99"/>
    <w:unhideWhenUsed/>
    <w:rsid w:val="00D0325E"/>
    <w:pPr>
      <w:jc w:val="left"/>
    </w:pPr>
  </w:style>
  <w:style w:type="character" w:customStyle="1" w:styleId="Char5">
    <w:name w:val="메모 텍스트 Char"/>
    <w:basedOn w:val="a0"/>
    <w:link w:val="af"/>
    <w:uiPriority w:val="99"/>
    <w:rsid w:val="00D0325E"/>
  </w:style>
  <w:style w:type="paragraph" w:styleId="af0">
    <w:name w:val="annotation subject"/>
    <w:basedOn w:val="af"/>
    <w:next w:val="af"/>
    <w:link w:val="Char6"/>
    <w:uiPriority w:val="99"/>
    <w:semiHidden/>
    <w:unhideWhenUsed/>
    <w:rsid w:val="00D0325E"/>
    <w:rPr>
      <w:b/>
      <w:bCs/>
    </w:rPr>
  </w:style>
  <w:style w:type="character" w:customStyle="1" w:styleId="Char6">
    <w:name w:val="메모 주제 Char"/>
    <w:basedOn w:val="Char5"/>
    <w:link w:val="af0"/>
    <w:uiPriority w:val="99"/>
    <w:semiHidden/>
    <w:rsid w:val="00D0325E"/>
    <w:rPr>
      <w:b/>
      <w:bCs/>
    </w:rPr>
  </w:style>
  <w:style w:type="paragraph" w:customStyle="1" w:styleId="Addresses">
    <w:name w:val="Addresses"/>
    <w:basedOn w:val="a"/>
    <w:rsid w:val="00643EED"/>
    <w:pPr>
      <w:widowControl/>
      <w:wordWrap/>
      <w:autoSpaceDE/>
      <w:autoSpaceDN/>
      <w:spacing w:after="0" w:line="240" w:lineRule="auto"/>
      <w:jc w:val="left"/>
    </w:pPr>
    <w:rPr>
      <w:rFonts w:ascii="Times New Roman" w:eastAsia="MS Mincho" w:hAnsi="Times New Roman" w:cs="Times New Roman"/>
      <w:kern w:val="0"/>
      <w:sz w:val="24"/>
      <w:szCs w:val="24"/>
      <w:lang w:eastAsia="ja-JP"/>
    </w:rPr>
  </w:style>
  <w:style w:type="paragraph" w:styleId="af1">
    <w:name w:val="Revision"/>
    <w:hidden/>
    <w:uiPriority w:val="99"/>
    <w:semiHidden/>
    <w:rsid w:val="007D43C8"/>
    <w:pPr>
      <w:spacing w:after="0" w:line="240" w:lineRule="auto"/>
      <w:jc w:val="left"/>
    </w:pPr>
  </w:style>
  <w:style w:type="paragraph" w:customStyle="1" w:styleId="EndNoteBibliography">
    <w:name w:val="EndNote Bibliography"/>
    <w:basedOn w:val="a"/>
    <w:link w:val="EndNoteBibliographyChar"/>
    <w:rsid w:val="00B05C10"/>
    <w:pPr>
      <w:widowControl/>
      <w:wordWrap/>
      <w:autoSpaceDE/>
      <w:autoSpaceDN/>
      <w:spacing w:line="240" w:lineRule="auto"/>
      <w:jc w:val="left"/>
    </w:pPr>
    <w:rPr>
      <w:rFonts w:ascii="Calibri" w:eastAsiaTheme="minorHAnsi" w:hAnsi="Calibri" w:cs="Calibri"/>
      <w:noProof/>
      <w:kern w:val="0"/>
      <w:sz w:val="22"/>
      <w:lang w:eastAsia="en-US"/>
    </w:rPr>
  </w:style>
  <w:style w:type="character" w:customStyle="1" w:styleId="EndNoteBibliographyChar">
    <w:name w:val="EndNote Bibliography Char"/>
    <w:basedOn w:val="Char"/>
    <w:link w:val="EndNoteBibliography"/>
    <w:rsid w:val="00B05C10"/>
    <w:rPr>
      <w:rFonts w:ascii="Calibri" w:eastAsiaTheme="minorHAnsi" w:hAnsi="Calibri" w:cs="Calibri"/>
      <w:noProof/>
      <w:kern w:val="0"/>
      <w:sz w:val="22"/>
      <w:lang w:eastAsia="en-US"/>
    </w:rPr>
  </w:style>
  <w:style w:type="table" w:customStyle="1" w:styleId="TableNormal1">
    <w:name w:val="Table Normal1"/>
    <w:rsid w:val="00B05C10"/>
    <w:pPr>
      <w:spacing w:after="0" w:line="240" w:lineRule="auto"/>
      <w:jc w:val="left"/>
    </w:pPr>
    <w:rPr>
      <w:rFonts w:ascii="Times New Roman" w:hAnsi="Times New Roman" w:cs="Times New Roman"/>
      <w:color w:val="000000"/>
      <w:kern w:val="0"/>
      <w:sz w:val="24"/>
      <w:szCs w:val="24"/>
    </w:rPr>
    <w:tblPr>
      <w:tblCellMar>
        <w:top w:w="0" w:type="dxa"/>
        <w:left w:w="0" w:type="dxa"/>
        <w:bottom w:w="0" w:type="dxa"/>
        <w:right w:w="0" w:type="dxa"/>
      </w:tblCellMar>
    </w:tblPr>
  </w:style>
  <w:style w:type="character" w:styleId="af2">
    <w:name w:val="Hyperlink"/>
    <w:basedOn w:val="a0"/>
    <w:uiPriority w:val="99"/>
    <w:unhideWhenUsed/>
    <w:rsid w:val="004F2196"/>
    <w:rPr>
      <w:color w:val="0563C1" w:themeColor="hyperlink"/>
      <w:u w:val="single"/>
    </w:rPr>
  </w:style>
  <w:style w:type="character" w:customStyle="1" w:styleId="11">
    <w:name w:val="확인되지 않은 멘션1"/>
    <w:basedOn w:val="a0"/>
    <w:uiPriority w:val="99"/>
    <w:semiHidden/>
    <w:unhideWhenUsed/>
    <w:rsid w:val="004F2196"/>
    <w:rPr>
      <w:color w:val="605E5C"/>
      <w:shd w:val="clear" w:color="auto" w:fill="E1DFDD"/>
    </w:rPr>
  </w:style>
  <w:style w:type="table" w:styleId="af3">
    <w:name w:val="Table Grid"/>
    <w:basedOn w:val="a1"/>
    <w:uiPriority w:val="39"/>
    <w:rsid w:val="00C65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rmal (Web)"/>
    <w:basedOn w:val="a"/>
    <w:uiPriority w:val="99"/>
    <w:unhideWhenUsed/>
    <w:rsid w:val="00C41A75"/>
    <w:pPr>
      <w:wordWrap/>
      <w:autoSpaceDE/>
      <w:autoSpaceDN/>
      <w:spacing w:after="0" w:line="240" w:lineRule="auto"/>
    </w:pPr>
    <w:rPr>
      <w:rFonts w:ascii="Times New Roman" w:hAnsi="Times New Roman" w:cs="Times New Roman"/>
      <w:sz w:val="24"/>
      <w:szCs w:val="24"/>
      <w:lang w:eastAsia="zh-CN"/>
    </w:rPr>
  </w:style>
  <w:style w:type="paragraph" w:customStyle="1" w:styleId="Tableofcontents">
    <w:name w:val="Table of contents"/>
    <w:basedOn w:val="a"/>
    <w:autoRedefine/>
    <w:rsid w:val="000F7378"/>
    <w:pPr>
      <w:widowControl/>
      <w:wordWrap/>
      <w:autoSpaceDE/>
      <w:autoSpaceDN/>
      <w:spacing w:after="0" w:line="240" w:lineRule="auto"/>
      <w:jc w:val="left"/>
    </w:pPr>
    <w:rPr>
      <w:rFonts w:ascii="Times New Roman" w:eastAsia="MS Mincho" w:hAnsi="Times New Roman" w:cs="Times New Roman"/>
      <w:kern w:val="0"/>
      <w:sz w:val="24"/>
      <w:szCs w:val="24"/>
      <w:lang w:eastAsia="ja-JP"/>
    </w:rPr>
  </w:style>
  <w:style w:type="character" w:styleId="af5">
    <w:name w:val="Unresolved Mention"/>
    <w:basedOn w:val="a0"/>
    <w:uiPriority w:val="99"/>
    <w:semiHidden/>
    <w:unhideWhenUsed/>
    <w:rsid w:val="00DF6EC1"/>
    <w:rPr>
      <w:color w:val="605E5C"/>
      <w:shd w:val="clear" w:color="auto" w:fill="E1DFDD"/>
    </w:rPr>
  </w:style>
  <w:style w:type="character" w:customStyle="1" w:styleId="titleheading">
    <w:name w:val="title_heading"/>
    <w:basedOn w:val="a0"/>
    <w:rsid w:val="00953482"/>
  </w:style>
  <w:style w:type="character" w:customStyle="1" w:styleId="u-visually-hidden">
    <w:name w:val="u-visually-hidden"/>
    <w:basedOn w:val="a0"/>
    <w:rsid w:val="003A651D"/>
  </w:style>
  <w:style w:type="character" w:customStyle="1" w:styleId="anchor-text">
    <w:name w:val="anchor-text"/>
    <w:basedOn w:val="a0"/>
    <w:rsid w:val="003A65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43775">
      <w:bodyDiv w:val="1"/>
      <w:marLeft w:val="0"/>
      <w:marRight w:val="0"/>
      <w:marTop w:val="0"/>
      <w:marBottom w:val="0"/>
      <w:divBdr>
        <w:top w:val="none" w:sz="0" w:space="0" w:color="auto"/>
        <w:left w:val="none" w:sz="0" w:space="0" w:color="auto"/>
        <w:bottom w:val="none" w:sz="0" w:space="0" w:color="auto"/>
        <w:right w:val="none" w:sz="0" w:space="0" w:color="auto"/>
      </w:divBdr>
      <w:divsChild>
        <w:div w:id="254829918">
          <w:marLeft w:val="0"/>
          <w:marRight w:val="0"/>
          <w:marTop w:val="0"/>
          <w:marBottom w:val="0"/>
          <w:divBdr>
            <w:top w:val="none" w:sz="0" w:space="0" w:color="auto"/>
            <w:left w:val="none" w:sz="0" w:space="0" w:color="auto"/>
            <w:bottom w:val="none" w:sz="0" w:space="0" w:color="auto"/>
            <w:right w:val="none" w:sz="0" w:space="0" w:color="auto"/>
          </w:divBdr>
        </w:div>
      </w:divsChild>
    </w:div>
    <w:div w:id="171451766">
      <w:bodyDiv w:val="1"/>
      <w:marLeft w:val="0"/>
      <w:marRight w:val="0"/>
      <w:marTop w:val="0"/>
      <w:marBottom w:val="0"/>
      <w:divBdr>
        <w:top w:val="none" w:sz="0" w:space="0" w:color="auto"/>
        <w:left w:val="none" w:sz="0" w:space="0" w:color="auto"/>
        <w:bottom w:val="none" w:sz="0" w:space="0" w:color="auto"/>
        <w:right w:val="none" w:sz="0" w:space="0" w:color="auto"/>
      </w:divBdr>
    </w:div>
    <w:div w:id="213931724">
      <w:bodyDiv w:val="1"/>
      <w:marLeft w:val="0"/>
      <w:marRight w:val="0"/>
      <w:marTop w:val="0"/>
      <w:marBottom w:val="0"/>
      <w:divBdr>
        <w:top w:val="none" w:sz="0" w:space="0" w:color="auto"/>
        <w:left w:val="none" w:sz="0" w:space="0" w:color="auto"/>
        <w:bottom w:val="none" w:sz="0" w:space="0" w:color="auto"/>
        <w:right w:val="none" w:sz="0" w:space="0" w:color="auto"/>
      </w:divBdr>
    </w:div>
    <w:div w:id="529613024">
      <w:bodyDiv w:val="1"/>
      <w:marLeft w:val="0"/>
      <w:marRight w:val="0"/>
      <w:marTop w:val="0"/>
      <w:marBottom w:val="0"/>
      <w:divBdr>
        <w:top w:val="none" w:sz="0" w:space="0" w:color="auto"/>
        <w:left w:val="none" w:sz="0" w:space="0" w:color="auto"/>
        <w:bottom w:val="none" w:sz="0" w:space="0" w:color="auto"/>
        <w:right w:val="none" w:sz="0" w:space="0" w:color="auto"/>
      </w:divBdr>
    </w:div>
    <w:div w:id="621881419">
      <w:bodyDiv w:val="1"/>
      <w:marLeft w:val="0"/>
      <w:marRight w:val="0"/>
      <w:marTop w:val="0"/>
      <w:marBottom w:val="0"/>
      <w:divBdr>
        <w:top w:val="none" w:sz="0" w:space="0" w:color="auto"/>
        <w:left w:val="none" w:sz="0" w:space="0" w:color="auto"/>
        <w:bottom w:val="none" w:sz="0" w:space="0" w:color="auto"/>
        <w:right w:val="none" w:sz="0" w:space="0" w:color="auto"/>
      </w:divBdr>
      <w:divsChild>
        <w:div w:id="643655128">
          <w:marLeft w:val="0"/>
          <w:marRight w:val="0"/>
          <w:marTop w:val="0"/>
          <w:marBottom w:val="0"/>
          <w:divBdr>
            <w:top w:val="none" w:sz="0" w:space="0" w:color="auto"/>
            <w:left w:val="none" w:sz="0" w:space="0" w:color="auto"/>
            <w:bottom w:val="none" w:sz="0" w:space="0" w:color="auto"/>
            <w:right w:val="none" w:sz="0" w:space="0" w:color="auto"/>
          </w:divBdr>
        </w:div>
      </w:divsChild>
    </w:div>
    <w:div w:id="642613016">
      <w:bodyDiv w:val="1"/>
      <w:marLeft w:val="0"/>
      <w:marRight w:val="0"/>
      <w:marTop w:val="0"/>
      <w:marBottom w:val="0"/>
      <w:divBdr>
        <w:top w:val="none" w:sz="0" w:space="0" w:color="auto"/>
        <w:left w:val="none" w:sz="0" w:space="0" w:color="auto"/>
        <w:bottom w:val="none" w:sz="0" w:space="0" w:color="auto"/>
        <w:right w:val="none" w:sz="0" w:space="0" w:color="auto"/>
      </w:divBdr>
      <w:divsChild>
        <w:div w:id="195042437">
          <w:marLeft w:val="0"/>
          <w:marRight w:val="0"/>
          <w:marTop w:val="600"/>
          <w:marBottom w:val="45"/>
          <w:divBdr>
            <w:top w:val="none" w:sz="0" w:space="0" w:color="auto"/>
            <w:left w:val="none" w:sz="0" w:space="0" w:color="auto"/>
            <w:bottom w:val="none" w:sz="0" w:space="0" w:color="auto"/>
            <w:right w:val="none" w:sz="0" w:space="0" w:color="auto"/>
          </w:divBdr>
        </w:div>
      </w:divsChild>
    </w:div>
    <w:div w:id="695739016">
      <w:bodyDiv w:val="1"/>
      <w:marLeft w:val="0"/>
      <w:marRight w:val="0"/>
      <w:marTop w:val="0"/>
      <w:marBottom w:val="0"/>
      <w:divBdr>
        <w:top w:val="none" w:sz="0" w:space="0" w:color="auto"/>
        <w:left w:val="none" w:sz="0" w:space="0" w:color="auto"/>
        <w:bottom w:val="none" w:sz="0" w:space="0" w:color="auto"/>
        <w:right w:val="none" w:sz="0" w:space="0" w:color="auto"/>
      </w:divBdr>
    </w:div>
    <w:div w:id="785780278">
      <w:bodyDiv w:val="1"/>
      <w:marLeft w:val="0"/>
      <w:marRight w:val="0"/>
      <w:marTop w:val="0"/>
      <w:marBottom w:val="0"/>
      <w:divBdr>
        <w:top w:val="none" w:sz="0" w:space="0" w:color="auto"/>
        <w:left w:val="none" w:sz="0" w:space="0" w:color="auto"/>
        <w:bottom w:val="none" w:sz="0" w:space="0" w:color="auto"/>
        <w:right w:val="none" w:sz="0" w:space="0" w:color="auto"/>
      </w:divBdr>
      <w:divsChild>
        <w:div w:id="1261572717">
          <w:marLeft w:val="0"/>
          <w:marRight w:val="0"/>
          <w:marTop w:val="0"/>
          <w:marBottom w:val="0"/>
          <w:divBdr>
            <w:top w:val="none" w:sz="0" w:space="0" w:color="auto"/>
            <w:left w:val="none" w:sz="0" w:space="0" w:color="auto"/>
            <w:bottom w:val="none" w:sz="0" w:space="0" w:color="auto"/>
            <w:right w:val="none" w:sz="0" w:space="0" w:color="auto"/>
          </w:divBdr>
        </w:div>
        <w:div w:id="1715738623">
          <w:marLeft w:val="0"/>
          <w:marRight w:val="0"/>
          <w:marTop w:val="0"/>
          <w:marBottom w:val="0"/>
          <w:divBdr>
            <w:top w:val="none" w:sz="0" w:space="0" w:color="auto"/>
            <w:left w:val="none" w:sz="0" w:space="0" w:color="auto"/>
            <w:bottom w:val="none" w:sz="0" w:space="0" w:color="auto"/>
            <w:right w:val="none" w:sz="0" w:space="0" w:color="auto"/>
          </w:divBdr>
        </w:div>
      </w:divsChild>
    </w:div>
    <w:div w:id="883710028">
      <w:bodyDiv w:val="1"/>
      <w:marLeft w:val="0"/>
      <w:marRight w:val="0"/>
      <w:marTop w:val="0"/>
      <w:marBottom w:val="0"/>
      <w:divBdr>
        <w:top w:val="none" w:sz="0" w:space="0" w:color="auto"/>
        <w:left w:val="none" w:sz="0" w:space="0" w:color="auto"/>
        <w:bottom w:val="none" w:sz="0" w:space="0" w:color="auto"/>
        <w:right w:val="none" w:sz="0" w:space="0" w:color="auto"/>
      </w:divBdr>
    </w:div>
    <w:div w:id="909341615">
      <w:bodyDiv w:val="1"/>
      <w:marLeft w:val="0"/>
      <w:marRight w:val="0"/>
      <w:marTop w:val="0"/>
      <w:marBottom w:val="0"/>
      <w:divBdr>
        <w:top w:val="none" w:sz="0" w:space="0" w:color="auto"/>
        <w:left w:val="none" w:sz="0" w:space="0" w:color="auto"/>
        <w:bottom w:val="none" w:sz="0" w:space="0" w:color="auto"/>
        <w:right w:val="none" w:sz="0" w:space="0" w:color="auto"/>
      </w:divBdr>
    </w:div>
    <w:div w:id="920024775">
      <w:bodyDiv w:val="1"/>
      <w:marLeft w:val="0"/>
      <w:marRight w:val="0"/>
      <w:marTop w:val="0"/>
      <w:marBottom w:val="0"/>
      <w:divBdr>
        <w:top w:val="none" w:sz="0" w:space="0" w:color="auto"/>
        <w:left w:val="none" w:sz="0" w:space="0" w:color="auto"/>
        <w:bottom w:val="none" w:sz="0" w:space="0" w:color="auto"/>
        <w:right w:val="none" w:sz="0" w:space="0" w:color="auto"/>
      </w:divBdr>
    </w:div>
    <w:div w:id="989136074">
      <w:bodyDiv w:val="1"/>
      <w:marLeft w:val="0"/>
      <w:marRight w:val="0"/>
      <w:marTop w:val="0"/>
      <w:marBottom w:val="0"/>
      <w:divBdr>
        <w:top w:val="none" w:sz="0" w:space="0" w:color="auto"/>
        <w:left w:val="none" w:sz="0" w:space="0" w:color="auto"/>
        <w:bottom w:val="none" w:sz="0" w:space="0" w:color="auto"/>
        <w:right w:val="none" w:sz="0" w:space="0" w:color="auto"/>
      </w:divBdr>
    </w:div>
    <w:div w:id="1151218389">
      <w:bodyDiv w:val="1"/>
      <w:marLeft w:val="0"/>
      <w:marRight w:val="0"/>
      <w:marTop w:val="0"/>
      <w:marBottom w:val="0"/>
      <w:divBdr>
        <w:top w:val="none" w:sz="0" w:space="0" w:color="auto"/>
        <w:left w:val="none" w:sz="0" w:space="0" w:color="auto"/>
        <w:bottom w:val="none" w:sz="0" w:space="0" w:color="auto"/>
        <w:right w:val="none" w:sz="0" w:space="0" w:color="auto"/>
      </w:divBdr>
    </w:div>
    <w:div w:id="1390763965">
      <w:bodyDiv w:val="1"/>
      <w:marLeft w:val="0"/>
      <w:marRight w:val="0"/>
      <w:marTop w:val="0"/>
      <w:marBottom w:val="0"/>
      <w:divBdr>
        <w:top w:val="none" w:sz="0" w:space="0" w:color="auto"/>
        <w:left w:val="none" w:sz="0" w:space="0" w:color="auto"/>
        <w:bottom w:val="none" w:sz="0" w:space="0" w:color="auto"/>
        <w:right w:val="none" w:sz="0" w:space="0" w:color="auto"/>
      </w:divBdr>
    </w:div>
    <w:div w:id="1594508319">
      <w:bodyDiv w:val="1"/>
      <w:marLeft w:val="0"/>
      <w:marRight w:val="0"/>
      <w:marTop w:val="0"/>
      <w:marBottom w:val="0"/>
      <w:divBdr>
        <w:top w:val="none" w:sz="0" w:space="0" w:color="auto"/>
        <w:left w:val="none" w:sz="0" w:space="0" w:color="auto"/>
        <w:bottom w:val="none" w:sz="0" w:space="0" w:color="auto"/>
        <w:right w:val="none" w:sz="0" w:space="0" w:color="auto"/>
      </w:divBdr>
      <w:divsChild>
        <w:div w:id="992878903">
          <w:marLeft w:val="0"/>
          <w:marRight w:val="0"/>
          <w:marTop w:val="0"/>
          <w:marBottom w:val="0"/>
          <w:divBdr>
            <w:top w:val="none" w:sz="0" w:space="0" w:color="auto"/>
            <w:left w:val="none" w:sz="0" w:space="0" w:color="auto"/>
            <w:bottom w:val="none" w:sz="0" w:space="0" w:color="auto"/>
            <w:right w:val="none" w:sz="0" w:space="0" w:color="auto"/>
          </w:divBdr>
        </w:div>
      </w:divsChild>
    </w:div>
    <w:div w:id="1637492273">
      <w:bodyDiv w:val="1"/>
      <w:marLeft w:val="0"/>
      <w:marRight w:val="0"/>
      <w:marTop w:val="0"/>
      <w:marBottom w:val="0"/>
      <w:divBdr>
        <w:top w:val="none" w:sz="0" w:space="0" w:color="auto"/>
        <w:left w:val="none" w:sz="0" w:space="0" w:color="auto"/>
        <w:bottom w:val="none" w:sz="0" w:space="0" w:color="auto"/>
        <w:right w:val="none" w:sz="0" w:space="0" w:color="auto"/>
      </w:divBdr>
    </w:div>
    <w:div w:id="1682975940">
      <w:bodyDiv w:val="1"/>
      <w:marLeft w:val="0"/>
      <w:marRight w:val="0"/>
      <w:marTop w:val="0"/>
      <w:marBottom w:val="0"/>
      <w:divBdr>
        <w:top w:val="none" w:sz="0" w:space="0" w:color="auto"/>
        <w:left w:val="none" w:sz="0" w:space="0" w:color="auto"/>
        <w:bottom w:val="none" w:sz="0" w:space="0" w:color="auto"/>
        <w:right w:val="none" w:sz="0" w:space="0" w:color="auto"/>
      </w:divBdr>
    </w:div>
    <w:div w:id="1689604910">
      <w:bodyDiv w:val="1"/>
      <w:marLeft w:val="0"/>
      <w:marRight w:val="0"/>
      <w:marTop w:val="0"/>
      <w:marBottom w:val="0"/>
      <w:divBdr>
        <w:top w:val="none" w:sz="0" w:space="0" w:color="auto"/>
        <w:left w:val="none" w:sz="0" w:space="0" w:color="auto"/>
        <w:bottom w:val="none" w:sz="0" w:space="0" w:color="auto"/>
        <w:right w:val="none" w:sz="0" w:space="0" w:color="auto"/>
      </w:divBdr>
      <w:divsChild>
        <w:div w:id="858738803">
          <w:marLeft w:val="0"/>
          <w:marRight w:val="0"/>
          <w:marTop w:val="0"/>
          <w:marBottom w:val="0"/>
          <w:divBdr>
            <w:top w:val="none" w:sz="0" w:space="0" w:color="auto"/>
            <w:left w:val="none" w:sz="0" w:space="0" w:color="auto"/>
            <w:bottom w:val="none" w:sz="0" w:space="0" w:color="auto"/>
            <w:right w:val="none" w:sz="0" w:space="0" w:color="auto"/>
          </w:divBdr>
        </w:div>
      </w:divsChild>
    </w:div>
    <w:div w:id="1714036369">
      <w:bodyDiv w:val="1"/>
      <w:marLeft w:val="0"/>
      <w:marRight w:val="0"/>
      <w:marTop w:val="0"/>
      <w:marBottom w:val="0"/>
      <w:divBdr>
        <w:top w:val="none" w:sz="0" w:space="0" w:color="auto"/>
        <w:left w:val="none" w:sz="0" w:space="0" w:color="auto"/>
        <w:bottom w:val="none" w:sz="0" w:space="0" w:color="auto"/>
        <w:right w:val="none" w:sz="0" w:space="0" w:color="auto"/>
      </w:divBdr>
      <w:divsChild>
        <w:div w:id="46686818">
          <w:marLeft w:val="0"/>
          <w:marRight w:val="0"/>
          <w:marTop w:val="0"/>
          <w:marBottom w:val="0"/>
          <w:divBdr>
            <w:top w:val="none" w:sz="0" w:space="0" w:color="auto"/>
            <w:left w:val="none" w:sz="0" w:space="0" w:color="auto"/>
            <w:bottom w:val="none" w:sz="0" w:space="0" w:color="auto"/>
            <w:right w:val="none" w:sz="0" w:space="0" w:color="auto"/>
          </w:divBdr>
        </w:div>
      </w:divsChild>
    </w:div>
    <w:div w:id="1757898260">
      <w:bodyDiv w:val="1"/>
      <w:marLeft w:val="0"/>
      <w:marRight w:val="0"/>
      <w:marTop w:val="0"/>
      <w:marBottom w:val="0"/>
      <w:divBdr>
        <w:top w:val="none" w:sz="0" w:space="0" w:color="auto"/>
        <w:left w:val="none" w:sz="0" w:space="0" w:color="auto"/>
        <w:bottom w:val="none" w:sz="0" w:space="0" w:color="auto"/>
        <w:right w:val="none" w:sz="0" w:space="0" w:color="auto"/>
      </w:divBdr>
    </w:div>
    <w:div w:id="1784424809">
      <w:bodyDiv w:val="1"/>
      <w:marLeft w:val="0"/>
      <w:marRight w:val="0"/>
      <w:marTop w:val="0"/>
      <w:marBottom w:val="0"/>
      <w:divBdr>
        <w:top w:val="none" w:sz="0" w:space="0" w:color="auto"/>
        <w:left w:val="none" w:sz="0" w:space="0" w:color="auto"/>
        <w:bottom w:val="none" w:sz="0" w:space="0" w:color="auto"/>
        <w:right w:val="none" w:sz="0" w:space="0" w:color="auto"/>
      </w:divBdr>
      <w:divsChild>
        <w:div w:id="2133863606">
          <w:marLeft w:val="0"/>
          <w:marRight w:val="0"/>
          <w:marTop w:val="0"/>
          <w:marBottom w:val="0"/>
          <w:divBdr>
            <w:top w:val="none" w:sz="0" w:space="0" w:color="auto"/>
            <w:left w:val="none" w:sz="0" w:space="0" w:color="auto"/>
            <w:bottom w:val="none" w:sz="0" w:space="0" w:color="auto"/>
            <w:right w:val="none" w:sz="0" w:space="0" w:color="auto"/>
          </w:divBdr>
        </w:div>
      </w:divsChild>
    </w:div>
    <w:div w:id="1905292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tif"/><Relationship Id="rId25" Type="http://schemas.openxmlformats.org/officeDocument/2006/relationships/image" Target="media/image18.tif"/><Relationship Id="rId33" Type="http://schemas.openxmlformats.org/officeDocument/2006/relationships/hyperlink" Target="https://www.sciencedirect.com/journal/energy-storage-materials" TargetMode="Externa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7.tif"/><Relationship Id="rId32" Type="http://schemas.openxmlformats.org/officeDocument/2006/relationships/image" Target="media/image25.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Relationship Id="rId28" Type="http://schemas.openxmlformats.org/officeDocument/2006/relationships/image" Target="media/image21.tiff"/><Relationship Id="rId36"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Relationship Id="rId31" Type="http://schemas.openxmlformats.org/officeDocument/2006/relationships/image" Target="media/image24.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image" Target="media/image15.tif"/><Relationship Id="rId27" Type="http://schemas.openxmlformats.org/officeDocument/2006/relationships/image" Target="media/image20.tiff"/><Relationship Id="rId30" Type="http://schemas.openxmlformats.org/officeDocument/2006/relationships/image" Target="media/image23.tif"/><Relationship Id="rId35" Type="http://schemas.openxmlformats.org/officeDocument/2006/relationships/fontTable" Target="fontTable.xml"/><Relationship Id="rId8" Type="http://schemas.openxmlformats.org/officeDocument/2006/relationships/image" Target="media/image1.ti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31705-1855-41E6-A926-4ECADC681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31</Pages>
  <Words>1745</Words>
  <Characters>9949</Characters>
  <Application>Microsoft Office Word</Application>
  <DocSecurity>0</DocSecurity>
  <Lines>82</Lines>
  <Paragraphs>23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11671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황 지원</dc:creator>
  <cp:keywords/>
  <dc:description/>
  <cp:lastModifiedBy>(대학원생) 이현욱 (에너지화학공학과)</cp:lastModifiedBy>
  <cp:revision>7</cp:revision>
  <dcterms:created xsi:type="dcterms:W3CDTF">2026-03-16T07:15:00Z</dcterms:created>
  <dcterms:modified xsi:type="dcterms:W3CDTF">2026-03-21T00:21:00Z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972f7ad6244420032b190ae811f2941a7935909c21c1bb0524a8abb54098f73b</vt:lpwstr>
  </property>
</Properties>
</file>