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176" w14:textId="77777777" w:rsidR="00406EAB" w:rsidRPr="00406EAB" w:rsidRDefault="00406EAB" w:rsidP="00406EAB">
      <w:pPr>
        <w:spacing w:line="360" w:lineRule="auto"/>
        <w:jc w:val="both"/>
        <w:rPr>
          <w:b/>
          <w:bCs/>
        </w:rPr>
      </w:pPr>
      <w:r w:rsidRPr="00406EAB">
        <w:rPr>
          <w:b/>
          <w:bCs/>
        </w:rPr>
        <w:t>SUPPLEMENTARY MATERIALS</w:t>
      </w:r>
    </w:p>
    <w:p w14:paraId="5189055B" w14:textId="77777777" w:rsidR="00406EAB" w:rsidRPr="00406EAB" w:rsidRDefault="00406EAB" w:rsidP="00406EAB">
      <w:pPr>
        <w:jc w:val="both"/>
        <w:rPr>
          <w:b/>
          <w:bCs/>
        </w:rPr>
      </w:pPr>
      <w:r w:rsidRPr="00406EAB">
        <w:rPr>
          <w:b/>
          <w:bCs/>
        </w:rPr>
        <w:t>Title: Development of a multidomain neuromuscular aging clock integrating neurosensory dysfunction with molecular biomarkers</w:t>
      </w:r>
    </w:p>
    <w:p w14:paraId="4BACF485" w14:textId="77777777" w:rsidR="00406EAB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Authors:</w:t>
      </w:r>
      <w:r w:rsidRPr="00112676">
        <w:t xml:space="preserve">  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Ph.D.*, Sudip Kumar Banerjee, Ph.D.  Vidya Sagar GV, MD, Ph.D. Dinesh Kumar </w:t>
      </w:r>
      <w:proofErr w:type="spellStart"/>
      <w:r w:rsidRPr="00112676">
        <w:t>Singal</w:t>
      </w:r>
      <w:proofErr w:type="spellEnd"/>
      <w:r w:rsidRPr="00112676">
        <w:t xml:space="preserve">, MD.  and </w:t>
      </w:r>
      <w:proofErr w:type="spellStart"/>
      <w:r w:rsidRPr="00112676">
        <w:t>Anondeep</w:t>
      </w:r>
      <w:proofErr w:type="spellEnd"/>
      <w:r w:rsidRPr="00112676">
        <w:t xml:space="preserve"> </w:t>
      </w:r>
      <w:proofErr w:type="spellStart"/>
      <w:r w:rsidRPr="00112676">
        <w:t>Ganguly</w:t>
      </w:r>
      <w:proofErr w:type="spellEnd"/>
      <w:r w:rsidRPr="00112676">
        <w:t>, PGDH.</w:t>
      </w:r>
    </w:p>
    <w:p w14:paraId="5E30E580" w14:textId="6F9B28EE" w:rsidR="00DD66DF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* Corresponding Author:</w:t>
      </w:r>
      <w:r w:rsidRPr="00112676">
        <w:t xml:space="preserve">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Ph.D.; Address: 7, </w:t>
      </w:r>
      <w:proofErr w:type="spellStart"/>
      <w:r w:rsidRPr="00112676">
        <w:t>Panditya</w:t>
      </w:r>
      <w:proofErr w:type="spellEnd"/>
      <w:r w:rsidRPr="00112676">
        <w:t xml:space="preserve"> Place, Kolkata-700029, India; Tel: +919830389616; Email: </w:t>
      </w:r>
      <w:r w:rsidR="00DD66DF" w:rsidRPr="00DD66DF">
        <w:t>apurbaganguly15@gmail.com</w:t>
      </w:r>
      <w:r w:rsidRPr="00112676">
        <w:t>.</w:t>
      </w:r>
    </w:p>
    <w:p w14:paraId="2BCF8F04" w14:textId="24192574" w:rsidR="00406EAB" w:rsidRDefault="00406EAB" w:rsidP="00406EAB">
      <w:pPr>
        <w:jc w:val="both"/>
      </w:pPr>
    </w:p>
    <w:p w14:paraId="2ADC7EEA" w14:textId="71C4F3F2" w:rsidR="00886E3E" w:rsidRDefault="00406EAB" w:rsidP="00406EAB">
      <w:pPr>
        <w:jc w:val="both"/>
      </w:pPr>
      <w:r w:rsidRPr="00406EAB">
        <w:rPr>
          <w:b/>
          <w:bCs/>
        </w:rPr>
        <w:t>Journal:</w:t>
      </w:r>
      <w:r w:rsidRPr="00112676">
        <w:t xml:space="preserve"> Aging Clinical and Experimental Research</w:t>
      </w:r>
    </w:p>
    <w:p w14:paraId="13E0996A" w14:textId="2A6A3F24" w:rsidR="00406EAB" w:rsidRDefault="00406EAB" w:rsidP="00406EAB">
      <w:pPr>
        <w:jc w:val="both"/>
      </w:pPr>
    </w:p>
    <w:p w14:paraId="3F910B39" w14:textId="77777777" w:rsidR="00406EAB" w:rsidRDefault="00406EAB" w:rsidP="00406EAB">
      <w:pPr>
        <w:spacing w:line="360" w:lineRule="auto"/>
        <w:jc w:val="both"/>
      </w:pPr>
    </w:p>
    <w:p w14:paraId="371C9A8B" w14:textId="0CD4175D" w:rsidR="00406EAB" w:rsidRPr="00DD66DF" w:rsidRDefault="00406EAB" w:rsidP="00406EAB">
      <w:pPr>
        <w:spacing w:line="360" w:lineRule="auto"/>
        <w:jc w:val="both"/>
        <w:rPr>
          <w:b/>
          <w:bCs/>
          <w:sz w:val="28"/>
          <w:szCs w:val="28"/>
        </w:rPr>
      </w:pPr>
      <w:r w:rsidRPr="00DD66DF">
        <w:rPr>
          <w:b/>
          <w:bCs/>
          <w:sz w:val="28"/>
          <w:szCs w:val="28"/>
        </w:rPr>
        <w:t>Supplementary Figure S1. ROC curves of clinical neurosensory dysfunction domains</w:t>
      </w:r>
    </w:p>
    <w:p w14:paraId="5F61A4E7" w14:textId="3A686BA4" w:rsidR="00406EAB" w:rsidRPr="00112676" w:rsidRDefault="00406EAB" w:rsidP="00406EAB">
      <w:pPr>
        <w:spacing w:line="360" w:lineRule="auto"/>
        <w:jc w:val="both"/>
      </w:pPr>
      <w:r w:rsidRPr="00112676">
        <w:t>Receiver operating characteristic curves demonstrating discriminatory performance of clinical neurosensory parameters for distinguishing symptomatic participants (n = 108) from healthy controls (n = 108). Domains: (A) nociceptive pain burden (pain intensity, surface pain, deep pain), (B) neuropathic sensory dysfunction (tingling/pricking, sharpness, dullness), (C) thermal sensory alteration (hot/burning, cold sensation) and neurogenic irritation response (itching). AUC = area under the curve.</w:t>
      </w:r>
    </w:p>
    <w:p w14:paraId="4905146E" w14:textId="241ABC2F" w:rsidR="00406EAB" w:rsidRDefault="00DD66DF" w:rsidP="00DD66D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38D3A8A" wp14:editId="6A5D77FA">
            <wp:extent cx="5688000" cy="4547211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454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EAB" w:rsidSect="00406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B"/>
    <w:rsid w:val="00406EAB"/>
    <w:rsid w:val="00886E3E"/>
    <w:rsid w:val="00C15CD6"/>
    <w:rsid w:val="00D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37A"/>
  <w15:chartTrackingRefBased/>
  <w15:docId w15:val="{3A876DA2-D802-4CD0-98FB-2EAB6A6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2026-03-21T12:00:00Z</dcterms:created>
  <dcterms:modified xsi:type="dcterms:W3CDTF">2026-03-21T12:24:00Z</dcterms:modified>
</cp:coreProperties>
</file>