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8C176" w14:textId="77777777" w:rsidR="00406EAB" w:rsidRPr="00406EAB" w:rsidRDefault="00406EAB" w:rsidP="00406EAB">
      <w:pPr>
        <w:spacing w:line="360" w:lineRule="auto"/>
        <w:jc w:val="both"/>
        <w:rPr>
          <w:b/>
          <w:bCs/>
        </w:rPr>
      </w:pPr>
      <w:r w:rsidRPr="00406EAB">
        <w:rPr>
          <w:b/>
          <w:bCs/>
        </w:rPr>
        <w:t>SUPPLEMENTARY MATERIALS</w:t>
      </w:r>
    </w:p>
    <w:p w14:paraId="5189055B" w14:textId="77777777" w:rsidR="00406EAB" w:rsidRPr="00406EAB" w:rsidRDefault="00406EAB" w:rsidP="00406EAB">
      <w:pPr>
        <w:jc w:val="both"/>
        <w:rPr>
          <w:b/>
          <w:bCs/>
        </w:rPr>
      </w:pPr>
      <w:r w:rsidRPr="00406EAB">
        <w:rPr>
          <w:b/>
          <w:bCs/>
        </w:rPr>
        <w:t>Title: Development of a multidomain neuromuscular aging clock integrating neurosensory dysfunction with molecular biomarkers</w:t>
      </w:r>
    </w:p>
    <w:p w14:paraId="4BACF485" w14:textId="77777777" w:rsidR="00406EAB" w:rsidRDefault="00406EAB" w:rsidP="00406EAB">
      <w:pPr>
        <w:jc w:val="both"/>
      </w:pPr>
      <w:r w:rsidRPr="00112676">
        <w:br/>
      </w:r>
      <w:r w:rsidRPr="00406EAB">
        <w:rPr>
          <w:b/>
          <w:bCs/>
        </w:rPr>
        <w:t>Authors:</w:t>
      </w:r>
      <w:r w:rsidRPr="00112676">
        <w:t xml:space="preserve">   </w:t>
      </w:r>
      <w:proofErr w:type="spellStart"/>
      <w:r w:rsidRPr="00112676">
        <w:t>Apurba</w:t>
      </w:r>
      <w:proofErr w:type="spellEnd"/>
      <w:r w:rsidRPr="00112676">
        <w:t xml:space="preserve"> Kumar </w:t>
      </w:r>
      <w:proofErr w:type="spellStart"/>
      <w:r w:rsidRPr="00112676">
        <w:t>Ganguly</w:t>
      </w:r>
      <w:proofErr w:type="spellEnd"/>
      <w:r w:rsidRPr="00112676">
        <w:t xml:space="preserve">, Ph.D.*, Sudip Kumar Banerjee, Ph.D.  Vidya Sagar GV, MD, Ph.D. Dinesh Kumar </w:t>
      </w:r>
      <w:proofErr w:type="spellStart"/>
      <w:r w:rsidRPr="00112676">
        <w:t>Singal</w:t>
      </w:r>
      <w:proofErr w:type="spellEnd"/>
      <w:r w:rsidRPr="00112676">
        <w:t xml:space="preserve">, MD.  and </w:t>
      </w:r>
      <w:proofErr w:type="spellStart"/>
      <w:r w:rsidRPr="00112676">
        <w:t>Anondeep</w:t>
      </w:r>
      <w:proofErr w:type="spellEnd"/>
      <w:r w:rsidRPr="00112676">
        <w:t xml:space="preserve"> </w:t>
      </w:r>
      <w:proofErr w:type="spellStart"/>
      <w:r w:rsidRPr="00112676">
        <w:t>Ganguly</w:t>
      </w:r>
      <w:proofErr w:type="spellEnd"/>
      <w:r w:rsidRPr="00112676">
        <w:t>, PGDH.</w:t>
      </w:r>
    </w:p>
    <w:p w14:paraId="0C209B12" w14:textId="35F3DF48" w:rsidR="009749A4" w:rsidRDefault="00406EAB" w:rsidP="00406EAB">
      <w:pPr>
        <w:jc w:val="both"/>
      </w:pPr>
      <w:r w:rsidRPr="00112676">
        <w:br/>
      </w:r>
      <w:r w:rsidRPr="00406EAB">
        <w:rPr>
          <w:b/>
          <w:bCs/>
        </w:rPr>
        <w:t>* Corresponding Author:</w:t>
      </w:r>
      <w:r w:rsidRPr="00112676">
        <w:t xml:space="preserve"> </w:t>
      </w:r>
      <w:proofErr w:type="spellStart"/>
      <w:r w:rsidRPr="00112676">
        <w:t>Apurba</w:t>
      </w:r>
      <w:proofErr w:type="spellEnd"/>
      <w:r w:rsidRPr="00112676">
        <w:t xml:space="preserve"> Kumar </w:t>
      </w:r>
      <w:proofErr w:type="spellStart"/>
      <w:r w:rsidRPr="00112676">
        <w:t>Ganguly</w:t>
      </w:r>
      <w:proofErr w:type="spellEnd"/>
      <w:r w:rsidRPr="00112676">
        <w:t xml:space="preserve">, Ph.D.; Address: 7, </w:t>
      </w:r>
      <w:proofErr w:type="spellStart"/>
      <w:r w:rsidRPr="00112676">
        <w:t>Panditya</w:t>
      </w:r>
      <w:proofErr w:type="spellEnd"/>
      <w:r w:rsidRPr="00112676">
        <w:t xml:space="preserve"> Place, Kolkata-700029, India; Tel: +919830389616; Email: </w:t>
      </w:r>
      <w:r w:rsidR="009749A4" w:rsidRPr="009749A4">
        <w:t>apurbaganguly15@gmail.com</w:t>
      </w:r>
      <w:r w:rsidRPr="00112676">
        <w:t>.</w:t>
      </w:r>
    </w:p>
    <w:p w14:paraId="2BCF8F04" w14:textId="19D4FF04" w:rsidR="00406EAB" w:rsidRDefault="00406EAB" w:rsidP="00406EAB">
      <w:pPr>
        <w:jc w:val="both"/>
      </w:pPr>
    </w:p>
    <w:p w14:paraId="2ADC7EEA" w14:textId="71C4F3F2" w:rsidR="00886E3E" w:rsidRDefault="00406EAB" w:rsidP="00406EAB">
      <w:pPr>
        <w:jc w:val="both"/>
      </w:pPr>
      <w:r w:rsidRPr="00406EAB">
        <w:rPr>
          <w:b/>
          <w:bCs/>
        </w:rPr>
        <w:t>Journal:</w:t>
      </w:r>
      <w:r w:rsidRPr="00112676">
        <w:t xml:space="preserve"> Aging Clinical and Experimental Research</w:t>
      </w:r>
    </w:p>
    <w:p w14:paraId="13E0996A" w14:textId="2A6A3F24" w:rsidR="00406EAB" w:rsidRDefault="00406EAB" w:rsidP="00406EAB">
      <w:pPr>
        <w:jc w:val="both"/>
      </w:pPr>
    </w:p>
    <w:p w14:paraId="3F910B39" w14:textId="6B631022" w:rsidR="00406EAB" w:rsidRDefault="00406EAB" w:rsidP="00B84E4E">
      <w:pPr>
        <w:spacing w:line="360" w:lineRule="auto"/>
        <w:jc w:val="both"/>
        <w:rPr>
          <w:b/>
          <w:bCs/>
        </w:rPr>
      </w:pPr>
    </w:p>
    <w:p w14:paraId="03CB221D" w14:textId="77777777" w:rsidR="008D663D" w:rsidRPr="008D663D" w:rsidRDefault="008D663D" w:rsidP="008D663D">
      <w:pPr>
        <w:spacing w:line="360" w:lineRule="auto"/>
        <w:jc w:val="both"/>
        <w:rPr>
          <w:b/>
          <w:bCs/>
        </w:rPr>
      </w:pPr>
      <w:r w:rsidRPr="008D663D">
        <w:rPr>
          <w:b/>
          <w:bCs/>
        </w:rPr>
        <w:t>Supplementary Table S3. Construction of the Composite Neuromuscular Dysfunction Index (CNDI)</w:t>
      </w:r>
    </w:p>
    <w:p w14:paraId="6883429E" w14:textId="77777777" w:rsidR="008D663D" w:rsidRDefault="008D663D" w:rsidP="008D663D">
      <w:pPr>
        <w:spacing w:line="360" w:lineRule="auto"/>
        <w:jc w:val="both"/>
      </w:pPr>
    </w:p>
    <w:p w14:paraId="22E85EE5" w14:textId="36C2C16D" w:rsidR="008D663D" w:rsidRPr="008D663D" w:rsidRDefault="008D663D" w:rsidP="008D663D">
      <w:pPr>
        <w:spacing w:line="360" w:lineRule="auto"/>
        <w:jc w:val="both"/>
        <w:rPr>
          <w:b/>
          <w:bCs/>
        </w:rPr>
      </w:pPr>
      <w:r w:rsidRPr="008D663D">
        <w:rPr>
          <w:b/>
          <w:bCs/>
        </w:rPr>
        <w:t>S3A. Domain-level effect sizes contributing to CNDI</w:t>
      </w:r>
    </w:p>
    <w:tbl>
      <w:tblPr>
        <w:tblW w:w="0" w:type="auto"/>
        <w:tblLayout w:type="fixed"/>
        <w:tblCellMar>
          <w:top w:w="6" w:type="dxa"/>
          <w:left w:w="6" w:type="dxa"/>
          <w:bottom w:w="6" w:type="dxa"/>
          <w:right w:w="6" w:type="dxa"/>
        </w:tblCellMar>
        <w:tblLook w:val="04A0" w:firstRow="1" w:lastRow="0" w:firstColumn="1" w:lastColumn="0" w:noHBand="0" w:noVBand="1"/>
      </w:tblPr>
      <w:tblGrid>
        <w:gridCol w:w="2972"/>
        <w:gridCol w:w="1843"/>
        <w:gridCol w:w="2268"/>
        <w:gridCol w:w="567"/>
        <w:gridCol w:w="709"/>
        <w:gridCol w:w="708"/>
        <w:gridCol w:w="561"/>
      </w:tblGrid>
      <w:tr w:rsidR="009749A4" w:rsidRPr="009749A4" w14:paraId="2A5255FF" w14:textId="77777777" w:rsidTr="009749A4">
        <w:trPr>
          <w:trHeight w:val="283"/>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4E5F9" w14:textId="4695BC2C" w:rsidR="009749A4" w:rsidRPr="009749A4" w:rsidRDefault="009749A4" w:rsidP="009749A4">
            <w:pPr>
              <w:rPr>
                <w:b/>
                <w:bCs/>
                <w:sz w:val="20"/>
                <w:szCs w:val="20"/>
              </w:rPr>
            </w:pPr>
            <w:r w:rsidRPr="009749A4">
              <w:rPr>
                <w:b/>
                <w:bCs/>
                <w:sz w:val="20"/>
                <w:szCs w:val="20"/>
              </w:rPr>
              <w:t>Neurosensory</w:t>
            </w:r>
            <w:r>
              <w:rPr>
                <w:b/>
                <w:bCs/>
                <w:sz w:val="20"/>
                <w:szCs w:val="20"/>
              </w:rPr>
              <w:t xml:space="preserve"> </w:t>
            </w:r>
            <w:r w:rsidRPr="009749A4">
              <w:rPr>
                <w:b/>
                <w:bCs/>
                <w:sz w:val="20"/>
                <w:szCs w:val="20"/>
              </w:rPr>
              <w:t>Domain</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3C72E57" w14:textId="77777777" w:rsidR="009749A4" w:rsidRPr="009749A4" w:rsidRDefault="009749A4" w:rsidP="009749A4">
            <w:pPr>
              <w:rPr>
                <w:b/>
                <w:bCs/>
                <w:sz w:val="20"/>
                <w:szCs w:val="20"/>
              </w:rPr>
            </w:pPr>
            <w:r w:rsidRPr="009749A4">
              <w:rPr>
                <w:b/>
                <w:bCs/>
                <w:sz w:val="20"/>
                <w:szCs w:val="20"/>
              </w:rPr>
              <w:t>Clinical Parameter</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20E9B7B" w14:textId="77777777" w:rsidR="009749A4" w:rsidRPr="009749A4" w:rsidRDefault="009749A4" w:rsidP="009749A4">
            <w:pPr>
              <w:jc w:val="center"/>
              <w:rPr>
                <w:b/>
                <w:bCs/>
                <w:color w:val="000000"/>
                <w:sz w:val="20"/>
                <w:szCs w:val="20"/>
              </w:rPr>
            </w:pPr>
            <w:proofErr w:type="spellStart"/>
            <w:r w:rsidRPr="009749A4">
              <w:rPr>
                <w:b/>
                <w:bCs/>
                <w:color w:val="000000"/>
                <w:sz w:val="20"/>
                <w:szCs w:val="20"/>
              </w:rPr>
              <w:t>Symtomatic</w:t>
            </w:r>
            <w:proofErr w:type="spellEnd"/>
            <w:r w:rsidRPr="009749A4">
              <w:rPr>
                <w:b/>
                <w:bCs/>
                <w:color w:val="000000"/>
                <w:sz w:val="20"/>
                <w:szCs w:val="20"/>
              </w:rPr>
              <w:t xml:space="preserve"> vs Control </w:t>
            </w:r>
          </w:p>
          <w:p w14:paraId="2B4991E1" w14:textId="05FCE5F5" w:rsidR="009749A4" w:rsidRPr="009749A4" w:rsidRDefault="009749A4" w:rsidP="009749A4">
            <w:pPr>
              <w:jc w:val="center"/>
              <w:rPr>
                <w:b/>
                <w:bCs/>
                <w:color w:val="000000"/>
                <w:sz w:val="20"/>
                <w:szCs w:val="20"/>
              </w:rPr>
            </w:pPr>
            <w:r w:rsidRPr="009749A4">
              <w:rPr>
                <w:b/>
                <w:bCs/>
                <w:color w:val="000000"/>
                <w:sz w:val="20"/>
                <w:szCs w:val="20"/>
              </w:rPr>
              <w:t>(Mean ± SD)</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406E2926" w14:textId="77777777" w:rsidR="009749A4" w:rsidRPr="009749A4" w:rsidRDefault="009749A4" w:rsidP="009749A4">
            <w:pPr>
              <w:jc w:val="center"/>
              <w:rPr>
                <w:b/>
                <w:bCs/>
                <w:sz w:val="20"/>
                <w:szCs w:val="20"/>
              </w:rPr>
            </w:pPr>
            <w:r w:rsidRPr="009749A4">
              <w:rPr>
                <w:b/>
                <w:bCs/>
                <w:sz w:val="20"/>
                <w:szCs w:val="20"/>
              </w:rPr>
              <w:t>MD</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5D2D6A6C" w14:textId="200F6BED" w:rsidR="009749A4" w:rsidRPr="009749A4" w:rsidRDefault="009749A4" w:rsidP="009749A4">
            <w:pPr>
              <w:jc w:val="center"/>
              <w:rPr>
                <w:b/>
                <w:bCs/>
                <w:color w:val="000000"/>
                <w:sz w:val="20"/>
                <w:szCs w:val="20"/>
              </w:rPr>
            </w:pPr>
            <w:proofErr w:type="spellStart"/>
            <w:r w:rsidRPr="009749A4">
              <w:rPr>
                <w:b/>
                <w:bCs/>
                <w:color w:val="000000"/>
                <w:sz w:val="20"/>
                <w:szCs w:val="20"/>
              </w:rPr>
              <w:t>SD</w:t>
            </w:r>
            <w:r w:rsidRPr="009749A4">
              <w:rPr>
                <w:b/>
                <w:bCs/>
                <w:color w:val="000000"/>
                <w:sz w:val="20"/>
                <w:szCs w:val="20"/>
                <w:vertAlign w:val="subscript"/>
              </w:rPr>
              <w:t>Pooled</w:t>
            </w:r>
            <w:proofErr w:type="spellEnd"/>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3258A659" w14:textId="77777777" w:rsidR="009749A4" w:rsidRPr="009749A4" w:rsidRDefault="009749A4" w:rsidP="009749A4">
            <w:pPr>
              <w:jc w:val="center"/>
              <w:rPr>
                <w:b/>
                <w:bCs/>
                <w:sz w:val="20"/>
                <w:szCs w:val="20"/>
              </w:rPr>
            </w:pPr>
            <w:r w:rsidRPr="009749A4">
              <w:rPr>
                <w:b/>
                <w:bCs/>
                <w:sz w:val="20"/>
                <w:szCs w:val="20"/>
              </w:rPr>
              <w:t>Cohen's d</w:t>
            </w:r>
          </w:p>
        </w:tc>
        <w:tc>
          <w:tcPr>
            <w:tcW w:w="561" w:type="dxa"/>
            <w:tcBorders>
              <w:top w:val="single" w:sz="4" w:space="0" w:color="auto"/>
              <w:left w:val="nil"/>
              <w:bottom w:val="single" w:sz="4" w:space="0" w:color="auto"/>
              <w:right w:val="single" w:sz="4" w:space="0" w:color="auto"/>
            </w:tcBorders>
            <w:shd w:val="clear" w:color="auto" w:fill="auto"/>
            <w:noWrap/>
            <w:vAlign w:val="center"/>
            <w:hideMark/>
          </w:tcPr>
          <w:p w14:paraId="0DF27A81" w14:textId="77777777" w:rsidR="009749A4" w:rsidRPr="009749A4" w:rsidRDefault="009749A4" w:rsidP="009749A4">
            <w:pPr>
              <w:jc w:val="center"/>
              <w:rPr>
                <w:b/>
                <w:bCs/>
                <w:sz w:val="20"/>
                <w:szCs w:val="20"/>
              </w:rPr>
            </w:pPr>
            <w:r w:rsidRPr="009749A4">
              <w:rPr>
                <w:b/>
                <w:bCs/>
                <w:sz w:val="20"/>
                <w:szCs w:val="20"/>
              </w:rPr>
              <w:t>|d|</w:t>
            </w:r>
          </w:p>
        </w:tc>
      </w:tr>
      <w:tr w:rsidR="009749A4" w:rsidRPr="009749A4" w14:paraId="5E106F88" w14:textId="77777777" w:rsidTr="009749A4">
        <w:trPr>
          <w:trHeight w:val="283"/>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B9D4C7" w14:textId="034D7E60" w:rsidR="009749A4" w:rsidRPr="009749A4" w:rsidRDefault="009749A4" w:rsidP="009749A4">
            <w:pPr>
              <w:rPr>
                <w:b/>
                <w:bCs/>
                <w:sz w:val="20"/>
                <w:szCs w:val="20"/>
              </w:rPr>
            </w:pPr>
            <w:r w:rsidRPr="009749A4">
              <w:rPr>
                <w:b/>
                <w:bCs/>
                <w:sz w:val="20"/>
                <w:szCs w:val="20"/>
              </w:rPr>
              <w:t>Nociceptive Pain</w:t>
            </w:r>
            <w:r>
              <w:rPr>
                <w:b/>
                <w:bCs/>
                <w:sz w:val="20"/>
                <w:szCs w:val="20"/>
              </w:rPr>
              <w:t xml:space="preserve"> </w:t>
            </w:r>
            <w:r w:rsidRPr="009749A4">
              <w:rPr>
                <w:b/>
                <w:bCs/>
                <w:sz w:val="20"/>
                <w:szCs w:val="20"/>
              </w:rPr>
              <w:t>Burden</w:t>
            </w:r>
            <w:r>
              <w:rPr>
                <w:b/>
                <w:bCs/>
                <w:sz w:val="20"/>
                <w:szCs w:val="20"/>
              </w:rPr>
              <w:t xml:space="preserve"> </w:t>
            </w:r>
            <w:r w:rsidRPr="009749A4">
              <w:rPr>
                <w:b/>
                <w:bCs/>
                <w:sz w:val="20"/>
                <w:szCs w:val="20"/>
              </w:rPr>
              <w:t>(NPB)</w:t>
            </w:r>
          </w:p>
        </w:tc>
        <w:tc>
          <w:tcPr>
            <w:tcW w:w="1843" w:type="dxa"/>
            <w:tcBorders>
              <w:top w:val="nil"/>
              <w:left w:val="nil"/>
              <w:bottom w:val="single" w:sz="4" w:space="0" w:color="auto"/>
              <w:right w:val="single" w:sz="4" w:space="0" w:color="auto"/>
            </w:tcBorders>
            <w:shd w:val="clear" w:color="auto" w:fill="auto"/>
            <w:noWrap/>
            <w:vAlign w:val="center"/>
            <w:hideMark/>
          </w:tcPr>
          <w:p w14:paraId="7B24B885" w14:textId="77777777" w:rsidR="009749A4" w:rsidRPr="009749A4" w:rsidRDefault="009749A4" w:rsidP="009749A4">
            <w:pPr>
              <w:rPr>
                <w:sz w:val="20"/>
                <w:szCs w:val="20"/>
              </w:rPr>
            </w:pPr>
            <w:r w:rsidRPr="009749A4">
              <w:rPr>
                <w:sz w:val="20"/>
                <w:szCs w:val="20"/>
              </w:rPr>
              <w:t>Pain intensity</w:t>
            </w:r>
          </w:p>
        </w:tc>
        <w:tc>
          <w:tcPr>
            <w:tcW w:w="2268" w:type="dxa"/>
            <w:tcBorders>
              <w:top w:val="nil"/>
              <w:left w:val="nil"/>
              <w:bottom w:val="single" w:sz="4" w:space="0" w:color="auto"/>
              <w:right w:val="single" w:sz="4" w:space="0" w:color="auto"/>
            </w:tcBorders>
            <w:shd w:val="clear" w:color="auto" w:fill="auto"/>
            <w:noWrap/>
            <w:vAlign w:val="center"/>
            <w:hideMark/>
          </w:tcPr>
          <w:p w14:paraId="4AC7CB8A" w14:textId="77777777" w:rsidR="009749A4" w:rsidRPr="009749A4" w:rsidRDefault="009749A4" w:rsidP="009749A4">
            <w:pPr>
              <w:jc w:val="center"/>
              <w:rPr>
                <w:sz w:val="20"/>
                <w:szCs w:val="20"/>
              </w:rPr>
            </w:pPr>
            <w:r w:rsidRPr="009749A4">
              <w:rPr>
                <w:sz w:val="20"/>
                <w:szCs w:val="20"/>
              </w:rPr>
              <w:t>2.69 ± 0.88 vs 0.67 ± 0.38</w:t>
            </w:r>
          </w:p>
        </w:tc>
        <w:tc>
          <w:tcPr>
            <w:tcW w:w="567" w:type="dxa"/>
            <w:tcBorders>
              <w:top w:val="nil"/>
              <w:left w:val="nil"/>
              <w:bottom w:val="single" w:sz="4" w:space="0" w:color="auto"/>
              <w:right w:val="single" w:sz="4" w:space="0" w:color="auto"/>
            </w:tcBorders>
            <w:shd w:val="clear" w:color="auto" w:fill="auto"/>
            <w:noWrap/>
            <w:vAlign w:val="center"/>
            <w:hideMark/>
          </w:tcPr>
          <w:p w14:paraId="6DD84579" w14:textId="77777777" w:rsidR="009749A4" w:rsidRPr="009749A4" w:rsidRDefault="009749A4" w:rsidP="009749A4">
            <w:pPr>
              <w:jc w:val="center"/>
              <w:rPr>
                <w:color w:val="000000"/>
                <w:sz w:val="20"/>
                <w:szCs w:val="20"/>
              </w:rPr>
            </w:pPr>
            <w:r w:rsidRPr="009749A4">
              <w:rPr>
                <w:color w:val="000000"/>
                <w:sz w:val="20"/>
                <w:szCs w:val="20"/>
              </w:rPr>
              <w:t>2.02</w:t>
            </w:r>
          </w:p>
        </w:tc>
        <w:tc>
          <w:tcPr>
            <w:tcW w:w="709" w:type="dxa"/>
            <w:tcBorders>
              <w:top w:val="nil"/>
              <w:left w:val="nil"/>
              <w:bottom w:val="single" w:sz="4" w:space="0" w:color="auto"/>
              <w:right w:val="single" w:sz="4" w:space="0" w:color="auto"/>
            </w:tcBorders>
            <w:shd w:val="clear" w:color="auto" w:fill="auto"/>
            <w:noWrap/>
            <w:vAlign w:val="center"/>
            <w:hideMark/>
          </w:tcPr>
          <w:p w14:paraId="1CEE12B8" w14:textId="77777777" w:rsidR="009749A4" w:rsidRPr="009749A4" w:rsidRDefault="009749A4" w:rsidP="009749A4">
            <w:pPr>
              <w:jc w:val="center"/>
              <w:rPr>
                <w:color w:val="000000"/>
                <w:sz w:val="20"/>
                <w:szCs w:val="20"/>
              </w:rPr>
            </w:pPr>
            <w:r w:rsidRPr="009749A4">
              <w:rPr>
                <w:color w:val="000000"/>
                <w:sz w:val="20"/>
                <w:szCs w:val="20"/>
              </w:rPr>
              <w:t>0.678</w:t>
            </w:r>
          </w:p>
        </w:tc>
        <w:tc>
          <w:tcPr>
            <w:tcW w:w="708" w:type="dxa"/>
            <w:tcBorders>
              <w:top w:val="nil"/>
              <w:left w:val="nil"/>
              <w:bottom w:val="single" w:sz="4" w:space="0" w:color="auto"/>
              <w:right w:val="single" w:sz="4" w:space="0" w:color="auto"/>
            </w:tcBorders>
            <w:shd w:val="clear" w:color="auto" w:fill="auto"/>
            <w:noWrap/>
            <w:vAlign w:val="center"/>
            <w:hideMark/>
          </w:tcPr>
          <w:p w14:paraId="7450D5B6" w14:textId="77777777" w:rsidR="009749A4" w:rsidRPr="009749A4" w:rsidRDefault="009749A4" w:rsidP="009749A4">
            <w:pPr>
              <w:jc w:val="center"/>
              <w:rPr>
                <w:color w:val="000000"/>
                <w:sz w:val="20"/>
                <w:szCs w:val="20"/>
              </w:rPr>
            </w:pPr>
            <w:r w:rsidRPr="009749A4">
              <w:rPr>
                <w:color w:val="000000"/>
                <w:sz w:val="20"/>
                <w:szCs w:val="20"/>
              </w:rPr>
              <w:t>2.98</w:t>
            </w:r>
          </w:p>
        </w:tc>
        <w:tc>
          <w:tcPr>
            <w:tcW w:w="561" w:type="dxa"/>
            <w:tcBorders>
              <w:top w:val="nil"/>
              <w:left w:val="nil"/>
              <w:bottom w:val="single" w:sz="4" w:space="0" w:color="auto"/>
              <w:right w:val="single" w:sz="4" w:space="0" w:color="auto"/>
            </w:tcBorders>
            <w:shd w:val="clear" w:color="auto" w:fill="auto"/>
            <w:noWrap/>
            <w:vAlign w:val="center"/>
            <w:hideMark/>
          </w:tcPr>
          <w:p w14:paraId="5C23A226" w14:textId="77777777" w:rsidR="009749A4" w:rsidRPr="009749A4" w:rsidRDefault="009749A4" w:rsidP="009749A4">
            <w:pPr>
              <w:jc w:val="center"/>
              <w:rPr>
                <w:color w:val="000000"/>
                <w:sz w:val="20"/>
                <w:szCs w:val="20"/>
              </w:rPr>
            </w:pPr>
            <w:r w:rsidRPr="009749A4">
              <w:rPr>
                <w:color w:val="000000"/>
                <w:sz w:val="20"/>
                <w:szCs w:val="20"/>
              </w:rPr>
              <w:t>2.98</w:t>
            </w:r>
          </w:p>
        </w:tc>
      </w:tr>
      <w:tr w:rsidR="009749A4" w:rsidRPr="009749A4" w14:paraId="29EE3A71" w14:textId="77777777" w:rsidTr="009749A4">
        <w:trPr>
          <w:trHeight w:val="283"/>
        </w:trPr>
        <w:tc>
          <w:tcPr>
            <w:tcW w:w="2972" w:type="dxa"/>
            <w:vMerge/>
            <w:tcBorders>
              <w:top w:val="nil"/>
              <w:left w:val="single" w:sz="4" w:space="0" w:color="auto"/>
              <w:bottom w:val="single" w:sz="4" w:space="0" w:color="auto"/>
              <w:right w:val="single" w:sz="4" w:space="0" w:color="auto"/>
            </w:tcBorders>
            <w:vAlign w:val="center"/>
            <w:hideMark/>
          </w:tcPr>
          <w:p w14:paraId="3793AB8B" w14:textId="77777777" w:rsidR="009749A4" w:rsidRPr="009749A4" w:rsidRDefault="009749A4" w:rsidP="009749A4">
            <w:pPr>
              <w:rPr>
                <w:b/>
                <w:bCs/>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14:paraId="3728C5FE" w14:textId="77777777" w:rsidR="009749A4" w:rsidRPr="009749A4" w:rsidRDefault="009749A4" w:rsidP="009749A4">
            <w:pPr>
              <w:rPr>
                <w:sz w:val="20"/>
                <w:szCs w:val="20"/>
              </w:rPr>
            </w:pPr>
            <w:r w:rsidRPr="009749A4">
              <w:rPr>
                <w:sz w:val="20"/>
                <w:szCs w:val="20"/>
              </w:rPr>
              <w:t>Surface pain</w:t>
            </w:r>
          </w:p>
        </w:tc>
        <w:tc>
          <w:tcPr>
            <w:tcW w:w="2268" w:type="dxa"/>
            <w:tcBorders>
              <w:top w:val="nil"/>
              <w:left w:val="nil"/>
              <w:bottom w:val="single" w:sz="4" w:space="0" w:color="auto"/>
              <w:right w:val="single" w:sz="4" w:space="0" w:color="auto"/>
            </w:tcBorders>
            <w:shd w:val="clear" w:color="auto" w:fill="auto"/>
            <w:noWrap/>
            <w:vAlign w:val="center"/>
            <w:hideMark/>
          </w:tcPr>
          <w:p w14:paraId="32407A97" w14:textId="77777777" w:rsidR="009749A4" w:rsidRPr="009749A4" w:rsidRDefault="009749A4" w:rsidP="009749A4">
            <w:pPr>
              <w:jc w:val="center"/>
              <w:rPr>
                <w:sz w:val="20"/>
                <w:szCs w:val="20"/>
              </w:rPr>
            </w:pPr>
            <w:r w:rsidRPr="009749A4">
              <w:rPr>
                <w:sz w:val="20"/>
                <w:szCs w:val="20"/>
              </w:rPr>
              <w:t>2.49 ± 0.79 vs 0.66 ± 0.47</w:t>
            </w:r>
          </w:p>
        </w:tc>
        <w:tc>
          <w:tcPr>
            <w:tcW w:w="567" w:type="dxa"/>
            <w:tcBorders>
              <w:top w:val="nil"/>
              <w:left w:val="nil"/>
              <w:bottom w:val="single" w:sz="4" w:space="0" w:color="auto"/>
              <w:right w:val="single" w:sz="4" w:space="0" w:color="auto"/>
            </w:tcBorders>
            <w:shd w:val="clear" w:color="auto" w:fill="auto"/>
            <w:noWrap/>
            <w:vAlign w:val="center"/>
            <w:hideMark/>
          </w:tcPr>
          <w:p w14:paraId="6EABBA1C" w14:textId="77777777" w:rsidR="009749A4" w:rsidRPr="009749A4" w:rsidRDefault="009749A4" w:rsidP="009749A4">
            <w:pPr>
              <w:jc w:val="center"/>
              <w:rPr>
                <w:color w:val="000000"/>
                <w:sz w:val="20"/>
                <w:szCs w:val="20"/>
              </w:rPr>
            </w:pPr>
            <w:r w:rsidRPr="009749A4">
              <w:rPr>
                <w:color w:val="000000"/>
                <w:sz w:val="20"/>
                <w:szCs w:val="20"/>
              </w:rPr>
              <w:t>1.84</w:t>
            </w:r>
          </w:p>
        </w:tc>
        <w:tc>
          <w:tcPr>
            <w:tcW w:w="709" w:type="dxa"/>
            <w:tcBorders>
              <w:top w:val="nil"/>
              <w:left w:val="nil"/>
              <w:bottom w:val="single" w:sz="4" w:space="0" w:color="auto"/>
              <w:right w:val="single" w:sz="4" w:space="0" w:color="auto"/>
            </w:tcBorders>
            <w:shd w:val="clear" w:color="auto" w:fill="auto"/>
            <w:noWrap/>
            <w:vAlign w:val="center"/>
            <w:hideMark/>
          </w:tcPr>
          <w:p w14:paraId="4D0FBA69" w14:textId="77777777" w:rsidR="009749A4" w:rsidRPr="009749A4" w:rsidRDefault="009749A4" w:rsidP="009749A4">
            <w:pPr>
              <w:jc w:val="center"/>
              <w:rPr>
                <w:color w:val="000000"/>
                <w:sz w:val="20"/>
                <w:szCs w:val="20"/>
              </w:rPr>
            </w:pPr>
            <w:r w:rsidRPr="009749A4">
              <w:rPr>
                <w:color w:val="000000"/>
                <w:sz w:val="20"/>
                <w:szCs w:val="20"/>
              </w:rPr>
              <w:t>0.650</w:t>
            </w:r>
          </w:p>
        </w:tc>
        <w:tc>
          <w:tcPr>
            <w:tcW w:w="708" w:type="dxa"/>
            <w:tcBorders>
              <w:top w:val="nil"/>
              <w:left w:val="nil"/>
              <w:bottom w:val="single" w:sz="4" w:space="0" w:color="auto"/>
              <w:right w:val="single" w:sz="4" w:space="0" w:color="auto"/>
            </w:tcBorders>
            <w:shd w:val="clear" w:color="auto" w:fill="auto"/>
            <w:noWrap/>
            <w:vAlign w:val="center"/>
            <w:hideMark/>
          </w:tcPr>
          <w:p w14:paraId="6F6F19E5" w14:textId="77777777" w:rsidR="009749A4" w:rsidRPr="009749A4" w:rsidRDefault="009749A4" w:rsidP="009749A4">
            <w:pPr>
              <w:jc w:val="center"/>
              <w:rPr>
                <w:color w:val="000000"/>
                <w:sz w:val="20"/>
                <w:szCs w:val="20"/>
              </w:rPr>
            </w:pPr>
            <w:r w:rsidRPr="009749A4">
              <w:rPr>
                <w:color w:val="000000"/>
                <w:sz w:val="20"/>
                <w:szCs w:val="20"/>
              </w:rPr>
              <w:t>2.82</w:t>
            </w:r>
          </w:p>
        </w:tc>
        <w:tc>
          <w:tcPr>
            <w:tcW w:w="561" w:type="dxa"/>
            <w:tcBorders>
              <w:top w:val="nil"/>
              <w:left w:val="nil"/>
              <w:bottom w:val="single" w:sz="4" w:space="0" w:color="auto"/>
              <w:right w:val="single" w:sz="4" w:space="0" w:color="auto"/>
            </w:tcBorders>
            <w:shd w:val="clear" w:color="auto" w:fill="auto"/>
            <w:noWrap/>
            <w:vAlign w:val="center"/>
            <w:hideMark/>
          </w:tcPr>
          <w:p w14:paraId="14415889" w14:textId="77777777" w:rsidR="009749A4" w:rsidRPr="009749A4" w:rsidRDefault="009749A4" w:rsidP="009749A4">
            <w:pPr>
              <w:jc w:val="center"/>
              <w:rPr>
                <w:color w:val="000000"/>
                <w:sz w:val="20"/>
                <w:szCs w:val="20"/>
              </w:rPr>
            </w:pPr>
            <w:r w:rsidRPr="009749A4">
              <w:rPr>
                <w:color w:val="000000"/>
                <w:sz w:val="20"/>
                <w:szCs w:val="20"/>
              </w:rPr>
              <w:t>2.82</w:t>
            </w:r>
          </w:p>
        </w:tc>
      </w:tr>
      <w:tr w:rsidR="009749A4" w:rsidRPr="009749A4" w14:paraId="5CD353A3" w14:textId="77777777" w:rsidTr="009749A4">
        <w:trPr>
          <w:trHeight w:val="283"/>
        </w:trPr>
        <w:tc>
          <w:tcPr>
            <w:tcW w:w="2972" w:type="dxa"/>
            <w:vMerge/>
            <w:tcBorders>
              <w:top w:val="nil"/>
              <w:left w:val="single" w:sz="4" w:space="0" w:color="auto"/>
              <w:bottom w:val="single" w:sz="4" w:space="0" w:color="auto"/>
              <w:right w:val="single" w:sz="4" w:space="0" w:color="auto"/>
            </w:tcBorders>
            <w:vAlign w:val="center"/>
            <w:hideMark/>
          </w:tcPr>
          <w:p w14:paraId="3344BD25" w14:textId="77777777" w:rsidR="009749A4" w:rsidRPr="009749A4" w:rsidRDefault="009749A4" w:rsidP="009749A4">
            <w:pPr>
              <w:rPr>
                <w:b/>
                <w:bCs/>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14:paraId="6F1901D7" w14:textId="77777777" w:rsidR="009749A4" w:rsidRPr="009749A4" w:rsidRDefault="009749A4" w:rsidP="009749A4">
            <w:pPr>
              <w:rPr>
                <w:sz w:val="20"/>
                <w:szCs w:val="20"/>
              </w:rPr>
            </w:pPr>
            <w:r w:rsidRPr="009749A4">
              <w:rPr>
                <w:sz w:val="20"/>
                <w:szCs w:val="20"/>
              </w:rPr>
              <w:t>Deep pain</w:t>
            </w:r>
          </w:p>
        </w:tc>
        <w:tc>
          <w:tcPr>
            <w:tcW w:w="2268" w:type="dxa"/>
            <w:tcBorders>
              <w:top w:val="nil"/>
              <w:left w:val="nil"/>
              <w:bottom w:val="single" w:sz="4" w:space="0" w:color="auto"/>
              <w:right w:val="single" w:sz="4" w:space="0" w:color="auto"/>
            </w:tcBorders>
            <w:shd w:val="clear" w:color="auto" w:fill="auto"/>
            <w:noWrap/>
            <w:vAlign w:val="center"/>
            <w:hideMark/>
          </w:tcPr>
          <w:p w14:paraId="2D68874C" w14:textId="77777777" w:rsidR="009749A4" w:rsidRPr="009749A4" w:rsidRDefault="009749A4" w:rsidP="009749A4">
            <w:pPr>
              <w:jc w:val="center"/>
              <w:rPr>
                <w:sz w:val="20"/>
                <w:szCs w:val="20"/>
              </w:rPr>
            </w:pPr>
            <w:r w:rsidRPr="009749A4">
              <w:rPr>
                <w:sz w:val="20"/>
                <w:szCs w:val="20"/>
              </w:rPr>
              <w:t>2.28 ± 0.74 vs 0.75 ± 0.55</w:t>
            </w:r>
          </w:p>
        </w:tc>
        <w:tc>
          <w:tcPr>
            <w:tcW w:w="567" w:type="dxa"/>
            <w:tcBorders>
              <w:top w:val="nil"/>
              <w:left w:val="nil"/>
              <w:bottom w:val="single" w:sz="4" w:space="0" w:color="auto"/>
              <w:right w:val="single" w:sz="4" w:space="0" w:color="auto"/>
            </w:tcBorders>
            <w:shd w:val="clear" w:color="auto" w:fill="auto"/>
            <w:noWrap/>
            <w:vAlign w:val="center"/>
            <w:hideMark/>
          </w:tcPr>
          <w:p w14:paraId="1E1B418F" w14:textId="77777777" w:rsidR="009749A4" w:rsidRPr="009749A4" w:rsidRDefault="009749A4" w:rsidP="009749A4">
            <w:pPr>
              <w:jc w:val="center"/>
              <w:rPr>
                <w:color w:val="000000"/>
                <w:sz w:val="20"/>
                <w:szCs w:val="20"/>
              </w:rPr>
            </w:pPr>
            <w:r w:rsidRPr="009749A4">
              <w:rPr>
                <w:color w:val="000000"/>
                <w:sz w:val="20"/>
                <w:szCs w:val="20"/>
              </w:rPr>
              <w:t>1.53</w:t>
            </w:r>
          </w:p>
        </w:tc>
        <w:tc>
          <w:tcPr>
            <w:tcW w:w="709" w:type="dxa"/>
            <w:tcBorders>
              <w:top w:val="nil"/>
              <w:left w:val="nil"/>
              <w:bottom w:val="single" w:sz="4" w:space="0" w:color="auto"/>
              <w:right w:val="single" w:sz="4" w:space="0" w:color="auto"/>
            </w:tcBorders>
            <w:shd w:val="clear" w:color="auto" w:fill="auto"/>
            <w:noWrap/>
            <w:vAlign w:val="center"/>
            <w:hideMark/>
          </w:tcPr>
          <w:p w14:paraId="16AEC15A" w14:textId="77777777" w:rsidR="009749A4" w:rsidRPr="009749A4" w:rsidRDefault="009749A4" w:rsidP="009749A4">
            <w:pPr>
              <w:jc w:val="center"/>
              <w:rPr>
                <w:color w:val="000000"/>
                <w:sz w:val="20"/>
                <w:szCs w:val="20"/>
              </w:rPr>
            </w:pPr>
            <w:r w:rsidRPr="009749A4">
              <w:rPr>
                <w:color w:val="000000"/>
                <w:sz w:val="20"/>
                <w:szCs w:val="20"/>
              </w:rPr>
              <w:t>0.652</w:t>
            </w:r>
          </w:p>
        </w:tc>
        <w:tc>
          <w:tcPr>
            <w:tcW w:w="708" w:type="dxa"/>
            <w:tcBorders>
              <w:top w:val="nil"/>
              <w:left w:val="nil"/>
              <w:bottom w:val="single" w:sz="4" w:space="0" w:color="auto"/>
              <w:right w:val="single" w:sz="4" w:space="0" w:color="auto"/>
            </w:tcBorders>
            <w:shd w:val="clear" w:color="auto" w:fill="auto"/>
            <w:noWrap/>
            <w:vAlign w:val="center"/>
            <w:hideMark/>
          </w:tcPr>
          <w:p w14:paraId="493C483A" w14:textId="77777777" w:rsidR="009749A4" w:rsidRPr="009749A4" w:rsidRDefault="009749A4" w:rsidP="009749A4">
            <w:pPr>
              <w:jc w:val="center"/>
              <w:rPr>
                <w:color w:val="000000"/>
                <w:sz w:val="20"/>
                <w:szCs w:val="20"/>
              </w:rPr>
            </w:pPr>
            <w:r w:rsidRPr="009749A4">
              <w:rPr>
                <w:color w:val="000000"/>
                <w:sz w:val="20"/>
                <w:szCs w:val="20"/>
              </w:rPr>
              <w:t>2.34</w:t>
            </w:r>
          </w:p>
        </w:tc>
        <w:tc>
          <w:tcPr>
            <w:tcW w:w="561" w:type="dxa"/>
            <w:tcBorders>
              <w:top w:val="nil"/>
              <w:left w:val="nil"/>
              <w:bottom w:val="single" w:sz="4" w:space="0" w:color="auto"/>
              <w:right w:val="single" w:sz="4" w:space="0" w:color="auto"/>
            </w:tcBorders>
            <w:shd w:val="clear" w:color="auto" w:fill="auto"/>
            <w:noWrap/>
            <w:vAlign w:val="center"/>
            <w:hideMark/>
          </w:tcPr>
          <w:p w14:paraId="28ABAB32" w14:textId="77777777" w:rsidR="009749A4" w:rsidRPr="009749A4" w:rsidRDefault="009749A4" w:rsidP="009749A4">
            <w:pPr>
              <w:jc w:val="center"/>
              <w:rPr>
                <w:color w:val="000000"/>
                <w:sz w:val="20"/>
                <w:szCs w:val="20"/>
              </w:rPr>
            </w:pPr>
            <w:r w:rsidRPr="009749A4">
              <w:rPr>
                <w:color w:val="000000"/>
                <w:sz w:val="20"/>
                <w:szCs w:val="20"/>
              </w:rPr>
              <w:t>2.34</w:t>
            </w:r>
          </w:p>
        </w:tc>
      </w:tr>
      <w:tr w:rsidR="009749A4" w:rsidRPr="009749A4" w14:paraId="4E82C37A" w14:textId="77777777" w:rsidTr="009749A4">
        <w:trPr>
          <w:trHeight w:val="283"/>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3C7014" w14:textId="4EF5DF46" w:rsidR="009749A4" w:rsidRPr="009749A4" w:rsidRDefault="009749A4" w:rsidP="009749A4">
            <w:pPr>
              <w:rPr>
                <w:b/>
                <w:bCs/>
                <w:sz w:val="20"/>
                <w:szCs w:val="20"/>
              </w:rPr>
            </w:pPr>
            <w:r w:rsidRPr="009749A4">
              <w:rPr>
                <w:b/>
                <w:bCs/>
                <w:sz w:val="20"/>
                <w:szCs w:val="20"/>
              </w:rPr>
              <w:t>Neuropathic Sensory</w:t>
            </w:r>
            <w:r>
              <w:rPr>
                <w:b/>
                <w:bCs/>
                <w:sz w:val="20"/>
                <w:szCs w:val="20"/>
              </w:rPr>
              <w:t xml:space="preserve"> </w:t>
            </w:r>
            <w:r w:rsidRPr="009749A4">
              <w:rPr>
                <w:b/>
                <w:bCs/>
                <w:sz w:val="20"/>
                <w:szCs w:val="20"/>
              </w:rPr>
              <w:t>Dysfunction</w:t>
            </w:r>
            <w:r>
              <w:rPr>
                <w:b/>
                <w:bCs/>
                <w:sz w:val="20"/>
                <w:szCs w:val="20"/>
              </w:rPr>
              <w:t xml:space="preserve"> </w:t>
            </w:r>
            <w:r w:rsidRPr="009749A4">
              <w:rPr>
                <w:b/>
                <w:bCs/>
                <w:sz w:val="20"/>
                <w:szCs w:val="20"/>
              </w:rPr>
              <w:t>(NSD)</w:t>
            </w:r>
          </w:p>
        </w:tc>
        <w:tc>
          <w:tcPr>
            <w:tcW w:w="1843" w:type="dxa"/>
            <w:tcBorders>
              <w:top w:val="nil"/>
              <w:left w:val="nil"/>
              <w:bottom w:val="single" w:sz="4" w:space="0" w:color="auto"/>
              <w:right w:val="single" w:sz="4" w:space="0" w:color="auto"/>
            </w:tcBorders>
            <w:shd w:val="clear" w:color="auto" w:fill="auto"/>
            <w:noWrap/>
            <w:vAlign w:val="center"/>
            <w:hideMark/>
          </w:tcPr>
          <w:p w14:paraId="53A47D44" w14:textId="77777777" w:rsidR="009749A4" w:rsidRPr="009749A4" w:rsidRDefault="009749A4" w:rsidP="009749A4">
            <w:pPr>
              <w:rPr>
                <w:sz w:val="20"/>
                <w:szCs w:val="20"/>
              </w:rPr>
            </w:pPr>
            <w:r w:rsidRPr="009749A4">
              <w:rPr>
                <w:sz w:val="20"/>
                <w:szCs w:val="20"/>
              </w:rPr>
              <w:t>Tingling/ pricking</w:t>
            </w:r>
          </w:p>
        </w:tc>
        <w:tc>
          <w:tcPr>
            <w:tcW w:w="2268" w:type="dxa"/>
            <w:tcBorders>
              <w:top w:val="nil"/>
              <w:left w:val="nil"/>
              <w:bottom w:val="single" w:sz="4" w:space="0" w:color="auto"/>
              <w:right w:val="single" w:sz="4" w:space="0" w:color="auto"/>
            </w:tcBorders>
            <w:shd w:val="clear" w:color="auto" w:fill="auto"/>
            <w:noWrap/>
            <w:vAlign w:val="center"/>
            <w:hideMark/>
          </w:tcPr>
          <w:p w14:paraId="686676E9" w14:textId="77777777" w:rsidR="009749A4" w:rsidRPr="009749A4" w:rsidRDefault="009749A4" w:rsidP="009749A4">
            <w:pPr>
              <w:jc w:val="center"/>
              <w:rPr>
                <w:sz w:val="20"/>
                <w:szCs w:val="20"/>
              </w:rPr>
            </w:pPr>
            <w:r w:rsidRPr="009749A4">
              <w:rPr>
                <w:sz w:val="20"/>
                <w:szCs w:val="20"/>
              </w:rPr>
              <w:t>2.60 ± 0.97 vs 0.64 ± 0.80</w:t>
            </w:r>
          </w:p>
        </w:tc>
        <w:tc>
          <w:tcPr>
            <w:tcW w:w="567" w:type="dxa"/>
            <w:tcBorders>
              <w:top w:val="nil"/>
              <w:left w:val="nil"/>
              <w:bottom w:val="single" w:sz="4" w:space="0" w:color="auto"/>
              <w:right w:val="single" w:sz="4" w:space="0" w:color="auto"/>
            </w:tcBorders>
            <w:shd w:val="clear" w:color="auto" w:fill="auto"/>
            <w:noWrap/>
            <w:vAlign w:val="center"/>
            <w:hideMark/>
          </w:tcPr>
          <w:p w14:paraId="3DECC759" w14:textId="77777777" w:rsidR="009749A4" w:rsidRPr="009749A4" w:rsidRDefault="009749A4" w:rsidP="009749A4">
            <w:pPr>
              <w:jc w:val="center"/>
              <w:rPr>
                <w:color w:val="000000"/>
                <w:sz w:val="20"/>
                <w:szCs w:val="20"/>
              </w:rPr>
            </w:pPr>
            <w:r w:rsidRPr="009749A4">
              <w:rPr>
                <w:color w:val="000000"/>
                <w:sz w:val="20"/>
                <w:szCs w:val="20"/>
              </w:rPr>
              <w:t>1.96</w:t>
            </w:r>
          </w:p>
        </w:tc>
        <w:tc>
          <w:tcPr>
            <w:tcW w:w="709" w:type="dxa"/>
            <w:tcBorders>
              <w:top w:val="nil"/>
              <w:left w:val="nil"/>
              <w:bottom w:val="single" w:sz="4" w:space="0" w:color="auto"/>
              <w:right w:val="single" w:sz="4" w:space="0" w:color="auto"/>
            </w:tcBorders>
            <w:shd w:val="clear" w:color="auto" w:fill="auto"/>
            <w:noWrap/>
            <w:vAlign w:val="center"/>
            <w:hideMark/>
          </w:tcPr>
          <w:p w14:paraId="3FA88117" w14:textId="77777777" w:rsidR="009749A4" w:rsidRPr="009749A4" w:rsidRDefault="009749A4" w:rsidP="009749A4">
            <w:pPr>
              <w:jc w:val="center"/>
              <w:rPr>
                <w:color w:val="000000"/>
                <w:sz w:val="20"/>
                <w:szCs w:val="20"/>
              </w:rPr>
            </w:pPr>
            <w:r w:rsidRPr="009749A4">
              <w:rPr>
                <w:color w:val="000000"/>
                <w:sz w:val="20"/>
                <w:szCs w:val="20"/>
              </w:rPr>
              <w:t>0.889</w:t>
            </w:r>
          </w:p>
        </w:tc>
        <w:tc>
          <w:tcPr>
            <w:tcW w:w="708" w:type="dxa"/>
            <w:tcBorders>
              <w:top w:val="nil"/>
              <w:left w:val="nil"/>
              <w:bottom w:val="single" w:sz="4" w:space="0" w:color="auto"/>
              <w:right w:val="single" w:sz="4" w:space="0" w:color="auto"/>
            </w:tcBorders>
            <w:shd w:val="clear" w:color="auto" w:fill="auto"/>
            <w:noWrap/>
            <w:vAlign w:val="center"/>
            <w:hideMark/>
          </w:tcPr>
          <w:p w14:paraId="3E6D2E71" w14:textId="77777777" w:rsidR="009749A4" w:rsidRPr="009749A4" w:rsidRDefault="009749A4" w:rsidP="009749A4">
            <w:pPr>
              <w:jc w:val="center"/>
              <w:rPr>
                <w:color w:val="000000"/>
                <w:sz w:val="20"/>
                <w:szCs w:val="20"/>
              </w:rPr>
            </w:pPr>
            <w:r w:rsidRPr="009749A4">
              <w:rPr>
                <w:color w:val="000000"/>
                <w:sz w:val="20"/>
                <w:szCs w:val="20"/>
              </w:rPr>
              <w:t>2.20</w:t>
            </w:r>
          </w:p>
        </w:tc>
        <w:tc>
          <w:tcPr>
            <w:tcW w:w="561" w:type="dxa"/>
            <w:tcBorders>
              <w:top w:val="nil"/>
              <w:left w:val="nil"/>
              <w:bottom w:val="single" w:sz="4" w:space="0" w:color="auto"/>
              <w:right w:val="single" w:sz="4" w:space="0" w:color="auto"/>
            </w:tcBorders>
            <w:shd w:val="clear" w:color="auto" w:fill="auto"/>
            <w:noWrap/>
            <w:vAlign w:val="center"/>
            <w:hideMark/>
          </w:tcPr>
          <w:p w14:paraId="7D9B6BC8" w14:textId="77777777" w:rsidR="009749A4" w:rsidRPr="009749A4" w:rsidRDefault="009749A4" w:rsidP="009749A4">
            <w:pPr>
              <w:jc w:val="center"/>
              <w:rPr>
                <w:color w:val="000000"/>
                <w:sz w:val="20"/>
                <w:szCs w:val="20"/>
              </w:rPr>
            </w:pPr>
            <w:r w:rsidRPr="009749A4">
              <w:rPr>
                <w:color w:val="000000"/>
                <w:sz w:val="20"/>
                <w:szCs w:val="20"/>
              </w:rPr>
              <w:t>2.20</w:t>
            </w:r>
          </w:p>
        </w:tc>
      </w:tr>
      <w:tr w:rsidR="009749A4" w:rsidRPr="009749A4" w14:paraId="4C4DA9B2" w14:textId="77777777" w:rsidTr="009749A4">
        <w:trPr>
          <w:trHeight w:val="283"/>
        </w:trPr>
        <w:tc>
          <w:tcPr>
            <w:tcW w:w="2972" w:type="dxa"/>
            <w:vMerge/>
            <w:tcBorders>
              <w:top w:val="nil"/>
              <w:left w:val="single" w:sz="4" w:space="0" w:color="auto"/>
              <w:bottom w:val="single" w:sz="4" w:space="0" w:color="auto"/>
              <w:right w:val="single" w:sz="4" w:space="0" w:color="auto"/>
            </w:tcBorders>
            <w:vAlign w:val="center"/>
            <w:hideMark/>
          </w:tcPr>
          <w:p w14:paraId="099207D9" w14:textId="77777777" w:rsidR="009749A4" w:rsidRPr="009749A4" w:rsidRDefault="009749A4" w:rsidP="009749A4">
            <w:pPr>
              <w:rPr>
                <w:b/>
                <w:bCs/>
                <w:sz w:val="20"/>
                <w:szCs w:val="20"/>
              </w:rPr>
            </w:pPr>
          </w:p>
        </w:tc>
        <w:tc>
          <w:tcPr>
            <w:tcW w:w="1843" w:type="dxa"/>
            <w:tcBorders>
              <w:top w:val="nil"/>
              <w:left w:val="nil"/>
              <w:bottom w:val="single" w:sz="4" w:space="0" w:color="auto"/>
              <w:right w:val="single" w:sz="4" w:space="0" w:color="auto"/>
            </w:tcBorders>
            <w:shd w:val="clear" w:color="auto" w:fill="auto"/>
            <w:vAlign w:val="center"/>
            <w:hideMark/>
          </w:tcPr>
          <w:p w14:paraId="4243D238" w14:textId="77777777" w:rsidR="009749A4" w:rsidRPr="009749A4" w:rsidRDefault="009749A4" w:rsidP="009749A4">
            <w:pPr>
              <w:rPr>
                <w:sz w:val="20"/>
                <w:szCs w:val="20"/>
              </w:rPr>
            </w:pPr>
            <w:r w:rsidRPr="009749A4">
              <w:rPr>
                <w:sz w:val="20"/>
                <w:szCs w:val="20"/>
              </w:rPr>
              <w:t>Sharpness sensation</w:t>
            </w:r>
          </w:p>
        </w:tc>
        <w:tc>
          <w:tcPr>
            <w:tcW w:w="2268" w:type="dxa"/>
            <w:tcBorders>
              <w:top w:val="nil"/>
              <w:left w:val="nil"/>
              <w:bottom w:val="single" w:sz="4" w:space="0" w:color="auto"/>
              <w:right w:val="single" w:sz="4" w:space="0" w:color="auto"/>
            </w:tcBorders>
            <w:shd w:val="clear" w:color="auto" w:fill="auto"/>
            <w:noWrap/>
            <w:vAlign w:val="center"/>
            <w:hideMark/>
          </w:tcPr>
          <w:p w14:paraId="3EE485A3" w14:textId="77777777" w:rsidR="009749A4" w:rsidRPr="009749A4" w:rsidRDefault="009749A4" w:rsidP="009749A4">
            <w:pPr>
              <w:jc w:val="center"/>
              <w:rPr>
                <w:sz w:val="20"/>
                <w:szCs w:val="20"/>
              </w:rPr>
            </w:pPr>
            <w:r w:rsidRPr="009749A4">
              <w:rPr>
                <w:sz w:val="20"/>
                <w:szCs w:val="20"/>
              </w:rPr>
              <w:t>2.66 ± 1.05 vs 0.64 ± 0.60</w:t>
            </w:r>
          </w:p>
        </w:tc>
        <w:tc>
          <w:tcPr>
            <w:tcW w:w="567" w:type="dxa"/>
            <w:tcBorders>
              <w:top w:val="nil"/>
              <w:left w:val="nil"/>
              <w:bottom w:val="single" w:sz="4" w:space="0" w:color="auto"/>
              <w:right w:val="single" w:sz="4" w:space="0" w:color="auto"/>
            </w:tcBorders>
            <w:shd w:val="clear" w:color="auto" w:fill="auto"/>
            <w:noWrap/>
            <w:vAlign w:val="center"/>
            <w:hideMark/>
          </w:tcPr>
          <w:p w14:paraId="5FE78924" w14:textId="77777777" w:rsidR="009749A4" w:rsidRPr="009749A4" w:rsidRDefault="009749A4" w:rsidP="009749A4">
            <w:pPr>
              <w:jc w:val="center"/>
              <w:rPr>
                <w:color w:val="000000"/>
                <w:sz w:val="20"/>
                <w:szCs w:val="20"/>
              </w:rPr>
            </w:pPr>
            <w:r w:rsidRPr="009749A4">
              <w:rPr>
                <w:color w:val="000000"/>
                <w:sz w:val="20"/>
                <w:szCs w:val="20"/>
              </w:rPr>
              <w:t>2.02</w:t>
            </w:r>
          </w:p>
        </w:tc>
        <w:tc>
          <w:tcPr>
            <w:tcW w:w="709" w:type="dxa"/>
            <w:tcBorders>
              <w:top w:val="nil"/>
              <w:left w:val="nil"/>
              <w:bottom w:val="single" w:sz="4" w:space="0" w:color="auto"/>
              <w:right w:val="single" w:sz="4" w:space="0" w:color="auto"/>
            </w:tcBorders>
            <w:shd w:val="clear" w:color="auto" w:fill="auto"/>
            <w:noWrap/>
            <w:vAlign w:val="center"/>
            <w:hideMark/>
          </w:tcPr>
          <w:p w14:paraId="50851C7E" w14:textId="77777777" w:rsidR="009749A4" w:rsidRPr="009749A4" w:rsidRDefault="009749A4" w:rsidP="009749A4">
            <w:pPr>
              <w:jc w:val="center"/>
              <w:rPr>
                <w:color w:val="000000"/>
                <w:sz w:val="20"/>
                <w:szCs w:val="20"/>
              </w:rPr>
            </w:pPr>
            <w:r w:rsidRPr="009749A4">
              <w:rPr>
                <w:color w:val="000000"/>
                <w:sz w:val="20"/>
                <w:szCs w:val="20"/>
              </w:rPr>
              <w:t>0.855</w:t>
            </w:r>
          </w:p>
        </w:tc>
        <w:tc>
          <w:tcPr>
            <w:tcW w:w="708" w:type="dxa"/>
            <w:tcBorders>
              <w:top w:val="nil"/>
              <w:left w:val="nil"/>
              <w:bottom w:val="single" w:sz="4" w:space="0" w:color="auto"/>
              <w:right w:val="single" w:sz="4" w:space="0" w:color="auto"/>
            </w:tcBorders>
            <w:shd w:val="clear" w:color="auto" w:fill="auto"/>
            <w:noWrap/>
            <w:vAlign w:val="center"/>
            <w:hideMark/>
          </w:tcPr>
          <w:p w14:paraId="1DA2F5A0" w14:textId="77777777" w:rsidR="009749A4" w:rsidRPr="009749A4" w:rsidRDefault="009749A4" w:rsidP="009749A4">
            <w:pPr>
              <w:jc w:val="center"/>
              <w:rPr>
                <w:color w:val="000000"/>
                <w:sz w:val="20"/>
                <w:szCs w:val="20"/>
              </w:rPr>
            </w:pPr>
            <w:r w:rsidRPr="009749A4">
              <w:rPr>
                <w:color w:val="000000"/>
                <w:sz w:val="20"/>
                <w:szCs w:val="20"/>
              </w:rPr>
              <w:t>2.36</w:t>
            </w:r>
          </w:p>
        </w:tc>
        <w:tc>
          <w:tcPr>
            <w:tcW w:w="561" w:type="dxa"/>
            <w:tcBorders>
              <w:top w:val="nil"/>
              <w:left w:val="nil"/>
              <w:bottom w:val="single" w:sz="4" w:space="0" w:color="auto"/>
              <w:right w:val="single" w:sz="4" w:space="0" w:color="auto"/>
            </w:tcBorders>
            <w:shd w:val="clear" w:color="auto" w:fill="auto"/>
            <w:noWrap/>
            <w:vAlign w:val="center"/>
            <w:hideMark/>
          </w:tcPr>
          <w:p w14:paraId="0FB5CB87" w14:textId="77777777" w:rsidR="009749A4" w:rsidRPr="009749A4" w:rsidRDefault="009749A4" w:rsidP="009749A4">
            <w:pPr>
              <w:jc w:val="center"/>
              <w:rPr>
                <w:color w:val="000000"/>
                <w:sz w:val="20"/>
                <w:szCs w:val="20"/>
              </w:rPr>
            </w:pPr>
            <w:r w:rsidRPr="009749A4">
              <w:rPr>
                <w:color w:val="000000"/>
                <w:sz w:val="20"/>
                <w:szCs w:val="20"/>
              </w:rPr>
              <w:t>2.36</w:t>
            </w:r>
          </w:p>
        </w:tc>
      </w:tr>
      <w:tr w:rsidR="009749A4" w:rsidRPr="009749A4" w14:paraId="09085562" w14:textId="77777777" w:rsidTr="009749A4">
        <w:trPr>
          <w:trHeight w:val="283"/>
        </w:trPr>
        <w:tc>
          <w:tcPr>
            <w:tcW w:w="2972" w:type="dxa"/>
            <w:vMerge/>
            <w:tcBorders>
              <w:top w:val="nil"/>
              <w:left w:val="single" w:sz="4" w:space="0" w:color="auto"/>
              <w:bottom w:val="single" w:sz="4" w:space="0" w:color="auto"/>
              <w:right w:val="single" w:sz="4" w:space="0" w:color="auto"/>
            </w:tcBorders>
            <w:vAlign w:val="center"/>
            <w:hideMark/>
          </w:tcPr>
          <w:p w14:paraId="5A73FF95" w14:textId="77777777" w:rsidR="009749A4" w:rsidRPr="009749A4" w:rsidRDefault="009749A4" w:rsidP="009749A4">
            <w:pPr>
              <w:rPr>
                <w:b/>
                <w:bCs/>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14:paraId="2F20E2E1" w14:textId="77777777" w:rsidR="009749A4" w:rsidRPr="009749A4" w:rsidRDefault="009749A4" w:rsidP="009749A4">
            <w:pPr>
              <w:rPr>
                <w:sz w:val="20"/>
                <w:szCs w:val="20"/>
              </w:rPr>
            </w:pPr>
            <w:r w:rsidRPr="009749A4">
              <w:rPr>
                <w:sz w:val="20"/>
                <w:szCs w:val="20"/>
              </w:rPr>
              <w:t>Dullness sensation</w:t>
            </w:r>
          </w:p>
        </w:tc>
        <w:tc>
          <w:tcPr>
            <w:tcW w:w="2268" w:type="dxa"/>
            <w:tcBorders>
              <w:top w:val="nil"/>
              <w:left w:val="nil"/>
              <w:bottom w:val="single" w:sz="4" w:space="0" w:color="auto"/>
              <w:right w:val="single" w:sz="4" w:space="0" w:color="auto"/>
            </w:tcBorders>
            <w:shd w:val="clear" w:color="auto" w:fill="auto"/>
            <w:noWrap/>
            <w:vAlign w:val="center"/>
            <w:hideMark/>
          </w:tcPr>
          <w:p w14:paraId="1BAC8CDC" w14:textId="77777777" w:rsidR="009749A4" w:rsidRPr="009749A4" w:rsidRDefault="009749A4" w:rsidP="009749A4">
            <w:pPr>
              <w:jc w:val="center"/>
              <w:rPr>
                <w:sz w:val="20"/>
                <w:szCs w:val="20"/>
              </w:rPr>
            </w:pPr>
            <w:r w:rsidRPr="009749A4">
              <w:rPr>
                <w:sz w:val="20"/>
                <w:szCs w:val="20"/>
              </w:rPr>
              <w:t>2.61 ± 1.00 vs 0.49 ± 0.55</w:t>
            </w:r>
          </w:p>
        </w:tc>
        <w:tc>
          <w:tcPr>
            <w:tcW w:w="567" w:type="dxa"/>
            <w:tcBorders>
              <w:top w:val="nil"/>
              <w:left w:val="nil"/>
              <w:bottom w:val="single" w:sz="4" w:space="0" w:color="auto"/>
              <w:right w:val="single" w:sz="4" w:space="0" w:color="auto"/>
            </w:tcBorders>
            <w:shd w:val="clear" w:color="auto" w:fill="auto"/>
            <w:noWrap/>
            <w:vAlign w:val="center"/>
            <w:hideMark/>
          </w:tcPr>
          <w:p w14:paraId="45A49376" w14:textId="77777777" w:rsidR="009749A4" w:rsidRPr="009749A4" w:rsidRDefault="009749A4" w:rsidP="009749A4">
            <w:pPr>
              <w:jc w:val="center"/>
              <w:rPr>
                <w:color w:val="000000"/>
                <w:sz w:val="20"/>
                <w:szCs w:val="20"/>
              </w:rPr>
            </w:pPr>
            <w:r w:rsidRPr="009749A4">
              <w:rPr>
                <w:color w:val="000000"/>
                <w:sz w:val="20"/>
                <w:szCs w:val="20"/>
              </w:rPr>
              <w:t>2.13</w:t>
            </w:r>
          </w:p>
        </w:tc>
        <w:tc>
          <w:tcPr>
            <w:tcW w:w="709" w:type="dxa"/>
            <w:tcBorders>
              <w:top w:val="nil"/>
              <w:left w:val="nil"/>
              <w:bottom w:val="single" w:sz="4" w:space="0" w:color="auto"/>
              <w:right w:val="single" w:sz="4" w:space="0" w:color="auto"/>
            </w:tcBorders>
            <w:shd w:val="clear" w:color="auto" w:fill="auto"/>
            <w:noWrap/>
            <w:vAlign w:val="center"/>
            <w:hideMark/>
          </w:tcPr>
          <w:p w14:paraId="55B9F0E7" w14:textId="77777777" w:rsidR="009749A4" w:rsidRPr="009749A4" w:rsidRDefault="009749A4" w:rsidP="009749A4">
            <w:pPr>
              <w:jc w:val="center"/>
              <w:rPr>
                <w:color w:val="000000"/>
                <w:sz w:val="20"/>
                <w:szCs w:val="20"/>
              </w:rPr>
            </w:pPr>
            <w:r w:rsidRPr="009749A4">
              <w:rPr>
                <w:color w:val="000000"/>
                <w:sz w:val="20"/>
                <w:szCs w:val="20"/>
              </w:rPr>
              <w:t>0.807</w:t>
            </w:r>
          </w:p>
        </w:tc>
        <w:tc>
          <w:tcPr>
            <w:tcW w:w="708" w:type="dxa"/>
            <w:tcBorders>
              <w:top w:val="nil"/>
              <w:left w:val="nil"/>
              <w:bottom w:val="single" w:sz="4" w:space="0" w:color="auto"/>
              <w:right w:val="single" w:sz="4" w:space="0" w:color="auto"/>
            </w:tcBorders>
            <w:shd w:val="clear" w:color="auto" w:fill="auto"/>
            <w:noWrap/>
            <w:vAlign w:val="center"/>
            <w:hideMark/>
          </w:tcPr>
          <w:p w14:paraId="595BC25B" w14:textId="77777777" w:rsidR="009749A4" w:rsidRPr="009749A4" w:rsidRDefault="009749A4" w:rsidP="009749A4">
            <w:pPr>
              <w:jc w:val="center"/>
              <w:rPr>
                <w:color w:val="000000"/>
                <w:sz w:val="20"/>
                <w:szCs w:val="20"/>
              </w:rPr>
            </w:pPr>
            <w:r w:rsidRPr="009749A4">
              <w:rPr>
                <w:color w:val="000000"/>
                <w:sz w:val="20"/>
                <w:szCs w:val="20"/>
              </w:rPr>
              <w:t>2.64</w:t>
            </w:r>
          </w:p>
        </w:tc>
        <w:tc>
          <w:tcPr>
            <w:tcW w:w="561" w:type="dxa"/>
            <w:tcBorders>
              <w:top w:val="nil"/>
              <w:left w:val="nil"/>
              <w:bottom w:val="single" w:sz="4" w:space="0" w:color="auto"/>
              <w:right w:val="single" w:sz="4" w:space="0" w:color="auto"/>
            </w:tcBorders>
            <w:shd w:val="clear" w:color="auto" w:fill="auto"/>
            <w:noWrap/>
            <w:vAlign w:val="center"/>
            <w:hideMark/>
          </w:tcPr>
          <w:p w14:paraId="303C013D" w14:textId="77777777" w:rsidR="009749A4" w:rsidRPr="009749A4" w:rsidRDefault="009749A4" w:rsidP="009749A4">
            <w:pPr>
              <w:jc w:val="center"/>
              <w:rPr>
                <w:color w:val="000000"/>
                <w:sz w:val="20"/>
                <w:szCs w:val="20"/>
              </w:rPr>
            </w:pPr>
            <w:r w:rsidRPr="009749A4">
              <w:rPr>
                <w:color w:val="000000"/>
                <w:sz w:val="20"/>
                <w:szCs w:val="20"/>
              </w:rPr>
              <w:t>2.64</w:t>
            </w:r>
          </w:p>
        </w:tc>
      </w:tr>
      <w:tr w:rsidR="009749A4" w:rsidRPr="009749A4" w14:paraId="28DCB817" w14:textId="77777777" w:rsidTr="009749A4">
        <w:trPr>
          <w:trHeight w:val="283"/>
        </w:trPr>
        <w:tc>
          <w:tcPr>
            <w:tcW w:w="297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C04A60" w14:textId="4E6D3A47" w:rsidR="009749A4" w:rsidRPr="009749A4" w:rsidRDefault="009749A4" w:rsidP="009749A4">
            <w:pPr>
              <w:rPr>
                <w:b/>
                <w:bCs/>
                <w:sz w:val="20"/>
                <w:szCs w:val="20"/>
              </w:rPr>
            </w:pPr>
            <w:r w:rsidRPr="009749A4">
              <w:rPr>
                <w:b/>
                <w:bCs/>
                <w:sz w:val="20"/>
                <w:szCs w:val="20"/>
              </w:rPr>
              <w:t>Thermal Sensory</w:t>
            </w:r>
            <w:r>
              <w:rPr>
                <w:b/>
                <w:bCs/>
                <w:sz w:val="20"/>
                <w:szCs w:val="20"/>
              </w:rPr>
              <w:t xml:space="preserve"> </w:t>
            </w:r>
            <w:r w:rsidRPr="009749A4">
              <w:rPr>
                <w:b/>
                <w:bCs/>
                <w:sz w:val="20"/>
                <w:szCs w:val="20"/>
              </w:rPr>
              <w:t>Alteration</w:t>
            </w:r>
            <w:r>
              <w:rPr>
                <w:b/>
                <w:bCs/>
                <w:sz w:val="20"/>
                <w:szCs w:val="20"/>
              </w:rPr>
              <w:t xml:space="preserve"> </w:t>
            </w:r>
            <w:r w:rsidRPr="009749A4">
              <w:rPr>
                <w:b/>
                <w:bCs/>
                <w:sz w:val="20"/>
                <w:szCs w:val="20"/>
              </w:rPr>
              <w:t>(TSA)</w:t>
            </w:r>
          </w:p>
        </w:tc>
        <w:tc>
          <w:tcPr>
            <w:tcW w:w="1843" w:type="dxa"/>
            <w:tcBorders>
              <w:top w:val="nil"/>
              <w:left w:val="nil"/>
              <w:bottom w:val="single" w:sz="4" w:space="0" w:color="auto"/>
              <w:right w:val="single" w:sz="4" w:space="0" w:color="auto"/>
            </w:tcBorders>
            <w:shd w:val="clear" w:color="auto" w:fill="auto"/>
            <w:noWrap/>
            <w:vAlign w:val="center"/>
            <w:hideMark/>
          </w:tcPr>
          <w:p w14:paraId="2EF1FA13" w14:textId="77777777" w:rsidR="009749A4" w:rsidRPr="009749A4" w:rsidRDefault="009749A4" w:rsidP="009749A4">
            <w:pPr>
              <w:rPr>
                <w:color w:val="000000"/>
                <w:sz w:val="20"/>
                <w:szCs w:val="20"/>
              </w:rPr>
            </w:pPr>
            <w:r w:rsidRPr="009749A4">
              <w:rPr>
                <w:sz w:val="20"/>
                <w:szCs w:val="20"/>
              </w:rPr>
              <w:t>Hot / burning</w:t>
            </w:r>
            <w:r w:rsidRPr="009749A4">
              <w:rPr>
                <w:sz w:val="20"/>
                <w:szCs w:val="20"/>
              </w:rPr>
              <w:br/>
              <w:t>sensation</w:t>
            </w:r>
          </w:p>
        </w:tc>
        <w:tc>
          <w:tcPr>
            <w:tcW w:w="2268" w:type="dxa"/>
            <w:tcBorders>
              <w:top w:val="nil"/>
              <w:left w:val="nil"/>
              <w:bottom w:val="single" w:sz="4" w:space="0" w:color="auto"/>
              <w:right w:val="single" w:sz="4" w:space="0" w:color="auto"/>
            </w:tcBorders>
            <w:shd w:val="clear" w:color="auto" w:fill="auto"/>
            <w:noWrap/>
            <w:vAlign w:val="center"/>
            <w:hideMark/>
          </w:tcPr>
          <w:p w14:paraId="14138365" w14:textId="77777777" w:rsidR="009749A4" w:rsidRPr="009749A4" w:rsidRDefault="009749A4" w:rsidP="009749A4">
            <w:pPr>
              <w:jc w:val="center"/>
              <w:rPr>
                <w:sz w:val="20"/>
                <w:szCs w:val="20"/>
              </w:rPr>
            </w:pPr>
            <w:r w:rsidRPr="009749A4">
              <w:rPr>
                <w:sz w:val="20"/>
                <w:szCs w:val="20"/>
              </w:rPr>
              <w:t>2.74 ± 1.00 vs 0.53 ± 0.66</w:t>
            </w:r>
          </w:p>
        </w:tc>
        <w:tc>
          <w:tcPr>
            <w:tcW w:w="567" w:type="dxa"/>
            <w:tcBorders>
              <w:top w:val="nil"/>
              <w:left w:val="nil"/>
              <w:bottom w:val="single" w:sz="4" w:space="0" w:color="auto"/>
              <w:right w:val="single" w:sz="4" w:space="0" w:color="auto"/>
            </w:tcBorders>
            <w:shd w:val="clear" w:color="auto" w:fill="auto"/>
            <w:noWrap/>
            <w:vAlign w:val="center"/>
            <w:hideMark/>
          </w:tcPr>
          <w:p w14:paraId="4BA48106" w14:textId="77777777" w:rsidR="009749A4" w:rsidRPr="009749A4" w:rsidRDefault="009749A4" w:rsidP="009749A4">
            <w:pPr>
              <w:jc w:val="center"/>
              <w:rPr>
                <w:color w:val="000000"/>
                <w:sz w:val="20"/>
                <w:szCs w:val="20"/>
              </w:rPr>
            </w:pPr>
            <w:r w:rsidRPr="009749A4">
              <w:rPr>
                <w:color w:val="000000"/>
                <w:sz w:val="20"/>
                <w:szCs w:val="20"/>
              </w:rPr>
              <w:t>2.21</w:t>
            </w:r>
          </w:p>
        </w:tc>
        <w:tc>
          <w:tcPr>
            <w:tcW w:w="709" w:type="dxa"/>
            <w:tcBorders>
              <w:top w:val="nil"/>
              <w:left w:val="nil"/>
              <w:bottom w:val="single" w:sz="4" w:space="0" w:color="auto"/>
              <w:right w:val="single" w:sz="4" w:space="0" w:color="auto"/>
            </w:tcBorders>
            <w:shd w:val="clear" w:color="auto" w:fill="auto"/>
            <w:noWrap/>
            <w:vAlign w:val="center"/>
            <w:hideMark/>
          </w:tcPr>
          <w:p w14:paraId="00F69A07" w14:textId="77777777" w:rsidR="009749A4" w:rsidRPr="009749A4" w:rsidRDefault="009749A4" w:rsidP="009749A4">
            <w:pPr>
              <w:jc w:val="center"/>
              <w:rPr>
                <w:color w:val="000000"/>
                <w:sz w:val="20"/>
                <w:szCs w:val="20"/>
              </w:rPr>
            </w:pPr>
            <w:r w:rsidRPr="009749A4">
              <w:rPr>
                <w:color w:val="000000"/>
                <w:sz w:val="20"/>
                <w:szCs w:val="20"/>
              </w:rPr>
              <w:t>0.847</w:t>
            </w:r>
          </w:p>
        </w:tc>
        <w:tc>
          <w:tcPr>
            <w:tcW w:w="708" w:type="dxa"/>
            <w:tcBorders>
              <w:top w:val="nil"/>
              <w:left w:val="nil"/>
              <w:bottom w:val="single" w:sz="4" w:space="0" w:color="auto"/>
              <w:right w:val="single" w:sz="4" w:space="0" w:color="auto"/>
            </w:tcBorders>
            <w:shd w:val="clear" w:color="auto" w:fill="auto"/>
            <w:noWrap/>
            <w:vAlign w:val="center"/>
            <w:hideMark/>
          </w:tcPr>
          <w:p w14:paraId="0F7F9FAA" w14:textId="77777777" w:rsidR="009749A4" w:rsidRPr="009749A4" w:rsidRDefault="009749A4" w:rsidP="009749A4">
            <w:pPr>
              <w:jc w:val="center"/>
              <w:rPr>
                <w:color w:val="000000"/>
                <w:sz w:val="20"/>
                <w:szCs w:val="20"/>
              </w:rPr>
            </w:pPr>
            <w:r w:rsidRPr="009749A4">
              <w:rPr>
                <w:color w:val="000000"/>
                <w:sz w:val="20"/>
                <w:szCs w:val="20"/>
              </w:rPr>
              <w:t>2.61</w:t>
            </w:r>
          </w:p>
        </w:tc>
        <w:tc>
          <w:tcPr>
            <w:tcW w:w="561" w:type="dxa"/>
            <w:tcBorders>
              <w:top w:val="nil"/>
              <w:left w:val="nil"/>
              <w:bottom w:val="single" w:sz="4" w:space="0" w:color="auto"/>
              <w:right w:val="single" w:sz="4" w:space="0" w:color="auto"/>
            </w:tcBorders>
            <w:shd w:val="clear" w:color="auto" w:fill="auto"/>
            <w:noWrap/>
            <w:vAlign w:val="center"/>
            <w:hideMark/>
          </w:tcPr>
          <w:p w14:paraId="2E1CFB2D" w14:textId="77777777" w:rsidR="009749A4" w:rsidRPr="009749A4" w:rsidRDefault="009749A4" w:rsidP="009749A4">
            <w:pPr>
              <w:jc w:val="center"/>
              <w:rPr>
                <w:color w:val="000000"/>
                <w:sz w:val="20"/>
                <w:szCs w:val="20"/>
              </w:rPr>
            </w:pPr>
            <w:r w:rsidRPr="009749A4">
              <w:rPr>
                <w:color w:val="000000"/>
                <w:sz w:val="20"/>
                <w:szCs w:val="20"/>
              </w:rPr>
              <w:t>2.61</w:t>
            </w:r>
          </w:p>
        </w:tc>
      </w:tr>
      <w:tr w:rsidR="009749A4" w:rsidRPr="009749A4" w14:paraId="275287E6" w14:textId="77777777" w:rsidTr="009749A4">
        <w:trPr>
          <w:trHeight w:val="283"/>
        </w:trPr>
        <w:tc>
          <w:tcPr>
            <w:tcW w:w="2972" w:type="dxa"/>
            <w:vMerge/>
            <w:tcBorders>
              <w:top w:val="nil"/>
              <w:left w:val="single" w:sz="4" w:space="0" w:color="auto"/>
              <w:bottom w:val="single" w:sz="4" w:space="0" w:color="auto"/>
              <w:right w:val="single" w:sz="4" w:space="0" w:color="auto"/>
            </w:tcBorders>
            <w:vAlign w:val="center"/>
            <w:hideMark/>
          </w:tcPr>
          <w:p w14:paraId="368F182B" w14:textId="77777777" w:rsidR="009749A4" w:rsidRPr="009749A4" w:rsidRDefault="009749A4" w:rsidP="009749A4">
            <w:pPr>
              <w:rPr>
                <w:b/>
                <w:bCs/>
                <w:sz w:val="20"/>
                <w:szCs w:val="20"/>
              </w:rPr>
            </w:pPr>
          </w:p>
        </w:tc>
        <w:tc>
          <w:tcPr>
            <w:tcW w:w="1843" w:type="dxa"/>
            <w:tcBorders>
              <w:top w:val="nil"/>
              <w:left w:val="nil"/>
              <w:bottom w:val="single" w:sz="4" w:space="0" w:color="auto"/>
              <w:right w:val="single" w:sz="4" w:space="0" w:color="auto"/>
            </w:tcBorders>
            <w:shd w:val="clear" w:color="auto" w:fill="auto"/>
            <w:noWrap/>
            <w:vAlign w:val="center"/>
            <w:hideMark/>
          </w:tcPr>
          <w:p w14:paraId="2A9F0898" w14:textId="77777777" w:rsidR="009749A4" w:rsidRPr="009749A4" w:rsidRDefault="009749A4" w:rsidP="009749A4">
            <w:pPr>
              <w:rPr>
                <w:sz w:val="20"/>
                <w:szCs w:val="20"/>
              </w:rPr>
            </w:pPr>
            <w:r w:rsidRPr="009749A4">
              <w:rPr>
                <w:sz w:val="20"/>
                <w:szCs w:val="20"/>
              </w:rPr>
              <w:t>Cold sensation</w:t>
            </w:r>
          </w:p>
        </w:tc>
        <w:tc>
          <w:tcPr>
            <w:tcW w:w="2268" w:type="dxa"/>
            <w:tcBorders>
              <w:top w:val="nil"/>
              <w:left w:val="nil"/>
              <w:bottom w:val="single" w:sz="4" w:space="0" w:color="auto"/>
              <w:right w:val="single" w:sz="4" w:space="0" w:color="auto"/>
            </w:tcBorders>
            <w:shd w:val="clear" w:color="auto" w:fill="auto"/>
            <w:noWrap/>
            <w:vAlign w:val="center"/>
            <w:hideMark/>
          </w:tcPr>
          <w:p w14:paraId="32197EA5" w14:textId="77777777" w:rsidR="009749A4" w:rsidRPr="009749A4" w:rsidRDefault="009749A4" w:rsidP="009749A4">
            <w:pPr>
              <w:jc w:val="center"/>
              <w:rPr>
                <w:sz w:val="20"/>
                <w:szCs w:val="20"/>
              </w:rPr>
            </w:pPr>
            <w:r w:rsidRPr="009749A4">
              <w:rPr>
                <w:sz w:val="20"/>
                <w:szCs w:val="20"/>
              </w:rPr>
              <w:t>3.11 ± 1.05 vs 0.78 ± 0.81</w:t>
            </w:r>
          </w:p>
        </w:tc>
        <w:tc>
          <w:tcPr>
            <w:tcW w:w="567" w:type="dxa"/>
            <w:tcBorders>
              <w:top w:val="nil"/>
              <w:left w:val="nil"/>
              <w:bottom w:val="single" w:sz="4" w:space="0" w:color="auto"/>
              <w:right w:val="single" w:sz="4" w:space="0" w:color="auto"/>
            </w:tcBorders>
            <w:shd w:val="clear" w:color="auto" w:fill="auto"/>
            <w:noWrap/>
            <w:vAlign w:val="center"/>
            <w:hideMark/>
          </w:tcPr>
          <w:p w14:paraId="171C481A" w14:textId="77777777" w:rsidR="009749A4" w:rsidRPr="009749A4" w:rsidRDefault="009749A4" w:rsidP="009749A4">
            <w:pPr>
              <w:jc w:val="center"/>
              <w:rPr>
                <w:color w:val="000000"/>
                <w:sz w:val="20"/>
                <w:szCs w:val="20"/>
              </w:rPr>
            </w:pPr>
            <w:r w:rsidRPr="009749A4">
              <w:rPr>
                <w:color w:val="000000"/>
                <w:sz w:val="20"/>
                <w:szCs w:val="20"/>
              </w:rPr>
              <w:t>2.33</w:t>
            </w:r>
          </w:p>
        </w:tc>
        <w:tc>
          <w:tcPr>
            <w:tcW w:w="709" w:type="dxa"/>
            <w:tcBorders>
              <w:top w:val="nil"/>
              <w:left w:val="nil"/>
              <w:bottom w:val="single" w:sz="4" w:space="0" w:color="auto"/>
              <w:right w:val="single" w:sz="4" w:space="0" w:color="auto"/>
            </w:tcBorders>
            <w:shd w:val="clear" w:color="auto" w:fill="auto"/>
            <w:noWrap/>
            <w:vAlign w:val="center"/>
            <w:hideMark/>
          </w:tcPr>
          <w:p w14:paraId="3306BDDA" w14:textId="77777777" w:rsidR="009749A4" w:rsidRPr="009749A4" w:rsidRDefault="009749A4" w:rsidP="009749A4">
            <w:pPr>
              <w:jc w:val="center"/>
              <w:rPr>
                <w:color w:val="000000"/>
                <w:sz w:val="20"/>
                <w:szCs w:val="20"/>
              </w:rPr>
            </w:pPr>
            <w:r w:rsidRPr="009749A4">
              <w:rPr>
                <w:color w:val="000000"/>
                <w:sz w:val="20"/>
                <w:szCs w:val="20"/>
              </w:rPr>
              <w:t>0.938</w:t>
            </w:r>
          </w:p>
        </w:tc>
        <w:tc>
          <w:tcPr>
            <w:tcW w:w="708" w:type="dxa"/>
            <w:tcBorders>
              <w:top w:val="nil"/>
              <w:left w:val="nil"/>
              <w:bottom w:val="single" w:sz="4" w:space="0" w:color="auto"/>
              <w:right w:val="single" w:sz="4" w:space="0" w:color="auto"/>
            </w:tcBorders>
            <w:shd w:val="clear" w:color="auto" w:fill="auto"/>
            <w:noWrap/>
            <w:vAlign w:val="center"/>
            <w:hideMark/>
          </w:tcPr>
          <w:p w14:paraId="24AE14B6" w14:textId="77777777" w:rsidR="009749A4" w:rsidRPr="009749A4" w:rsidRDefault="009749A4" w:rsidP="009749A4">
            <w:pPr>
              <w:jc w:val="center"/>
              <w:rPr>
                <w:color w:val="000000"/>
                <w:sz w:val="20"/>
                <w:szCs w:val="20"/>
              </w:rPr>
            </w:pPr>
            <w:r w:rsidRPr="009749A4">
              <w:rPr>
                <w:color w:val="000000"/>
                <w:sz w:val="20"/>
                <w:szCs w:val="20"/>
              </w:rPr>
              <w:t>2.49</w:t>
            </w:r>
          </w:p>
        </w:tc>
        <w:tc>
          <w:tcPr>
            <w:tcW w:w="561" w:type="dxa"/>
            <w:tcBorders>
              <w:top w:val="nil"/>
              <w:left w:val="nil"/>
              <w:bottom w:val="single" w:sz="4" w:space="0" w:color="auto"/>
              <w:right w:val="single" w:sz="4" w:space="0" w:color="auto"/>
            </w:tcBorders>
            <w:shd w:val="clear" w:color="auto" w:fill="auto"/>
            <w:noWrap/>
            <w:vAlign w:val="center"/>
            <w:hideMark/>
          </w:tcPr>
          <w:p w14:paraId="455D4CA7" w14:textId="77777777" w:rsidR="009749A4" w:rsidRPr="009749A4" w:rsidRDefault="009749A4" w:rsidP="009749A4">
            <w:pPr>
              <w:jc w:val="center"/>
              <w:rPr>
                <w:color w:val="000000"/>
                <w:sz w:val="20"/>
                <w:szCs w:val="20"/>
              </w:rPr>
            </w:pPr>
            <w:r w:rsidRPr="009749A4">
              <w:rPr>
                <w:color w:val="000000"/>
                <w:sz w:val="20"/>
                <w:szCs w:val="20"/>
              </w:rPr>
              <w:t>2.49</w:t>
            </w:r>
          </w:p>
        </w:tc>
      </w:tr>
      <w:tr w:rsidR="009749A4" w:rsidRPr="009749A4" w14:paraId="40561353" w14:textId="77777777" w:rsidTr="009749A4">
        <w:trPr>
          <w:trHeight w:val="283"/>
        </w:trPr>
        <w:tc>
          <w:tcPr>
            <w:tcW w:w="2972" w:type="dxa"/>
            <w:tcBorders>
              <w:top w:val="nil"/>
              <w:left w:val="single" w:sz="4" w:space="0" w:color="auto"/>
              <w:bottom w:val="single" w:sz="4" w:space="0" w:color="auto"/>
              <w:right w:val="single" w:sz="4" w:space="0" w:color="auto"/>
            </w:tcBorders>
            <w:shd w:val="clear" w:color="auto" w:fill="auto"/>
            <w:noWrap/>
            <w:vAlign w:val="center"/>
            <w:hideMark/>
          </w:tcPr>
          <w:p w14:paraId="2434453E" w14:textId="4F618990" w:rsidR="009749A4" w:rsidRPr="009749A4" w:rsidRDefault="009749A4" w:rsidP="009749A4">
            <w:pPr>
              <w:rPr>
                <w:b/>
                <w:bCs/>
                <w:sz w:val="20"/>
                <w:szCs w:val="20"/>
              </w:rPr>
            </w:pPr>
            <w:r w:rsidRPr="009749A4">
              <w:rPr>
                <w:b/>
                <w:bCs/>
                <w:sz w:val="20"/>
                <w:szCs w:val="20"/>
              </w:rPr>
              <w:t>Neurogenic Irritation</w:t>
            </w:r>
            <w:r>
              <w:rPr>
                <w:b/>
                <w:bCs/>
                <w:sz w:val="20"/>
                <w:szCs w:val="20"/>
              </w:rPr>
              <w:t xml:space="preserve"> </w:t>
            </w:r>
            <w:r w:rsidRPr="009749A4">
              <w:rPr>
                <w:b/>
                <w:bCs/>
                <w:sz w:val="20"/>
                <w:szCs w:val="20"/>
              </w:rPr>
              <w:t>Response (NIR)</w:t>
            </w:r>
          </w:p>
        </w:tc>
        <w:tc>
          <w:tcPr>
            <w:tcW w:w="1843" w:type="dxa"/>
            <w:tcBorders>
              <w:top w:val="nil"/>
              <w:left w:val="nil"/>
              <w:bottom w:val="single" w:sz="4" w:space="0" w:color="auto"/>
              <w:right w:val="single" w:sz="4" w:space="0" w:color="auto"/>
            </w:tcBorders>
            <w:shd w:val="clear" w:color="auto" w:fill="auto"/>
            <w:noWrap/>
            <w:vAlign w:val="center"/>
            <w:hideMark/>
          </w:tcPr>
          <w:p w14:paraId="04512854" w14:textId="77777777" w:rsidR="009749A4" w:rsidRPr="009749A4" w:rsidRDefault="009749A4" w:rsidP="009749A4">
            <w:pPr>
              <w:rPr>
                <w:sz w:val="20"/>
                <w:szCs w:val="20"/>
              </w:rPr>
            </w:pPr>
            <w:proofErr w:type="spellStart"/>
            <w:r w:rsidRPr="009749A4">
              <w:rPr>
                <w:sz w:val="20"/>
                <w:szCs w:val="20"/>
              </w:rPr>
              <w:t>Itchingsensation</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14:paraId="3884D8F6" w14:textId="77777777" w:rsidR="009749A4" w:rsidRPr="009749A4" w:rsidRDefault="009749A4" w:rsidP="009749A4">
            <w:pPr>
              <w:jc w:val="center"/>
              <w:rPr>
                <w:sz w:val="20"/>
                <w:szCs w:val="20"/>
              </w:rPr>
            </w:pPr>
            <w:r w:rsidRPr="009749A4">
              <w:rPr>
                <w:sz w:val="20"/>
                <w:szCs w:val="20"/>
              </w:rPr>
              <w:t>3.14 ± 1.03 vs 0.73 ± 0.62</w:t>
            </w:r>
          </w:p>
        </w:tc>
        <w:tc>
          <w:tcPr>
            <w:tcW w:w="567" w:type="dxa"/>
            <w:tcBorders>
              <w:top w:val="nil"/>
              <w:left w:val="nil"/>
              <w:bottom w:val="single" w:sz="4" w:space="0" w:color="auto"/>
              <w:right w:val="single" w:sz="4" w:space="0" w:color="auto"/>
            </w:tcBorders>
            <w:shd w:val="clear" w:color="auto" w:fill="auto"/>
            <w:noWrap/>
            <w:vAlign w:val="center"/>
            <w:hideMark/>
          </w:tcPr>
          <w:p w14:paraId="5B8422EB" w14:textId="77777777" w:rsidR="009749A4" w:rsidRPr="009749A4" w:rsidRDefault="009749A4" w:rsidP="009749A4">
            <w:pPr>
              <w:jc w:val="center"/>
              <w:rPr>
                <w:color w:val="000000"/>
                <w:sz w:val="20"/>
                <w:szCs w:val="20"/>
              </w:rPr>
            </w:pPr>
            <w:r w:rsidRPr="009749A4">
              <w:rPr>
                <w:color w:val="000000"/>
                <w:sz w:val="20"/>
                <w:szCs w:val="20"/>
              </w:rPr>
              <w:t>2.41</w:t>
            </w:r>
          </w:p>
        </w:tc>
        <w:tc>
          <w:tcPr>
            <w:tcW w:w="709" w:type="dxa"/>
            <w:tcBorders>
              <w:top w:val="nil"/>
              <w:left w:val="nil"/>
              <w:bottom w:val="single" w:sz="4" w:space="0" w:color="auto"/>
              <w:right w:val="single" w:sz="4" w:space="0" w:color="auto"/>
            </w:tcBorders>
            <w:shd w:val="clear" w:color="auto" w:fill="auto"/>
            <w:noWrap/>
            <w:vAlign w:val="center"/>
            <w:hideMark/>
          </w:tcPr>
          <w:p w14:paraId="773C6B22" w14:textId="77777777" w:rsidR="009749A4" w:rsidRPr="009749A4" w:rsidRDefault="009749A4" w:rsidP="009749A4">
            <w:pPr>
              <w:jc w:val="center"/>
              <w:rPr>
                <w:color w:val="000000"/>
                <w:sz w:val="20"/>
                <w:szCs w:val="20"/>
              </w:rPr>
            </w:pPr>
            <w:r w:rsidRPr="009749A4">
              <w:rPr>
                <w:color w:val="000000"/>
                <w:sz w:val="20"/>
                <w:szCs w:val="20"/>
              </w:rPr>
              <w:t>0.850</w:t>
            </w:r>
          </w:p>
        </w:tc>
        <w:tc>
          <w:tcPr>
            <w:tcW w:w="708" w:type="dxa"/>
            <w:tcBorders>
              <w:top w:val="nil"/>
              <w:left w:val="nil"/>
              <w:bottom w:val="single" w:sz="4" w:space="0" w:color="auto"/>
              <w:right w:val="single" w:sz="4" w:space="0" w:color="auto"/>
            </w:tcBorders>
            <w:shd w:val="clear" w:color="auto" w:fill="auto"/>
            <w:noWrap/>
            <w:vAlign w:val="center"/>
            <w:hideMark/>
          </w:tcPr>
          <w:p w14:paraId="63E6E86B" w14:textId="77777777" w:rsidR="009749A4" w:rsidRPr="009749A4" w:rsidRDefault="009749A4" w:rsidP="009749A4">
            <w:pPr>
              <w:jc w:val="center"/>
              <w:rPr>
                <w:color w:val="000000"/>
                <w:sz w:val="20"/>
                <w:szCs w:val="20"/>
              </w:rPr>
            </w:pPr>
            <w:r w:rsidRPr="009749A4">
              <w:rPr>
                <w:color w:val="000000"/>
                <w:sz w:val="20"/>
                <w:szCs w:val="20"/>
              </w:rPr>
              <w:t>2.84</w:t>
            </w:r>
          </w:p>
        </w:tc>
        <w:tc>
          <w:tcPr>
            <w:tcW w:w="561" w:type="dxa"/>
            <w:tcBorders>
              <w:top w:val="nil"/>
              <w:left w:val="nil"/>
              <w:bottom w:val="single" w:sz="4" w:space="0" w:color="auto"/>
              <w:right w:val="single" w:sz="4" w:space="0" w:color="auto"/>
            </w:tcBorders>
            <w:shd w:val="clear" w:color="auto" w:fill="auto"/>
            <w:noWrap/>
            <w:vAlign w:val="center"/>
            <w:hideMark/>
          </w:tcPr>
          <w:p w14:paraId="2C6F2E75" w14:textId="77777777" w:rsidR="009749A4" w:rsidRPr="009749A4" w:rsidRDefault="009749A4" w:rsidP="009749A4">
            <w:pPr>
              <w:jc w:val="center"/>
              <w:rPr>
                <w:color w:val="000000"/>
                <w:sz w:val="20"/>
                <w:szCs w:val="20"/>
              </w:rPr>
            </w:pPr>
            <w:r w:rsidRPr="009749A4">
              <w:rPr>
                <w:color w:val="000000"/>
                <w:sz w:val="20"/>
                <w:szCs w:val="20"/>
              </w:rPr>
              <w:t>2.84</w:t>
            </w:r>
          </w:p>
        </w:tc>
      </w:tr>
    </w:tbl>
    <w:p w14:paraId="1390CE66" w14:textId="77777777" w:rsidR="008D663D" w:rsidRPr="00112676" w:rsidRDefault="008D663D" w:rsidP="008D663D">
      <w:pPr>
        <w:spacing w:line="360" w:lineRule="auto"/>
        <w:jc w:val="both"/>
      </w:pPr>
      <w:r w:rsidRPr="00112676">
        <w:t>Values represent mean ± standard deviation for symptomatic participants with neuromuscular dysfunction (n = 108) and healthy controls (n = 108). Standardized effect sizes were calculated using Cohen’s d to quantify the magnitude of neurosensory dysfunction between groups.</w:t>
      </w:r>
    </w:p>
    <w:p w14:paraId="4A211388" w14:textId="77777777" w:rsidR="009749A4" w:rsidRDefault="009749A4" w:rsidP="008D663D">
      <w:pPr>
        <w:spacing w:line="360" w:lineRule="auto"/>
        <w:jc w:val="both"/>
      </w:pPr>
    </w:p>
    <w:p w14:paraId="354AE018" w14:textId="3ABB9A73" w:rsidR="008D663D" w:rsidRDefault="008D663D" w:rsidP="008D663D">
      <w:pPr>
        <w:spacing w:line="360" w:lineRule="auto"/>
        <w:jc w:val="both"/>
      </w:pPr>
      <w:r w:rsidRPr="00112676">
        <w:t>All neurosensory parameters demonstrated very large standardized effect sizes (Cohen’s d range: 2.20–2.98), indicating substantial clinical neurosensory impairment in symptomatic individuals compared with healthy controls. These effect sizes contributed to the construction of the Composite Neuromuscular Dysfunction Index (CNDI) and were subsequently incorporated into the weighting structure of the Neuromuscular Aging Clock.</w:t>
      </w:r>
    </w:p>
    <w:p w14:paraId="28F890CC" w14:textId="67C9B049" w:rsidR="008D663D" w:rsidRDefault="008D663D" w:rsidP="008D663D">
      <w:pPr>
        <w:spacing w:line="360" w:lineRule="auto"/>
        <w:jc w:val="both"/>
      </w:pPr>
    </w:p>
    <w:p w14:paraId="3F7CC646" w14:textId="30CF3888" w:rsidR="009749A4" w:rsidRDefault="009749A4" w:rsidP="008D663D">
      <w:pPr>
        <w:spacing w:line="360" w:lineRule="auto"/>
        <w:jc w:val="both"/>
      </w:pPr>
    </w:p>
    <w:p w14:paraId="18B88FBA" w14:textId="7B6E8FA2" w:rsidR="009749A4" w:rsidRDefault="009749A4" w:rsidP="008D663D">
      <w:pPr>
        <w:spacing w:line="360" w:lineRule="auto"/>
        <w:jc w:val="both"/>
      </w:pPr>
    </w:p>
    <w:p w14:paraId="5B893B7A" w14:textId="77777777" w:rsidR="009749A4" w:rsidRPr="00112676" w:rsidRDefault="009749A4" w:rsidP="008D663D">
      <w:pPr>
        <w:spacing w:line="360" w:lineRule="auto"/>
        <w:jc w:val="both"/>
      </w:pPr>
    </w:p>
    <w:p w14:paraId="1483C5AC" w14:textId="77777777" w:rsidR="008D663D" w:rsidRPr="008D663D" w:rsidRDefault="008D663D" w:rsidP="008D663D">
      <w:pPr>
        <w:spacing w:line="360" w:lineRule="auto"/>
        <w:jc w:val="both"/>
        <w:rPr>
          <w:b/>
          <w:bCs/>
        </w:rPr>
      </w:pPr>
      <w:r w:rsidRPr="008D663D">
        <w:rPr>
          <w:b/>
          <w:bCs/>
        </w:rPr>
        <w:lastRenderedPageBreak/>
        <w:t>S3B. Domain-level weighting and calculation of the Composite Neuromuscular Dysfunction Index (CNDI)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022"/>
        <w:gridCol w:w="596"/>
        <w:gridCol w:w="476"/>
        <w:gridCol w:w="934"/>
      </w:tblGrid>
      <w:tr w:rsidR="008D663D" w:rsidRPr="00112676" w14:paraId="7183F37B" w14:textId="77777777" w:rsidTr="009749A4">
        <w:trPr>
          <w:trHeight w:val="20"/>
        </w:trPr>
        <w:tc>
          <w:tcPr>
            <w:tcW w:w="0" w:type="auto"/>
            <w:noWrap/>
            <w:vAlign w:val="center"/>
            <w:hideMark/>
          </w:tcPr>
          <w:p w14:paraId="1E431FDE" w14:textId="5BCA91BD" w:rsidR="008D663D" w:rsidRPr="00112676" w:rsidRDefault="008D663D" w:rsidP="009749A4">
            <w:pPr>
              <w:spacing w:line="360" w:lineRule="auto"/>
              <w:jc w:val="center"/>
            </w:pPr>
          </w:p>
        </w:tc>
        <w:tc>
          <w:tcPr>
            <w:tcW w:w="0" w:type="auto"/>
            <w:noWrap/>
            <w:vAlign w:val="center"/>
            <w:hideMark/>
          </w:tcPr>
          <w:p w14:paraId="102A4CF6" w14:textId="77777777" w:rsidR="008D663D" w:rsidRPr="00112676" w:rsidRDefault="008D663D" w:rsidP="009749A4">
            <w:pPr>
              <w:spacing w:line="360" w:lineRule="auto"/>
              <w:jc w:val="center"/>
            </w:pPr>
            <w:r w:rsidRPr="00112676">
              <w:t>∑ d</w:t>
            </w:r>
          </w:p>
        </w:tc>
        <w:tc>
          <w:tcPr>
            <w:tcW w:w="0" w:type="auto"/>
            <w:noWrap/>
            <w:vAlign w:val="center"/>
            <w:hideMark/>
          </w:tcPr>
          <w:p w14:paraId="41D72D84" w14:textId="77777777" w:rsidR="008D663D" w:rsidRPr="00112676" w:rsidRDefault="008D663D" w:rsidP="009749A4">
            <w:pPr>
              <w:spacing w:line="360" w:lineRule="auto"/>
              <w:jc w:val="center"/>
            </w:pPr>
            <w:proofErr w:type="spellStart"/>
            <w:r w:rsidRPr="00112676">
              <w:t>Wd</w:t>
            </w:r>
            <w:proofErr w:type="spellEnd"/>
          </w:p>
        </w:tc>
        <w:tc>
          <w:tcPr>
            <w:tcW w:w="0" w:type="auto"/>
            <w:noWrap/>
            <w:vAlign w:val="center"/>
            <w:hideMark/>
          </w:tcPr>
          <w:p w14:paraId="76FA0AF9" w14:textId="77777777" w:rsidR="008D663D" w:rsidRPr="00112676" w:rsidRDefault="008D663D" w:rsidP="009749A4">
            <w:pPr>
              <w:spacing w:line="360" w:lineRule="auto"/>
              <w:jc w:val="center"/>
            </w:pPr>
            <w:r w:rsidRPr="00112676">
              <w:t xml:space="preserve">∑d x </w:t>
            </w:r>
            <w:proofErr w:type="spellStart"/>
            <w:r w:rsidRPr="00112676">
              <w:t>Wd</w:t>
            </w:r>
            <w:proofErr w:type="spellEnd"/>
          </w:p>
        </w:tc>
      </w:tr>
      <w:tr w:rsidR="008D663D" w:rsidRPr="00112676" w14:paraId="4DD1E022" w14:textId="77777777" w:rsidTr="009749A4">
        <w:trPr>
          <w:trHeight w:val="20"/>
        </w:trPr>
        <w:tc>
          <w:tcPr>
            <w:tcW w:w="0" w:type="auto"/>
            <w:noWrap/>
            <w:vAlign w:val="center"/>
            <w:hideMark/>
          </w:tcPr>
          <w:p w14:paraId="6E20ADCB" w14:textId="77777777" w:rsidR="008D663D" w:rsidRPr="00112676" w:rsidRDefault="008D663D" w:rsidP="009749A4">
            <w:pPr>
              <w:spacing w:line="360" w:lineRule="auto"/>
            </w:pPr>
            <w:r w:rsidRPr="00112676">
              <w:t>Nociceptive Pain Burden (NPD)</w:t>
            </w:r>
          </w:p>
        </w:tc>
        <w:tc>
          <w:tcPr>
            <w:tcW w:w="0" w:type="auto"/>
            <w:noWrap/>
            <w:vAlign w:val="center"/>
            <w:hideMark/>
          </w:tcPr>
          <w:p w14:paraId="76B8252D" w14:textId="77777777" w:rsidR="008D663D" w:rsidRPr="00112676" w:rsidRDefault="008D663D" w:rsidP="009749A4">
            <w:pPr>
              <w:spacing w:line="360" w:lineRule="auto"/>
              <w:jc w:val="center"/>
            </w:pPr>
            <w:r w:rsidRPr="00112676">
              <w:t>8.15</w:t>
            </w:r>
          </w:p>
        </w:tc>
        <w:tc>
          <w:tcPr>
            <w:tcW w:w="0" w:type="auto"/>
            <w:noWrap/>
            <w:vAlign w:val="center"/>
            <w:hideMark/>
          </w:tcPr>
          <w:p w14:paraId="117726DD" w14:textId="77777777" w:rsidR="008D663D" w:rsidRPr="00112676" w:rsidRDefault="008D663D" w:rsidP="009749A4">
            <w:pPr>
              <w:spacing w:line="360" w:lineRule="auto"/>
              <w:jc w:val="center"/>
            </w:pPr>
            <w:r w:rsidRPr="00112676">
              <w:t>0.35</w:t>
            </w:r>
          </w:p>
        </w:tc>
        <w:tc>
          <w:tcPr>
            <w:tcW w:w="0" w:type="auto"/>
            <w:noWrap/>
            <w:vAlign w:val="center"/>
            <w:hideMark/>
          </w:tcPr>
          <w:p w14:paraId="231A94F9" w14:textId="77777777" w:rsidR="008D663D" w:rsidRPr="00112676" w:rsidRDefault="008D663D" w:rsidP="009749A4">
            <w:pPr>
              <w:spacing w:line="360" w:lineRule="auto"/>
              <w:jc w:val="center"/>
            </w:pPr>
            <w:r w:rsidRPr="00112676">
              <w:t>2.85</w:t>
            </w:r>
          </w:p>
        </w:tc>
      </w:tr>
      <w:tr w:rsidR="008D663D" w:rsidRPr="00112676" w14:paraId="63DDFC0B" w14:textId="77777777" w:rsidTr="009749A4">
        <w:trPr>
          <w:trHeight w:val="20"/>
        </w:trPr>
        <w:tc>
          <w:tcPr>
            <w:tcW w:w="0" w:type="auto"/>
            <w:noWrap/>
            <w:vAlign w:val="center"/>
            <w:hideMark/>
          </w:tcPr>
          <w:p w14:paraId="079063BA" w14:textId="77777777" w:rsidR="008D663D" w:rsidRPr="00112676" w:rsidRDefault="008D663D" w:rsidP="009749A4">
            <w:pPr>
              <w:spacing w:line="360" w:lineRule="auto"/>
            </w:pPr>
            <w:r w:rsidRPr="00112676">
              <w:t>Neuropathic Sensory Dysfunction (NSD)</w:t>
            </w:r>
          </w:p>
        </w:tc>
        <w:tc>
          <w:tcPr>
            <w:tcW w:w="0" w:type="auto"/>
            <w:noWrap/>
            <w:vAlign w:val="center"/>
            <w:hideMark/>
          </w:tcPr>
          <w:p w14:paraId="494E9536" w14:textId="77777777" w:rsidR="008D663D" w:rsidRPr="00112676" w:rsidRDefault="008D663D" w:rsidP="009749A4">
            <w:pPr>
              <w:spacing w:line="360" w:lineRule="auto"/>
              <w:jc w:val="center"/>
            </w:pPr>
            <w:r w:rsidRPr="00112676">
              <w:t>7.20</w:t>
            </w:r>
          </w:p>
        </w:tc>
        <w:tc>
          <w:tcPr>
            <w:tcW w:w="0" w:type="auto"/>
            <w:noWrap/>
            <w:vAlign w:val="center"/>
            <w:hideMark/>
          </w:tcPr>
          <w:p w14:paraId="66BF0CC2" w14:textId="77777777" w:rsidR="008D663D" w:rsidRPr="00112676" w:rsidRDefault="008D663D" w:rsidP="009749A4">
            <w:pPr>
              <w:spacing w:line="360" w:lineRule="auto"/>
              <w:jc w:val="center"/>
            </w:pPr>
            <w:r w:rsidRPr="00112676">
              <w:t>0.31</w:t>
            </w:r>
          </w:p>
        </w:tc>
        <w:tc>
          <w:tcPr>
            <w:tcW w:w="0" w:type="auto"/>
            <w:noWrap/>
            <w:vAlign w:val="center"/>
            <w:hideMark/>
          </w:tcPr>
          <w:p w14:paraId="4A596E01" w14:textId="77777777" w:rsidR="008D663D" w:rsidRPr="00112676" w:rsidRDefault="008D663D" w:rsidP="009749A4">
            <w:pPr>
              <w:spacing w:line="360" w:lineRule="auto"/>
              <w:jc w:val="center"/>
            </w:pPr>
            <w:r w:rsidRPr="00112676">
              <w:t>2.23</w:t>
            </w:r>
          </w:p>
        </w:tc>
      </w:tr>
      <w:tr w:rsidR="008D663D" w:rsidRPr="00112676" w14:paraId="6D2D3596" w14:textId="77777777" w:rsidTr="009749A4">
        <w:trPr>
          <w:trHeight w:val="20"/>
        </w:trPr>
        <w:tc>
          <w:tcPr>
            <w:tcW w:w="0" w:type="auto"/>
            <w:noWrap/>
            <w:vAlign w:val="center"/>
            <w:hideMark/>
          </w:tcPr>
          <w:p w14:paraId="561B3079" w14:textId="77777777" w:rsidR="008D663D" w:rsidRPr="00112676" w:rsidRDefault="008D663D" w:rsidP="009749A4">
            <w:pPr>
              <w:spacing w:line="360" w:lineRule="auto"/>
            </w:pPr>
            <w:r w:rsidRPr="00112676">
              <w:t>Thermal Sensory Alteration (TSA)</w:t>
            </w:r>
          </w:p>
        </w:tc>
        <w:tc>
          <w:tcPr>
            <w:tcW w:w="0" w:type="auto"/>
            <w:noWrap/>
            <w:vAlign w:val="center"/>
            <w:hideMark/>
          </w:tcPr>
          <w:p w14:paraId="6C1F832C" w14:textId="77777777" w:rsidR="008D663D" w:rsidRPr="00112676" w:rsidRDefault="008D663D" w:rsidP="009749A4">
            <w:pPr>
              <w:spacing w:line="360" w:lineRule="auto"/>
              <w:jc w:val="center"/>
            </w:pPr>
            <w:r w:rsidRPr="00112676">
              <w:t>5.09</w:t>
            </w:r>
          </w:p>
        </w:tc>
        <w:tc>
          <w:tcPr>
            <w:tcW w:w="0" w:type="auto"/>
            <w:noWrap/>
            <w:vAlign w:val="center"/>
            <w:hideMark/>
          </w:tcPr>
          <w:p w14:paraId="0FF81A6F" w14:textId="77777777" w:rsidR="008D663D" w:rsidRPr="00112676" w:rsidRDefault="008D663D" w:rsidP="009749A4">
            <w:pPr>
              <w:spacing w:line="360" w:lineRule="auto"/>
              <w:jc w:val="center"/>
            </w:pPr>
            <w:r w:rsidRPr="00112676">
              <w:t>0.22</w:t>
            </w:r>
          </w:p>
        </w:tc>
        <w:tc>
          <w:tcPr>
            <w:tcW w:w="0" w:type="auto"/>
            <w:noWrap/>
            <w:vAlign w:val="center"/>
            <w:hideMark/>
          </w:tcPr>
          <w:p w14:paraId="3C1ADA15" w14:textId="77777777" w:rsidR="008D663D" w:rsidRPr="00112676" w:rsidRDefault="008D663D" w:rsidP="009749A4">
            <w:pPr>
              <w:spacing w:line="360" w:lineRule="auto"/>
              <w:jc w:val="center"/>
            </w:pPr>
            <w:r w:rsidRPr="00112676">
              <w:t>1.12</w:t>
            </w:r>
          </w:p>
        </w:tc>
      </w:tr>
      <w:tr w:rsidR="008D663D" w:rsidRPr="00112676" w14:paraId="37A1FB0C" w14:textId="77777777" w:rsidTr="009749A4">
        <w:trPr>
          <w:trHeight w:val="20"/>
        </w:trPr>
        <w:tc>
          <w:tcPr>
            <w:tcW w:w="0" w:type="auto"/>
            <w:vAlign w:val="center"/>
            <w:hideMark/>
          </w:tcPr>
          <w:p w14:paraId="7A6DB326" w14:textId="77777777" w:rsidR="008D663D" w:rsidRPr="00112676" w:rsidRDefault="008D663D" w:rsidP="009749A4">
            <w:pPr>
              <w:spacing w:line="360" w:lineRule="auto"/>
            </w:pPr>
            <w:r w:rsidRPr="00112676">
              <w:t>Neurogenic Irritation Response (NIR)</w:t>
            </w:r>
          </w:p>
        </w:tc>
        <w:tc>
          <w:tcPr>
            <w:tcW w:w="0" w:type="auto"/>
            <w:noWrap/>
            <w:vAlign w:val="center"/>
            <w:hideMark/>
          </w:tcPr>
          <w:p w14:paraId="5D7EBC27" w14:textId="77777777" w:rsidR="008D663D" w:rsidRPr="00112676" w:rsidRDefault="008D663D" w:rsidP="009749A4">
            <w:pPr>
              <w:spacing w:line="360" w:lineRule="auto"/>
              <w:jc w:val="center"/>
            </w:pPr>
            <w:r w:rsidRPr="00112676">
              <w:t>2.84</w:t>
            </w:r>
          </w:p>
        </w:tc>
        <w:tc>
          <w:tcPr>
            <w:tcW w:w="0" w:type="auto"/>
            <w:noWrap/>
            <w:vAlign w:val="center"/>
            <w:hideMark/>
          </w:tcPr>
          <w:p w14:paraId="62050E0A" w14:textId="77777777" w:rsidR="008D663D" w:rsidRPr="00112676" w:rsidRDefault="008D663D" w:rsidP="009749A4">
            <w:pPr>
              <w:spacing w:line="360" w:lineRule="auto"/>
              <w:jc w:val="center"/>
            </w:pPr>
            <w:r w:rsidRPr="00112676">
              <w:t>0.12</w:t>
            </w:r>
          </w:p>
        </w:tc>
        <w:tc>
          <w:tcPr>
            <w:tcW w:w="0" w:type="auto"/>
            <w:noWrap/>
            <w:vAlign w:val="center"/>
            <w:hideMark/>
          </w:tcPr>
          <w:p w14:paraId="76F888B8" w14:textId="77777777" w:rsidR="008D663D" w:rsidRPr="00112676" w:rsidRDefault="008D663D" w:rsidP="009749A4">
            <w:pPr>
              <w:spacing w:line="360" w:lineRule="auto"/>
              <w:jc w:val="center"/>
            </w:pPr>
            <w:r w:rsidRPr="00112676">
              <w:t>0.35</w:t>
            </w:r>
          </w:p>
        </w:tc>
      </w:tr>
      <w:tr w:rsidR="008D663D" w:rsidRPr="00112676" w14:paraId="0777067D" w14:textId="77777777" w:rsidTr="009749A4">
        <w:trPr>
          <w:trHeight w:val="20"/>
        </w:trPr>
        <w:tc>
          <w:tcPr>
            <w:tcW w:w="0" w:type="auto"/>
            <w:vAlign w:val="center"/>
            <w:hideMark/>
          </w:tcPr>
          <w:p w14:paraId="5C28CD1B" w14:textId="77777777" w:rsidR="008D663D" w:rsidRPr="00112676" w:rsidRDefault="008D663D" w:rsidP="009749A4">
            <w:pPr>
              <w:spacing w:line="360" w:lineRule="auto"/>
              <w:jc w:val="center"/>
            </w:pPr>
          </w:p>
        </w:tc>
        <w:tc>
          <w:tcPr>
            <w:tcW w:w="0" w:type="auto"/>
            <w:noWrap/>
            <w:vAlign w:val="center"/>
            <w:hideMark/>
          </w:tcPr>
          <w:p w14:paraId="2451652B" w14:textId="77777777" w:rsidR="008D663D" w:rsidRPr="00112676" w:rsidRDefault="008D663D" w:rsidP="009749A4">
            <w:pPr>
              <w:spacing w:line="360" w:lineRule="auto"/>
              <w:jc w:val="center"/>
            </w:pPr>
            <w:r w:rsidRPr="00112676">
              <w:t>23.28</w:t>
            </w:r>
          </w:p>
        </w:tc>
        <w:tc>
          <w:tcPr>
            <w:tcW w:w="0" w:type="auto"/>
            <w:noWrap/>
            <w:vAlign w:val="center"/>
            <w:hideMark/>
          </w:tcPr>
          <w:p w14:paraId="61A2ECB9" w14:textId="77777777" w:rsidR="008D663D" w:rsidRPr="00112676" w:rsidRDefault="008D663D" w:rsidP="009749A4">
            <w:pPr>
              <w:spacing w:line="360" w:lineRule="auto"/>
              <w:jc w:val="center"/>
            </w:pPr>
            <w:r w:rsidRPr="00112676">
              <w:t>1.00</w:t>
            </w:r>
          </w:p>
        </w:tc>
        <w:tc>
          <w:tcPr>
            <w:tcW w:w="0" w:type="auto"/>
            <w:noWrap/>
            <w:vAlign w:val="center"/>
            <w:hideMark/>
          </w:tcPr>
          <w:p w14:paraId="426067B3" w14:textId="77777777" w:rsidR="008D663D" w:rsidRPr="00112676" w:rsidRDefault="008D663D" w:rsidP="009749A4">
            <w:pPr>
              <w:spacing w:line="360" w:lineRule="auto"/>
              <w:jc w:val="center"/>
            </w:pPr>
            <w:r w:rsidRPr="00112676">
              <w:t>6.54</w:t>
            </w:r>
          </w:p>
        </w:tc>
      </w:tr>
    </w:tbl>
    <w:p w14:paraId="7B5536F4" w14:textId="77777777" w:rsidR="009749A4" w:rsidRDefault="008D663D" w:rsidP="008D663D">
      <w:pPr>
        <w:spacing w:line="360" w:lineRule="auto"/>
        <w:jc w:val="both"/>
      </w:pPr>
      <w:r w:rsidRPr="00112676">
        <w:t xml:space="preserve"> </w:t>
      </w:r>
    </w:p>
    <w:p w14:paraId="5F8D8F36" w14:textId="654B22EF" w:rsidR="009749A4" w:rsidRDefault="009749A4" w:rsidP="009749A4">
      <w:pPr>
        <w:spacing w:line="360" w:lineRule="auto"/>
        <w:jc w:val="both"/>
      </w:pPr>
      <w:r w:rsidRPr="00112676">
        <w:t>Composite Neuromuscular Dysfunction Index (CNDI) =</w:t>
      </w:r>
      <w:r>
        <w:t xml:space="preserve"> </w:t>
      </w:r>
      <w:r w:rsidRPr="00112676">
        <w:t>∑</w:t>
      </w:r>
      <w:r>
        <w:t xml:space="preserve"> </w:t>
      </w:r>
      <w:r w:rsidRPr="00112676">
        <w:t xml:space="preserve">(∑d x </w:t>
      </w:r>
      <w:proofErr w:type="spellStart"/>
      <w:r w:rsidRPr="00112676">
        <w:t>Wd</w:t>
      </w:r>
      <w:proofErr w:type="spellEnd"/>
      <w:r w:rsidRPr="00112676">
        <w:t>) =6.54</w:t>
      </w:r>
    </w:p>
    <w:p w14:paraId="08C13C49" w14:textId="0F2A29AD" w:rsidR="008D663D" w:rsidRPr="00112676" w:rsidRDefault="008D663D" w:rsidP="008D663D">
      <w:pPr>
        <w:spacing w:line="360" w:lineRule="auto"/>
        <w:jc w:val="both"/>
      </w:pPr>
      <w:r w:rsidRPr="00112676">
        <w:t>Statistical formulation:</w:t>
      </w:r>
    </w:p>
    <w:p w14:paraId="783264D4" w14:textId="77777777" w:rsidR="008D663D" w:rsidRPr="00112676" w:rsidRDefault="008D663D" w:rsidP="008D663D">
      <w:pPr>
        <w:spacing w:line="360" w:lineRule="auto"/>
        <w:jc w:val="both"/>
      </w:pPr>
      <w:r w:rsidRPr="00112676">
        <w:t>The Composite Neuromuscular Dysfunction Index was calculated as:</w:t>
      </w:r>
    </w:p>
    <w:p w14:paraId="40530E94" w14:textId="77777777" w:rsidR="008D663D" w:rsidRPr="00112676" w:rsidRDefault="008D663D" w:rsidP="008D663D">
      <w:pPr>
        <w:spacing w:line="360" w:lineRule="auto"/>
        <w:jc w:val="both"/>
      </w:pPr>
      <w:r w:rsidRPr="00112676">
        <w:t xml:space="preserve">CNDI = </w:t>
      </w:r>
      <w:proofErr w:type="gramStart"/>
      <w:r w:rsidRPr="00112676">
        <w:t>∑(</w:t>
      </w:r>
      <w:proofErr w:type="gramEnd"/>
      <w:r w:rsidRPr="00112676">
        <w:t>∑d × W&lt;sub&gt;d&lt;/sub&gt;)</w:t>
      </w:r>
    </w:p>
    <w:p w14:paraId="4D631D74" w14:textId="77777777" w:rsidR="008D663D" w:rsidRPr="00112676" w:rsidRDefault="008D663D" w:rsidP="008D663D">
      <w:pPr>
        <w:spacing w:line="360" w:lineRule="auto"/>
        <w:jc w:val="both"/>
      </w:pPr>
      <w:r w:rsidRPr="00112676">
        <w:t>where:</w:t>
      </w:r>
    </w:p>
    <w:p w14:paraId="6E6DD53D" w14:textId="77777777" w:rsidR="008D663D" w:rsidRPr="00112676" w:rsidRDefault="008D663D" w:rsidP="008D663D">
      <w:pPr>
        <w:spacing w:line="360" w:lineRule="auto"/>
        <w:jc w:val="both"/>
      </w:pPr>
      <w:r w:rsidRPr="00112676">
        <w:t>d = standardized effect size (Cohen's d) for each neurosensory parameter</w:t>
      </w:r>
    </w:p>
    <w:p w14:paraId="069A66CC" w14:textId="77777777" w:rsidR="008D663D" w:rsidRPr="00112676" w:rsidRDefault="008D663D" w:rsidP="008D663D">
      <w:pPr>
        <w:spacing w:line="360" w:lineRule="auto"/>
        <w:jc w:val="both"/>
      </w:pPr>
      <w:r w:rsidRPr="00112676">
        <w:t>∑d = aggregated effect sizes within each domain</w:t>
      </w:r>
    </w:p>
    <w:p w14:paraId="6C66474B" w14:textId="77777777" w:rsidR="008D663D" w:rsidRPr="00112676" w:rsidRDefault="008D663D" w:rsidP="008D663D">
      <w:pPr>
        <w:spacing w:line="360" w:lineRule="auto"/>
        <w:jc w:val="both"/>
      </w:pPr>
      <w:r w:rsidRPr="00112676">
        <w:t>W&lt;sub&gt;d&lt;/sub&gt; = normalized domain weight = (∑d&lt;sub&gt;domain&lt;/sub&gt;) / (∑d&lt;sub&gt;total&lt;/sub&gt;)</w:t>
      </w:r>
    </w:p>
    <w:p w14:paraId="2ACA0860" w14:textId="77777777" w:rsidR="008D663D" w:rsidRPr="00112676" w:rsidRDefault="008D663D" w:rsidP="008D663D">
      <w:pPr>
        <w:spacing w:line="360" w:lineRule="auto"/>
        <w:jc w:val="both"/>
      </w:pPr>
      <w:r w:rsidRPr="00112676">
        <w:t>Footnote: Higher CNDI values indicate greater multidimensional neurosensory impairment. Abbreviations: CNDI = Composite Neuromuscular Dysfunction Index.</w:t>
      </w:r>
    </w:p>
    <w:p w14:paraId="526EE81A" w14:textId="77777777" w:rsidR="008D663D" w:rsidRDefault="008D663D" w:rsidP="00B84E4E">
      <w:pPr>
        <w:spacing w:line="360" w:lineRule="auto"/>
        <w:jc w:val="both"/>
      </w:pPr>
    </w:p>
    <w:sectPr w:rsidR="008D663D" w:rsidSect="00406EA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AB"/>
    <w:rsid w:val="00406EAB"/>
    <w:rsid w:val="00852F7C"/>
    <w:rsid w:val="00886E3E"/>
    <w:rsid w:val="008D663D"/>
    <w:rsid w:val="009749A4"/>
    <w:rsid w:val="00B84E4E"/>
    <w:rsid w:val="00CA6D87"/>
    <w:rsid w:val="00F22F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2637A"/>
  <w15:chartTrackingRefBased/>
  <w15:docId w15:val="{3A876DA2-D802-4CD0-98FB-2EAB6A689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EAB"/>
    <w:pPr>
      <w:spacing w:after="0" w:line="240" w:lineRule="auto"/>
    </w:pPr>
    <w:rPr>
      <w:rFonts w:ascii="Times New Roman" w:eastAsia="Times New Roman" w:hAnsi="Times New Roman" w:cs="Times New Roman"/>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49A4"/>
    <w:rPr>
      <w:color w:val="0563C1" w:themeColor="hyperlink"/>
      <w:u w:val="single"/>
    </w:rPr>
  </w:style>
  <w:style w:type="character" w:styleId="UnresolvedMention">
    <w:name w:val="Unresolved Mention"/>
    <w:basedOn w:val="DefaultParagraphFont"/>
    <w:uiPriority w:val="99"/>
    <w:semiHidden/>
    <w:unhideWhenUsed/>
    <w:rsid w:val="00974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1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462</Words>
  <Characters>2636</Characters>
  <Application>Microsoft Office Word</Application>
  <DocSecurity>0</DocSecurity>
  <Lines>21</Lines>
  <Paragraphs>6</Paragraphs>
  <ScaleCrop>false</ScaleCrop>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2026-03-21T12:09:00Z</dcterms:created>
  <dcterms:modified xsi:type="dcterms:W3CDTF">2026-03-23T10:56:00Z</dcterms:modified>
</cp:coreProperties>
</file>