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C176" w14:textId="77777777" w:rsidR="00406EAB" w:rsidRPr="00406EAB" w:rsidRDefault="00406EAB" w:rsidP="00406EAB">
      <w:pPr>
        <w:spacing w:line="360" w:lineRule="auto"/>
        <w:jc w:val="both"/>
        <w:rPr>
          <w:b/>
          <w:bCs/>
        </w:rPr>
      </w:pPr>
      <w:r w:rsidRPr="00406EAB">
        <w:rPr>
          <w:b/>
          <w:bCs/>
        </w:rPr>
        <w:t>SUPPLEMENTARY MATERIALS</w:t>
      </w:r>
    </w:p>
    <w:p w14:paraId="5189055B" w14:textId="77777777" w:rsidR="00406EAB" w:rsidRPr="00406EAB" w:rsidRDefault="00406EAB" w:rsidP="00406EAB">
      <w:pPr>
        <w:jc w:val="both"/>
        <w:rPr>
          <w:b/>
          <w:bCs/>
        </w:rPr>
      </w:pPr>
      <w:r w:rsidRPr="00406EAB">
        <w:rPr>
          <w:b/>
          <w:bCs/>
        </w:rPr>
        <w:t>Title: Development of a multidomain neuromuscular aging clock integrating neurosensory dysfunction with molecular biomarkers</w:t>
      </w:r>
    </w:p>
    <w:p w14:paraId="4BACF485" w14:textId="77777777" w:rsidR="00406EAB" w:rsidRDefault="00406EAB" w:rsidP="00406EAB">
      <w:pPr>
        <w:jc w:val="both"/>
      </w:pPr>
      <w:r w:rsidRPr="00112676">
        <w:br/>
      </w:r>
      <w:r w:rsidRPr="00406EAB">
        <w:rPr>
          <w:b/>
          <w:bCs/>
        </w:rPr>
        <w:t>Authors:</w:t>
      </w:r>
      <w:r w:rsidRPr="00112676">
        <w:t xml:space="preserve">   Apurba Kumar Ganguly, Ph.D.*, Sudip Kumar Banerjee, Ph.D.  Vidya Sagar GV, MD, Ph.D. Dinesh Kumar Singal, MD.  and Anondeep Ganguly, PGDH.</w:t>
      </w:r>
    </w:p>
    <w:p w14:paraId="2BCF8F04" w14:textId="77777777" w:rsidR="00406EAB" w:rsidRDefault="00406EAB" w:rsidP="00406EAB">
      <w:pPr>
        <w:jc w:val="both"/>
      </w:pPr>
      <w:r w:rsidRPr="00112676">
        <w:br/>
      </w:r>
      <w:r w:rsidRPr="00406EAB">
        <w:rPr>
          <w:b/>
          <w:bCs/>
        </w:rPr>
        <w:t>* Corresponding Author:</w:t>
      </w:r>
      <w:r w:rsidRPr="00112676">
        <w:t xml:space="preserve"> Apurba Kumar Ganguly, Ph.D.; Address: 7, Panditya Place, Kolkata-700029, India; Tel: +919830389616; Email: apurbaganguly15@gmail.com.</w:t>
      </w:r>
      <w:r w:rsidRPr="00112676">
        <w:br/>
      </w:r>
    </w:p>
    <w:p w14:paraId="2ADC7EEA" w14:textId="71C4F3F2" w:rsidR="00886E3E" w:rsidRDefault="00406EAB" w:rsidP="00406EAB">
      <w:pPr>
        <w:jc w:val="both"/>
      </w:pPr>
      <w:r w:rsidRPr="00406EAB">
        <w:rPr>
          <w:b/>
          <w:bCs/>
        </w:rPr>
        <w:t>Journal:</w:t>
      </w:r>
      <w:r w:rsidRPr="00112676">
        <w:t xml:space="preserve"> Aging Clinical and Experimental Research</w:t>
      </w:r>
    </w:p>
    <w:p w14:paraId="13E0996A" w14:textId="2A6A3F24" w:rsidR="00406EAB" w:rsidRDefault="00406EAB" w:rsidP="00406EAB">
      <w:pPr>
        <w:jc w:val="both"/>
      </w:pPr>
    </w:p>
    <w:p w14:paraId="3F910B39" w14:textId="2E6F9015" w:rsidR="00406EAB" w:rsidRDefault="00406EAB" w:rsidP="00406EAB">
      <w:pPr>
        <w:spacing w:line="360" w:lineRule="auto"/>
        <w:jc w:val="both"/>
      </w:pPr>
    </w:p>
    <w:p w14:paraId="49D28F31" w14:textId="77777777" w:rsidR="00CA6D87" w:rsidRPr="00CA6D87" w:rsidRDefault="00CA6D87" w:rsidP="00CA6D87">
      <w:pPr>
        <w:spacing w:line="360" w:lineRule="auto"/>
        <w:jc w:val="both"/>
        <w:rPr>
          <w:b/>
          <w:bCs/>
        </w:rPr>
      </w:pPr>
      <w:r w:rsidRPr="00CA6D87">
        <w:rPr>
          <w:b/>
          <w:bCs/>
        </w:rPr>
        <w:t>Supplementary Table S2. Diagnostic accuracy of molecular neurobiological biomarkers</w:t>
      </w:r>
    </w:p>
    <w:p w14:paraId="2DCC194A" w14:textId="70700921" w:rsidR="00CA6D87" w:rsidRDefault="00CA6D87" w:rsidP="00CA6D87">
      <w:pPr>
        <w:spacing w:line="360" w:lineRule="auto"/>
        <w:jc w:val="both"/>
      </w:pPr>
      <w:r w:rsidRPr="00112676">
        <w:t>Molecular neurobiological biomarkers also demonstrated strong diagnostic performance for identifying neuromuscular dysfunction. Neurotrophic regulation markers exhibited the highest predictive performance, with BDNF showing an AUC of 0.995 and GFAP demonstrating near-perfect discrimination (AUC = 0.996). Biomarkers related to oxidative stress, inflammatory activation, and extracellular matrix remodeling also displayed high diagnostic accuracy. These results support the biological relevance of the molecular neurobiological framework underlying neuromuscular aging and reinforce the multidomain integration of biomarkers used to derive the composite biological neurofunctional index.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6" w:type="dxa"/>
          <w:bottom w:w="6" w:type="dxa"/>
          <w:right w:w="6" w:type="dxa"/>
        </w:tblCellMar>
        <w:tblLook w:val="04A0" w:firstRow="1" w:lastRow="0" w:firstColumn="1" w:lastColumn="0" w:noHBand="0" w:noVBand="1"/>
      </w:tblPr>
      <w:tblGrid>
        <w:gridCol w:w="1271"/>
        <w:gridCol w:w="2126"/>
        <w:gridCol w:w="993"/>
        <w:gridCol w:w="992"/>
        <w:gridCol w:w="992"/>
        <w:gridCol w:w="709"/>
        <w:gridCol w:w="709"/>
        <w:gridCol w:w="850"/>
        <w:gridCol w:w="986"/>
      </w:tblGrid>
      <w:tr w:rsidR="005675D7" w:rsidRPr="00235FCD" w14:paraId="558AD851" w14:textId="77777777" w:rsidTr="005675D7">
        <w:trPr>
          <w:trHeight w:val="283"/>
        </w:trPr>
        <w:tc>
          <w:tcPr>
            <w:tcW w:w="1271" w:type="dxa"/>
            <w:shd w:val="clear" w:color="auto" w:fill="auto"/>
            <w:noWrap/>
            <w:vAlign w:val="center"/>
            <w:hideMark/>
          </w:tcPr>
          <w:p w14:paraId="0BD9CB2D" w14:textId="3CB0397D" w:rsidR="00235FCD" w:rsidRPr="00235FCD" w:rsidRDefault="00235FCD" w:rsidP="005675D7">
            <w:pPr>
              <w:rPr>
                <w:b/>
                <w:bCs/>
                <w:color w:val="000000"/>
                <w:sz w:val="20"/>
                <w:szCs w:val="20"/>
              </w:rPr>
            </w:pPr>
            <w:r w:rsidRPr="00235FCD">
              <w:rPr>
                <w:b/>
                <w:bCs/>
                <w:noProof/>
                <w:color w:val="000000"/>
                <w:sz w:val="20"/>
                <w:szCs w:val="20"/>
              </w:rPr>
              <mc:AlternateContent>
                <mc:Choice Requires="wps">
                  <w:drawing>
                    <wp:anchor distT="0" distB="0" distL="114300" distR="114300" simplePos="0" relativeHeight="251658240" behindDoc="0" locked="0" layoutInCell="1" allowOverlap="1" wp14:anchorId="06E3F5F0" wp14:editId="37086568">
                      <wp:simplePos x="0" y="0"/>
                      <wp:positionH relativeFrom="column">
                        <wp:posOffset>0</wp:posOffset>
                      </wp:positionH>
                      <wp:positionV relativeFrom="paragraph">
                        <wp:posOffset>0</wp:posOffset>
                      </wp:positionV>
                      <wp:extent cx="9525" cy="9525"/>
                      <wp:effectExtent l="0" t="0" r="0" b="0"/>
                      <wp:wrapNone/>
                      <wp:docPr id="2" name="Freeform: Shape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wps:spPr>
                              <a:xfrm>
                                <a:off x="0" y="0"/>
                                <a:ext cx="11430" cy="11430"/>
                              </a:xfrm>
                              <a:custGeom>
                                <a:avLst/>
                                <a:gdLst/>
                                <a:ahLst/>
                                <a:cxnLst/>
                                <a:rect l="0" t="0" r="0" b="0"/>
                                <a:pathLst>
                                  <a:path w="11430" h="11430">
                                    <a:moveTo>
                                      <a:pt x="0" y="5454"/>
                                    </a:moveTo>
                                    <a:lnTo>
                                      <a:pt x="1598" y="1597"/>
                                    </a:lnTo>
                                    <a:lnTo>
                                      <a:pt x="5458" y="0"/>
                                    </a:lnTo>
                                    <a:lnTo>
                                      <a:pt x="9317" y="1597"/>
                                    </a:lnTo>
                                    <a:lnTo>
                                      <a:pt x="10916" y="5454"/>
                                    </a:lnTo>
                                    <a:lnTo>
                                      <a:pt x="9317" y="9310"/>
                                    </a:lnTo>
                                    <a:lnTo>
                                      <a:pt x="5458" y="10908"/>
                                    </a:lnTo>
                                    <a:lnTo>
                                      <a:pt x="1598" y="9310"/>
                                    </a:lnTo>
                                    <a:lnTo>
                                      <a:pt x="0" y="5454"/>
                                    </a:lnTo>
                                    <a:close/>
                                  </a:path>
                                </a:pathLst>
                              </a:custGeom>
                              <a:solidFill>
                                <a:srgbClr val="DFDFDF"/>
                              </a:solidFill>
                            </wps:spPr>
                            <wps:bodyPr/>
                          </wps:wsp>
                        </a:graphicData>
                      </a:graphic>
                      <wp14:sizeRelH relativeFrom="page">
                        <wp14:pctWidth>0</wp14:pctWidth>
                      </wp14:sizeRelH>
                      <wp14:sizeRelV relativeFrom="page">
                        <wp14:pctHeight>0</wp14:pctHeight>
                      </wp14:sizeRelV>
                    </wp:anchor>
                  </w:drawing>
                </mc:Choice>
                <mc:Fallback>
                  <w:pict>
                    <v:shape w14:anchorId="6E20F56F" id="Freeform: Shape 2" o:spid="_x0000_s1026" style="position:absolute;margin-left:0;margin-top:0;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" path="m,5454l1598,1597,5458,,9317,1597r1599,3857l9317,9310,5458,10908,1598,9310,,5454xe" fillcolor="#dfdfdf" stroked="f">
                      <v:path arrowok="t" textboxrect="0,0,11430,11430"/>
                    </v:shape>
                  </w:pict>
                </mc:Fallback>
              </mc:AlternateContent>
            </w:r>
            <w:r w:rsidRPr="00235FCD">
              <w:rPr>
                <w:b/>
                <w:bCs/>
                <w:color w:val="000000"/>
                <w:sz w:val="20"/>
                <w:szCs w:val="20"/>
              </w:rPr>
              <w:t>Biomarker</w:t>
            </w:r>
          </w:p>
        </w:tc>
        <w:tc>
          <w:tcPr>
            <w:tcW w:w="2126" w:type="dxa"/>
            <w:shd w:val="clear" w:color="auto" w:fill="auto"/>
            <w:noWrap/>
            <w:vAlign w:val="center"/>
            <w:hideMark/>
          </w:tcPr>
          <w:p w14:paraId="3D54443B" w14:textId="77777777" w:rsidR="00235FCD" w:rsidRPr="00235FCD" w:rsidRDefault="00235FCD" w:rsidP="00235FCD">
            <w:pPr>
              <w:jc w:val="center"/>
              <w:rPr>
                <w:b/>
                <w:bCs/>
                <w:sz w:val="20"/>
                <w:szCs w:val="20"/>
              </w:rPr>
            </w:pPr>
            <w:r w:rsidRPr="00235FCD">
              <w:rPr>
                <w:b/>
                <w:bCs/>
                <w:sz w:val="20"/>
                <w:szCs w:val="20"/>
              </w:rPr>
              <w:t>AUC (95%CI)</w:t>
            </w:r>
          </w:p>
        </w:tc>
        <w:tc>
          <w:tcPr>
            <w:tcW w:w="993" w:type="dxa"/>
            <w:shd w:val="clear" w:color="auto" w:fill="auto"/>
            <w:noWrap/>
            <w:vAlign w:val="center"/>
            <w:hideMark/>
          </w:tcPr>
          <w:p w14:paraId="64CA5ED4" w14:textId="77777777" w:rsidR="00235FCD" w:rsidRPr="00235FCD" w:rsidRDefault="00235FCD" w:rsidP="00235FCD">
            <w:pPr>
              <w:jc w:val="center"/>
              <w:rPr>
                <w:b/>
                <w:bCs/>
                <w:color w:val="000000"/>
                <w:sz w:val="20"/>
                <w:szCs w:val="20"/>
              </w:rPr>
            </w:pPr>
            <w:r w:rsidRPr="00235FCD">
              <w:rPr>
                <w:b/>
                <w:bCs/>
                <w:color w:val="000000"/>
                <w:sz w:val="20"/>
                <w:szCs w:val="20"/>
              </w:rPr>
              <w:t>Youden's Index (%)</w:t>
            </w:r>
          </w:p>
        </w:tc>
        <w:tc>
          <w:tcPr>
            <w:tcW w:w="992" w:type="dxa"/>
            <w:shd w:val="clear" w:color="auto" w:fill="auto"/>
            <w:noWrap/>
            <w:vAlign w:val="center"/>
            <w:hideMark/>
          </w:tcPr>
          <w:p w14:paraId="42A4CB39" w14:textId="77777777" w:rsidR="00235FCD" w:rsidRPr="00235FCD" w:rsidRDefault="00235FCD" w:rsidP="00235FCD">
            <w:pPr>
              <w:jc w:val="center"/>
              <w:rPr>
                <w:b/>
                <w:bCs/>
                <w:color w:val="000000"/>
                <w:sz w:val="20"/>
                <w:szCs w:val="20"/>
              </w:rPr>
            </w:pPr>
            <w:r w:rsidRPr="00235FCD">
              <w:rPr>
                <w:b/>
                <w:bCs/>
                <w:color w:val="000000"/>
                <w:sz w:val="20"/>
                <w:szCs w:val="20"/>
              </w:rPr>
              <w:t>Sensitivity (%)</w:t>
            </w:r>
          </w:p>
        </w:tc>
        <w:tc>
          <w:tcPr>
            <w:tcW w:w="992" w:type="dxa"/>
            <w:shd w:val="clear" w:color="auto" w:fill="auto"/>
            <w:noWrap/>
            <w:vAlign w:val="center"/>
            <w:hideMark/>
          </w:tcPr>
          <w:p w14:paraId="47152C3D" w14:textId="77777777" w:rsidR="00235FCD" w:rsidRPr="00235FCD" w:rsidRDefault="00235FCD" w:rsidP="00235FCD">
            <w:pPr>
              <w:jc w:val="center"/>
              <w:rPr>
                <w:b/>
                <w:bCs/>
                <w:color w:val="000000"/>
                <w:sz w:val="20"/>
                <w:szCs w:val="20"/>
              </w:rPr>
            </w:pPr>
            <w:r w:rsidRPr="00235FCD">
              <w:rPr>
                <w:b/>
                <w:bCs/>
                <w:color w:val="000000"/>
                <w:sz w:val="20"/>
                <w:szCs w:val="20"/>
              </w:rPr>
              <w:t>Specificity (%)</w:t>
            </w:r>
          </w:p>
        </w:tc>
        <w:tc>
          <w:tcPr>
            <w:tcW w:w="709" w:type="dxa"/>
            <w:shd w:val="clear" w:color="auto" w:fill="auto"/>
            <w:noWrap/>
            <w:vAlign w:val="center"/>
            <w:hideMark/>
          </w:tcPr>
          <w:p w14:paraId="124EF488" w14:textId="77777777" w:rsidR="00235FCD" w:rsidRPr="00235FCD" w:rsidRDefault="00235FCD" w:rsidP="00235FCD">
            <w:pPr>
              <w:jc w:val="center"/>
              <w:rPr>
                <w:b/>
                <w:bCs/>
                <w:sz w:val="20"/>
                <w:szCs w:val="20"/>
              </w:rPr>
            </w:pPr>
            <w:r w:rsidRPr="00235FCD">
              <w:rPr>
                <w:b/>
                <w:bCs/>
                <w:sz w:val="20"/>
                <w:szCs w:val="20"/>
              </w:rPr>
              <w:t>PPV (%)</w:t>
            </w:r>
          </w:p>
        </w:tc>
        <w:tc>
          <w:tcPr>
            <w:tcW w:w="709" w:type="dxa"/>
            <w:shd w:val="clear" w:color="auto" w:fill="auto"/>
            <w:noWrap/>
            <w:vAlign w:val="center"/>
            <w:hideMark/>
          </w:tcPr>
          <w:p w14:paraId="7A07CD1C" w14:textId="77777777" w:rsidR="00235FCD" w:rsidRPr="00235FCD" w:rsidRDefault="00235FCD" w:rsidP="00235FCD">
            <w:pPr>
              <w:jc w:val="center"/>
              <w:rPr>
                <w:b/>
                <w:bCs/>
                <w:sz w:val="20"/>
                <w:szCs w:val="20"/>
              </w:rPr>
            </w:pPr>
            <w:r w:rsidRPr="00235FCD">
              <w:rPr>
                <w:b/>
                <w:bCs/>
                <w:sz w:val="20"/>
                <w:szCs w:val="20"/>
              </w:rPr>
              <w:t>NPV (%)</w:t>
            </w:r>
          </w:p>
        </w:tc>
        <w:tc>
          <w:tcPr>
            <w:tcW w:w="850" w:type="dxa"/>
            <w:shd w:val="clear" w:color="auto" w:fill="auto"/>
            <w:noWrap/>
            <w:vAlign w:val="center"/>
            <w:hideMark/>
          </w:tcPr>
          <w:p w14:paraId="1854A4DC" w14:textId="77777777" w:rsidR="00235FCD" w:rsidRPr="00235FCD" w:rsidRDefault="00235FCD" w:rsidP="00235FCD">
            <w:pPr>
              <w:jc w:val="center"/>
              <w:rPr>
                <w:b/>
                <w:bCs/>
                <w:color w:val="000000"/>
                <w:sz w:val="20"/>
                <w:szCs w:val="20"/>
              </w:rPr>
            </w:pPr>
            <w:r w:rsidRPr="00235FCD">
              <w:rPr>
                <w:b/>
                <w:bCs/>
                <w:color w:val="000000"/>
                <w:sz w:val="20"/>
                <w:szCs w:val="20"/>
              </w:rPr>
              <w:t>Accuracy (%)</w:t>
            </w:r>
          </w:p>
        </w:tc>
        <w:tc>
          <w:tcPr>
            <w:tcW w:w="986" w:type="dxa"/>
            <w:shd w:val="clear" w:color="auto" w:fill="auto"/>
            <w:noWrap/>
            <w:vAlign w:val="center"/>
            <w:hideMark/>
          </w:tcPr>
          <w:p w14:paraId="69BEBDF9" w14:textId="4F9A55DD" w:rsidR="00235FCD" w:rsidRPr="00235FCD" w:rsidRDefault="00235FCD" w:rsidP="005675D7">
            <w:pPr>
              <w:jc w:val="center"/>
              <w:rPr>
                <w:b/>
                <w:bCs/>
                <w:color w:val="000000"/>
                <w:sz w:val="20"/>
                <w:szCs w:val="20"/>
              </w:rPr>
            </w:pPr>
            <w:r w:rsidRPr="00235FCD">
              <w:rPr>
                <w:b/>
                <w:bCs/>
                <w:noProof/>
                <w:color w:val="000000"/>
                <w:sz w:val="20"/>
                <w:szCs w:val="20"/>
              </w:rPr>
              <mc:AlternateContent>
                <mc:Choice Requires="wps">
                  <w:drawing>
                    <wp:anchor distT="0" distB="0" distL="114300" distR="114300" simplePos="0" relativeHeight="251658240" behindDoc="0" locked="0" layoutInCell="1" allowOverlap="1" wp14:anchorId="725EBACC" wp14:editId="1BA064B3">
                      <wp:simplePos x="0" y="0"/>
                      <wp:positionH relativeFrom="column">
                        <wp:posOffset>866775</wp:posOffset>
                      </wp:positionH>
                      <wp:positionV relativeFrom="paragraph">
                        <wp:posOffset>0</wp:posOffset>
                      </wp:positionV>
                      <wp:extent cx="9525" cy="9525"/>
                      <wp:effectExtent l="0" t="0" r="0" b="0"/>
                      <wp:wrapNone/>
                      <wp:docPr id="3" name="Freeform: Shape 3">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Shape">
                          <wps:wsp>
                            <wps:cNvSpPr/>
                            <wps:spPr>
                              <a:xfrm>
                                <a:off x="0" y="0"/>
                                <a:ext cx="11430" cy="11430"/>
                              </a:xfrm>
                              <a:custGeom>
                                <a:avLst/>
                                <a:gdLst/>
                                <a:ahLst/>
                                <a:cxnLst/>
                                <a:rect l="0" t="0" r="0" b="0"/>
                                <a:pathLst>
                                  <a:path w="11430" h="11430">
                                    <a:moveTo>
                                      <a:pt x="0" y="5454"/>
                                    </a:moveTo>
                                    <a:lnTo>
                                      <a:pt x="1598" y="1597"/>
                                    </a:lnTo>
                                    <a:lnTo>
                                      <a:pt x="5458" y="0"/>
                                    </a:lnTo>
                                    <a:lnTo>
                                      <a:pt x="9317" y="1597"/>
                                    </a:lnTo>
                                    <a:lnTo>
                                      <a:pt x="10916" y="5454"/>
                                    </a:lnTo>
                                    <a:lnTo>
                                      <a:pt x="9317" y="9310"/>
                                    </a:lnTo>
                                    <a:lnTo>
                                      <a:pt x="5458" y="10908"/>
                                    </a:lnTo>
                                    <a:lnTo>
                                      <a:pt x="1598" y="9310"/>
                                    </a:lnTo>
                                    <a:lnTo>
                                      <a:pt x="0" y="5454"/>
                                    </a:lnTo>
                                    <a:close/>
                                  </a:path>
                                </a:pathLst>
                              </a:custGeom>
                              <a:solidFill>
                                <a:srgbClr val="DFDFDF"/>
                              </a:solidFill>
                            </wps:spPr>
                            <wps:bodyPr/>
                          </wps:wsp>
                        </a:graphicData>
                      </a:graphic>
                      <wp14:sizeRelH relativeFrom="page">
                        <wp14:pctWidth>0</wp14:pctWidth>
                      </wp14:sizeRelH>
                      <wp14:sizeRelV relativeFrom="page">
                        <wp14:pctHeight>0</wp14:pctHeight>
                      </wp14:sizeRelV>
                    </wp:anchor>
                  </w:drawing>
                </mc:Choice>
                <mc:Fallback>
                  <w:pict>
                    <v:shape w14:anchorId="29F208BA" id="Freeform: Shape 3" o:spid="_x0000_s1026" style="position:absolute;margin-left:68.25pt;margin-top:0;width:.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" path="m,5454l1598,1597,5458,,9317,1597r1599,3857l9317,9310,5458,10908,1598,9310,,5454xe" fillcolor="#dfdfdf" stroked="f">
                      <v:path arrowok="t" textboxrect="0,0,11430,11430"/>
                    </v:shape>
                  </w:pict>
                </mc:Fallback>
              </mc:AlternateContent>
            </w:r>
            <w:r w:rsidRPr="00235FCD">
              <w:rPr>
                <w:b/>
                <w:bCs/>
                <w:color w:val="000000"/>
                <w:sz w:val="20"/>
                <w:szCs w:val="20"/>
              </w:rPr>
              <w:t>Cut off value</w:t>
            </w:r>
          </w:p>
        </w:tc>
      </w:tr>
      <w:tr w:rsidR="00235FCD" w:rsidRPr="00235FCD" w14:paraId="7BF54638" w14:textId="77777777" w:rsidTr="005675D7">
        <w:trPr>
          <w:trHeight w:val="283"/>
        </w:trPr>
        <w:tc>
          <w:tcPr>
            <w:tcW w:w="9628" w:type="dxa"/>
            <w:gridSpan w:val="9"/>
            <w:shd w:val="clear" w:color="auto" w:fill="auto"/>
            <w:noWrap/>
            <w:vAlign w:val="center"/>
            <w:hideMark/>
          </w:tcPr>
          <w:p w14:paraId="4A99739E" w14:textId="6704BF04" w:rsidR="00235FCD" w:rsidRPr="00235FCD" w:rsidRDefault="00235FCD" w:rsidP="00235FCD">
            <w:pPr>
              <w:jc w:val="center"/>
              <w:rPr>
                <w:b/>
                <w:bCs/>
                <w:sz w:val="20"/>
                <w:szCs w:val="20"/>
              </w:rPr>
            </w:pPr>
            <w:r w:rsidRPr="00235FCD">
              <w:rPr>
                <w:b/>
                <w:bCs/>
                <w:sz w:val="20"/>
                <w:szCs w:val="20"/>
              </w:rPr>
              <w:t>Neuroinflammatory</w:t>
            </w:r>
            <w:r>
              <w:rPr>
                <w:b/>
                <w:bCs/>
                <w:sz w:val="20"/>
                <w:szCs w:val="20"/>
              </w:rPr>
              <w:t xml:space="preserve"> </w:t>
            </w:r>
            <w:r w:rsidRPr="00235FCD">
              <w:rPr>
                <w:b/>
                <w:bCs/>
                <w:sz w:val="20"/>
                <w:szCs w:val="20"/>
              </w:rPr>
              <w:t>Activation</w:t>
            </w:r>
            <w:r>
              <w:rPr>
                <w:b/>
                <w:bCs/>
                <w:sz w:val="20"/>
                <w:szCs w:val="20"/>
              </w:rPr>
              <w:t xml:space="preserve"> </w:t>
            </w:r>
            <w:r w:rsidRPr="00235FCD">
              <w:rPr>
                <w:b/>
                <w:bCs/>
                <w:sz w:val="20"/>
                <w:szCs w:val="20"/>
              </w:rPr>
              <w:t>(NIA)</w:t>
            </w:r>
          </w:p>
        </w:tc>
      </w:tr>
      <w:tr w:rsidR="005675D7" w:rsidRPr="00235FCD" w14:paraId="2F2FCEC8" w14:textId="77777777" w:rsidTr="005675D7">
        <w:trPr>
          <w:trHeight w:val="283"/>
        </w:trPr>
        <w:tc>
          <w:tcPr>
            <w:tcW w:w="1271" w:type="dxa"/>
            <w:shd w:val="clear" w:color="auto" w:fill="auto"/>
            <w:noWrap/>
            <w:vAlign w:val="center"/>
            <w:hideMark/>
          </w:tcPr>
          <w:p w14:paraId="0B93B9AC" w14:textId="77777777" w:rsidR="00235FCD" w:rsidRPr="00235FCD" w:rsidRDefault="00235FCD" w:rsidP="00235FCD">
            <w:pPr>
              <w:rPr>
                <w:b/>
                <w:bCs/>
                <w:sz w:val="20"/>
                <w:szCs w:val="20"/>
              </w:rPr>
            </w:pPr>
            <w:r w:rsidRPr="00235FCD">
              <w:rPr>
                <w:b/>
                <w:bCs/>
                <w:sz w:val="20"/>
                <w:szCs w:val="20"/>
              </w:rPr>
              <w:t>hs-CRP</w:t>
            </w:r>
          </w:p>
        </w:tc>
        <w:tc>
          <w:tcPr>
            <w:tcW w:w="2126" w:type="dxa"/>
            <w:shd w:val="clear" w:color="auto" w:fill="auto"/>
            <w:noWrap/>
            <w:vAlign w:val="center"/>
            <w:hideMark/>
          </w:tcPr>
          <w:p w14:paraId="3D46C18B" w14:textId="77777777" w:rsidR="00235FCD" w:rsidRPr="00235FCD" w:rsidRDefault="00235FCD" w:rsidP="00235FCD">
            <w:pPr>
              <w:jc w:val="center"/>
              <w:rPr>
                <w:sz w:val="20"/>
                <w:szCs w:val="20"/>
              </w:rPr>
            </w:pPr>
            <w:r w:rsidRPr="00235FCD">
              <w:rPr>
                <w:sz w:val="20"/>
                <w:szCs w:val="20"/>
              </w:rPr>
              <w:t>0.950 (0.92 to 0.98)</w:t>
            </w:r>
          </w:p>
        </w:tc>
        <w:tc>
          <w:tcPr>
            <w:tcW w:w="993" w:type="dxa"/>
            <w:shd w:val="clear" w:color="auto" w:fill="auto"/>
            <w:noWrap/>
            <w:vAlign w:val="center"/>
            <w:hideMark/>
          </w:tcPr>
          <w:p w14:paraId="5E7BC4F7" w14:textId="77777777" w:rsidR="00235FCD" w:rsidRPr="00235FCD" w:rsidRDefault="00235FCD" w:rsidP="00235FCD">
            <w:pPr>
              <w:jc w:val="center"/>
              <w:rPr>
                <w:color w:val="000000"/>
                <w:sz w:val="20"/>
                <w:szCs w:val="20"/>
              </w:rPr>
            </w:pPr>
            <w:r w:rsidRPr="00235FCD">
              <w:rPr>
                <w:color w:val="000000"/>
                <w:sz w:val="20"/>
                <w:szCs w:val="20"/>
              </w:rPr>
              <w:t>78.29</w:t>
            </w:r>
          </w:p>
        </w:tc>
        <w:tc>
          <w:tcPr>
            <w:tcW w:w="992" w:type="dxa"/>
            <w:shd w:val="clear" w:color="auto" w:fill="auto"/>
            <w:noWrap/>
            <w:vAlign w:val="center"/>
            <w:hideMark/>
          </w:tcPr>
          <w:p w14:paraId="4D401EE8" w14:textId="77777777" w:rsidR="00235FCD" w:rsidRPr="00235FCD" w:rsidRDefault="00235FCD" w:rsidP="00235FCD">
            <w:pPr>
              <w:jc w:val="center"/>
              <w:rPr>
                <w:color w:val="000000"/>
                <w:sz w:val="20"/>
                <w:szCs w:val="20"/>
              </w:rPr>
            </w:pPr>
            <w:r w:rsidRPr="00235FCD">
              <w:rPr>
                <w:color w:val="000000"/>
                <w:sz w:val="20"/>
                <w:szCs w:val="20"/>
              </w:rPr>
              <w:t>92.61</w:t>
            </w:r>
          </w:p>
        </w:tc>
        <w:tc>
          <w:tcPr>
            <w:tcW w:w="992" w:type="dxa"/>
            <w:shd w:val="clear" w:color="auto" w:fill="auto"/>
            <w:noWrap/>
            <w:vAlign w:val="center"/>
            <w:hideMark/>
          </w:tcPr>
          <w:p w14:paraId="2FEE88B1" w14:textId="77777777" w:rsidR="00235FCD" w:rsidRPr="00235FCD" w:rsidRDefault="00235FCD" w:rsidP="00235FCD">
            <w:pPr>
              <w:jc w:val="center"/>
              <w:rPr>
                <w:color w:val="000000"/>
                <w:sz w:val="20"/>
                <w:szCs w:val="20"/>
              </w:rPr>
            </w:pPr>
            <w:r w:rsidRPr="00235FCD">
              <w:rPr>
                <w:color w:val="000000"/>
                <w:sz w:val="20"/>
                <w:szCs w:val="20"/>
              </w:rPr>
              <w:t>85.68</w:t>
            </w:r>
          </w:p>
        </w:tc>
        <w:tc>
          <w:tcPr>
            <w:tcW w:w="709" w:type="dxa"/>
            <w:shd w:val="clear" w:color="auto" w:fill="auto"/>
            <w:noWrap/>
            <w:vAlign w:val="center"/>
            <w:hideMark/>
          </w:tcPr>
          <w:p w14:paraId="6CFEC30B" w14:textId="77777777" w:rsidR="00235FCD" w:rsidRPr="00235FCD" w:rsidRDefault="00235FCD" w:rsidP="00235FCD">
            <w:pPr>
              <w:jc w:val="center"/>
              <w:rPr>
                <w:color w:val="000000"/>
                <w:sz w:val="20"/>
                <w:szCs w:val="20"/>
              </w:rPr>
            </w:pPr>
            <w:r w:rsidRPr="00235FCD">
              <w:rPr>
                <w:color w:val="000000"/>
                <w:sz w:val="20"/>
                <w:szCs w:val="20"/>
              </w:rPr>
              <w:t>87.42</w:t>
            </w:r>
          </w:p>
        </w:tc>
        <w:tc>
          <w:tcPr>
            <w:tcW w:w="709" w:type="dxa"/>
            <w:shd w:val="clear" w:color="auto" w:fill="auto"/>
            <w:noWrap/>
            <w:vAlign w:val="center"/>
            <w:hideMark/>
          </w:tcPr>
          <w:p w14:paraId="048D678C" w14:textId="77777777" w:rsidR="00235FCD" w:rsidRPr="00235FCD" w:rsidRDefault="00235FCD" w:rsidP="00235FCD">
            <w:pPr>
              <w:jc w:val="center"/>
              <w:rPr>
                <w:color w:val="000000"/>
                <w:sz w:val="20"/>
                <w:szCs w:val="20"/>
              </w:rPr>
            </w:pPr>
            <w:r w:rsidRPr="00235FCD">
              <w:rPr>
                <w:color w:val="000000"/>
                <w:sz w:val="20"/>
                <w:szCs w:val="20"/>
              </w:rPr>
              <w:t>85.55</w:t>
            </w:r>
          </w:p>
        </w:tc>
        <w:tc>
          <w:tcPr>
            <w:tcW w:w="850" w:type="dxa"/>
            <w:shd w:val="clear" w:color="auto" w:fill="auto"/>
            <w:noWrap/>
            <w:vAlign w:val="center"/>
            <w:hideMark/>
          </w:tcPr>
          <w:p w14:paraId="3FCA24B9" w14:textId="77777777" w:rsidR="00235FCD" w:rsidRPr="00235FCD" w:rsidRDefault="00235FCD" w:rsidP="00235FCD">
            <w:pPr>
              <w:jc w:val="center"/>
              <w:rPr>
                <w:color w:val="000000"/>
                <w:sz w:val="20"/>
                <w:szCs w:val="20"/>
              </w:rPr>
            </w:pPr>
            <w:r w:rsidRPr="00235FCD">
              <w:rPr>
                <w:color w:val="000000"/>
                <w:sz w:val="20"/>
                <w:szCs w:val="20"/>
              </w:rPr>
              <w:t>86.46</w:t>
            </w:r>
          </w:p>
        </w:tc>
        <w:tc>
          <w:tcPr>
            <w:tcW w:w="986" w:type="dxa"/>
            <w:shd w:val="clear" w:color="auto" w:fill="auto"/>
            <w:noWrap/>
            <w:vAlign w:val="center"/>
            <w:hideMark/>
          </w:tcPr>
          <w:p w14:paraId="48EFB642" w14:textId="77777777" w:rsidR="00235FCD" w:rsidRPr="00235FCD" w:rsidRDefault="00235FCD" w:rsidP="00235FCD">
            <w:pPr>
              <w:jc w:val="center"/>
              <w:rPr>
                <w:sz w:val="20"/>
                <w:szCs w:val="20"/>
              </w:rPr>
            </w:pPr>
            <w:r w:rsidRPr="00235FCD">
              <w:rPr>
                <w:sz w:val="20"/>
                <w:szCs w:val="20"/>
              </w:rPr>
              <w:t>4 mg/ml</w:t>
            </w:r>
          </w:p>
        </w:tc>
      </w:tr>
      <w:tr w:rsidR="005675D7" w:rsidRPr="00235FCD" w14:paraId="6E69A7B1" w14:textId="77777777" w:rsidTr="005675D7">
        <w:trPr>
          <w:trHeight w:val="283"/>
        </w:trPr>
        <w:tc>
          <w:tcPr>
            <w:tcW w:w="1271" w:type="dxa"/>
            <w:shd w:val="clear" w:color="auto" w:fill="auto"/>
            <w:noWrap/>
            <w:vAlign w:val="center"/>
            <w:hideMark/>
          </w:tcPr>
          <w:p w14:paraId="581C8919" w14:textId="77777777" w:rsidR="00235FCD" w:rsidRPr="00235FCD" w:rsidRDefault="00235FCD" w:rsidP="00235FCD">
            <w:pPr>
              <w:rPr>
                <w:b/>
                <w:bCs/>
                <w:sz w:val="20"/>
                <w:szCs w:val="20"/>
              </w:rPr>
            </w:pPr>
            <w:r w:rsidRPr="00235FCD">
              <w:rPr>
                <w:b/>
                <w:bCs/>
                <w:sz w:val="20"/>
                <w:szCs w:val="20"/>
              </w:rPr>
              <w:t>IL-6</w:t>
            </w:r>
          </w:p>
        </w:tc>
        <w:tc>
          <w:tcPr>
            <w:tcW w:w="2126" w:type="dxa"/>
            <w:shd w:val="clear" w:color="auto" w:fill="auto"/>
            <w:noWrap/>
            <w:vAlign w:val="center"/>
            <w:hideMark/>
          </w:tcPr>
          <w:p w14:paraId="59C477FF" w14:textId="77777777" w:rsidR="00235FCD" w:rsidRPr="00235FCD" w:rsidRDefault="00235FCD" w:rsidP="00235FCD">
            <w:pPr>
              <w:jc w:val="center"/>
              <w:rPr>
                <w:sz w:val="20"/>
                <w:szCs w:val="20"/>
              </w:rPr>
            </w:pPr>
            <w:r w:rsidRPr="00235FCD">
              <w:rPr>
                <w:sz w:val="20"/>
                <w:szCs w:val="20"/>
              </w:rPr>
              <w:t>0.869 (0.82 to 0.91)</w:t>
            </w:r>
          </w:p>
        </w:tc>
        <w:tc>
          <w:tcPr>
            <w:tcW w:w="993" w:type="dxa"/>
            <w:shd w:val="clear" w:color="auto" w:fill="auto"/>
            <w:noWrap/>
            <w:vAlign w:val="center"/>
            <w:hideMark/>
          </w:tcPr>
          <w:p w14:paraId="613C4B66" w14:textId="77777777" w:rsidR="00235FCD" w:rsidRPr="00235FCD" w:rsidRDefault="00235FCD" w:rsidP="00235FCD">
            <w:pPr>
              <w:jc w:val="center"/>
              <w:rPr>
                <w:color w:val="000000"/>
                <w:sz w:val="20"/>
                <w:szCs w:val="20"/>
              </w:rPr>
            </w:pPr>
            <w:r w:rsidRPr="00235FCD">
              <w:rPr>
                <w:color w:val="000000"/>
                <w:sz w:val="20"/>
                <w:szCs w:val="20"/>
              </w:rPr>
              <w:t>67.89</w:t>
            </w:r>
          </w:p>
        </w:tc>
        <w:tc>
          <w:tcPr>
            <w:tcW w:w="992" w:type="dxa"/>
            <w:shd w:val="clear" w:color="auto" w:fill="auto"/>
            <w:noWrap/>
            <w:vAlign w:val="center"/>
            <w:hideMark/>
          </w:tcPr>
          <w:p w14:paraId="6125791F" w14:textId="77777777" w:rsidR="00235FCD" w:rsidRPr="00235FCD" w:rsidRDefault="00235FCD" w:rsidP="00235FCD">
            <w:pPr>
              <w:jc w:val="center"/>
              <w:rPr>
                <w:color w:val="000000"/>
                <w:sz w:val="20"/>
                <w:szCs w:val="20"/>
              </w:rPr>
            </w:pPr>
            <w:r w:rsidRPr="00235FCD">
              <w:rPr>
                <w:color w:val="000000"/>
                <w:sz w:val="20"/>
                <w:szCs w:val="20"/>
              </w:rPr>
              <w:t>87.42</w:t>
            </w:r>
          </w:p>
        </w:tc>
        <w:tc>
          <w:tcPr>
            <w:tcW w:w="992" w:type="dxa"/>
            <w:shd w:val="clear" w:color="auto" w:fill="auto"/>
            <w:noWrap/>
            <w:vAlign w:val="center"/>
            <w:hideMark/>
          </w:tcPr>
          <w:p w14:paraId="75A477C5" w14:textId="77777777" w:rsidR="00235FCD" w:rsidRPr="00235FCD" w:rsidRDefault="00235FCD" w:rsidP="00235FCD">
            <w:pPr>
              <w:jc w:val="center"/>
              <w:rPr>
                <w:color w:val="000000"/>
                <w:sz w:val="20"/>
                <w:szCs w:val="20"/>
              </w:rPr>
            </w:pPr>
            <w:r w:rsidRPr="00235FCD">
              <w:rPr>
                <w:color w:val="000000"/>
                <w:sz w:val="20"/>
                <w:szCs w:val="20"/>
              </w:rPr>
              <w:t>80.48</w:t>
            </w:r>
          </w:p>
        </w:tc>
        <w:tc>
          <w:tcPr>
            <w:tcW w:w="709" w:type="dxa"/>
            <w:shd w:val="clear" w:color="auto" w:fill="auto"/>
            <w:noWrap/>
            <w:vAlign w:val="center"/>
            <w:hideMark/>
          </w:tcPr>
          <w:p w14:paraId="4193B4C8" w14:textId="77777777" w:rsidR="00235FCD" w:rsidRPr="00235FCD" w:rsidRDefault="00235FCD" w:rsidP="00235FCD">
            <w:pPr>
              <w:jc w:val="center"/>
              <w:rPr>
                <w:color w:val="000000"/>
                <w:sz w:val="20"/>
                <w:szCs w:val="20"/>
              </w:rPr>
            </w:pPr>
            <w:r w:rsidRPr="00235FCD">
              <w:rPr>
                <w:color w:val="000000"/>
                <w:sz w:val="20"/>
                <w:szCs w:val="20"/>
              </w:rPr>
              <w:t>82.42</w:t>
            </w:r>
          </w:p>
        </w:tc>
        <w:tc>
          <w:tcPr>
            <w:tcW w:w="709" w:type="dxa"/>
            <w:shd w:val="clear" w:color="auto" w:fill="auto"/>
            <w:noWrap/>
            <w:vAlign w:val="center"/>
            <w:hideMark/>
          </w:tcPr>
          <w:p w14:paraId="5A8B2C01" w14:textId="77777777" w:rsidR="00235FCD" w:rsidRPr="00235FCD" w:rsidRDefault="00235FCD" w:rsidP="00235FCD">
            <w:pPr>
              <w:jc w:val="center"/>
              <w:rPr>
                <w:color w:val="000000"/>
                <w:sz w:val="20"/>
                <w:szCs w:val="20"/>
              </w:rPr>
            </w:pPr>
            <w:r w:rsidRPr="00235FCD">
              <w:rPr>
                <w:color w:val="000000"/>
                <w:sz w:val="20"/>
                <w:szCs w:val="20"/>
              </w:rPr>
              <w:t>83.41</w:t>
            </w:r>
          </w:p>
        </w:tc>
        <w:tc>
          <w:tcPr>
            <w:tcW w:w="850" w:type="dxa"/>
            <w:shd w:val="clear" w:color="auto" w:fill="auto"/>
            <w:noWrap/>
            <w:vAlign w:val="center"/>
            <w:hideMark/>
          </w:tcPr>
          <w:p w14:paraId="282409EA" w14:textId="77777777" w:rsidR="00235FCD" w:rsidRPr="00235FCD" w:rsidRDefault="00235FCD" w:rsidP="00235FCD">
            <w:pPr>
              <w:jc w:val="center"/>
              <w:rPr>
                <w:color w:val="000000"/>
                <w:sz w:val="20"/>
                <w:szCs w:val="20"/>
              </w:rPr>
            </w:pPr>
            <w:r w:rsidRPr="00235FCD">
              <w:rPr>
                <w:color w:val="000000"/>
                <w:sz w:val="20"/>
                <w:szCs w:val="20"/>
              </w:rPr>
              <w:t>82.91</w:t>
            </w:r>
          </w:p>
        </w:tc>
        <w:tc>
          <w:tcPr>
            <w:tcW w:w="986" w:type="dxa"/>
            <w:shd w:val="clear" w:color="auto" w:fill="auto"/>
            <w:noWrap/>
            <w:vAlign w:val="center"/>
            <w:hideMark/>
          </w:tcPr>
          <w:p w14:paraId="099D30E6" w14:textId="77777777" w:rsidR="00235FCD" w:rsidRPr="00235FCD" w:rsidRDefault="00235FCD" w:rsidP="00235FCD">
            <w:pPr>
              <w:jc w:val="center"/>
              <w:rPr>
                <w:sz w:val="20"/>
                <w:szCs w:val="20"/>
              </w:rPr>
            </w:pPr>
            <w:r w:rsidRPr="00235FCD">
              <w:rPr>
                <w:sz w:val="20"/>
                <w:szCs w:val="20"/>
              </w:rPr>
              <w:t>120 U/L</w:t>
            </w:r>
          </w:p>
        </w:tc>
      </w:tr>
      <w:tr w:rsidR="00235FCD" w:rsidRPr="00235FCD" w14:paraId="1DA815C1" w14:textId="77777777" w:rsidTr="005675D7">
        <w:trPr>
          <w:trHeight w:val="283"/>
        </w:trPr>
        <w:tc>
          <w:tcPr>
            <w:tcW w:w="9628" w:type="dxa"/>
            <w:gridSpan w:val="9"/>
            <w:shd w:val="clear" w:color="auto" w:fill="auto"/>
            <w:noWrap/>
            <w:vAlign w:val="center"/>
            <w:hideMark/>
          </w:tcPr>
          <w:p w14:paraId="66531DB8" w14:textId="542E3CE1" w:rsidR="00235FCD" w:rsidRPr="00235FCD" w:rsidRDefault="00235FCD" w:rsidP="00235FCD">
            <w:pPr>
              <w:jc w:val="center"/>
              <w:rPr>
                <w:b/>
                <w:bCs/>
                <w:sz w:val="20"/>
                <w:szCs w:val="20"/>
              </w:rPr>
            </w:pPr>
            <w:r w:rsidRPr="00235FCD">
              <w:rPr>
                <w:b/>
                <w:bCs/>
                <w:sz w:val="20"/>
                <w:szCs w:val="20"/>
              </w:rPr>
              <w:t>Muscle Damage &amp;Matrix</w:t>
            </w:r>
            <w:r>
              <w:rPr>
                <w:b/>
                <w:bCs/>
                <w:sz w:val="20"/>
                <w:szCs w:val="20"/>
              </w:rPr>
              <w:t xml:space="preserve"> </w:t>
            </w:r>
            <w:r w:rsidRPr="00235FCD">
              <w:rPr>
                <w:b/>
                <w:bCs/>
                <w:sz w:val="20"/>
                <w:szCs w:val="20"/>
              </w:rPr>
              <w:t>Remodeling</w:t>
            </w:r>
            <w:r>
              <w:rPr>
                <w:b/>
                <w:bCs/>
                <w:sz w:val="20"/>
                <w:szCs w:val="20"/>
              </w:rPr>
              <w:t xml:space="preserve"> </w:t>
            </w:r>
            <w:r w:rsidRPr="00235FCD">
              <w:rPr>
                <w:b/>
                <w:bCs/>
                <w:sz w:val="20"/>
                <w:szCs w:val="20"/>
              </w:rPr>
              <w:t>(MDMR)</w:t>
            </w:r>
          </w:p>
        </w:tc>
      </w:tr>
      <w:tr w:rsidR="005675D7" w:rsidRPr="00235FCD" w14:paraId="04C189EE" w14:textId="77777777" w:rsidTr="005675D7">
        <w:trPr>
          <w:trHeight w:val="283"/>
        </w:trPr>
        <w:tc>
          <w:tcPr>
            <w:tcW w:w="1271" w:type="dxa"/>
            <w:shd w:val="clear" w:color="auto" w:fill="auto"/>
            <w:noWrap/>
            <w:vAlign w:val="center"/>
            <w:hideMark/>
          </w:tcPr>
          <w:p w14:paraId="545754E5" w14:textId="77777777" w:rsidR="00235FCD" w:rsidRPr="00235FCD" w:rsidRDefault="00235FCD" w:rsidP="00235FCD">
            <w:pPr>
              <w:rPr>
                <w:b/>
                <w:bCs/>
                <w:sz w:val="20"/>
                <w:szCs w:val="20"/>
              </w:rPr>
            </w:pPr>
            <w:r w:rsidRPr="00235FCD">
              <w:rPr>
                <w:b/>
                <w:bCs/>
                <w:sz w:val="20"/>
                <w:szCs w:val="20"/>
              </w:rPr>
              <w:t>CK-MM</w:t>
            </w:r>
          </w:p>
        </w:tc>
        <w:tc>
          <w:tcPr>
            <w:tcW w:w="2126" w:type="dxa"/>
            <w:shd w:val="clear" w:color="auto" w:fill="auto"/>
            <w:noWrap/>
            <w:vAlign w:val="center"/>
            <w:hideMark/>
          </w:tcPr>
          <w:p w14:paraId="3560AF7B" w14:textId="77777777" w:rsidR="00235FCD" w:rsidRPr="00235FCD" w:rsidRDefault="00235FCD" w:rsidP="00235FCD">
            <w:pPr>
              <w:jc w:val="center"/>
              <w:rPr>
                <w:sz w:val="20"/>
                <w:szCs w:val="20"/>
              </w:rPr>
            </w:pPr>
            <w:r w:rsidRPr="00235FCD">
              <w:rPr>
                <w:sz w:val="20"/>
                <w:szCs w:val="20"/>
              </w:rPr>
              <w:t>0.869 (0.82 to 0.92)</w:t>
            </w:r>
          </w:p>
        </w:tc>
        <w:tc>
          <w:tcPr>
            <w:tcW w:w="993" w:type="dxa"/>
            <w:shd w:val="clear" w:color="auto" w:fill="auto"/>
            <w:noWrap/>
            <w:vAlign w:val="center"/>
            <w:hideMark/>
          </w:tcPr>
          <w:p w14:paraId="5938D6CD" w14:textId="77777777" w:rsidR="00235FCD" w:rsidRPr="00235FCD" w:rsidRDefault="00235FCD" w:rsidP="00235FCD">
            <w:pPr>
              <w:jc w:val="center"/>
              <w:rPr>
                <w:color w:val="000000"/>
                <w:sz w:val="20"/>
                <w:szCs w:val="20"/>
              </w:rPr>
            </w:pPr>
            <w:r w:rsidRPr="00235FCD">
              <w:rPr>
                <w:color w:val="000000"/>
                <w:sz w:val="20"/>
                <w:szCs w:val="20"/>
              </w:rPr>
              <w:t>67.89</w:t>
            </w:r>
          </w:p>
        </w:tc>
        <w:tc>
          <w:tcPr>
            <w:tcW w:w="992" w:type="dxa"/>
            <w:shd w:val="clear" w:color="auto" w:fill="auto"/>
            <w:noWrap/>
            <w:vAlign w:val="center"/>
            <w:hideMark/>
          </w:tcPr>
          <w:p w14:paraId="74955D7F" w14:textId="77777777" w:rsidR="00235FCD" w:rsidRPr="00235FCD" w:rsidRDefault="00235FCD" w:rsidP="00235FCD">
            <w:pPr>
              <w:jc w:val="center"/>
              <w:rPr>
                <w:color w:val="000000"/>
                <w:sz w:val="20"/>
                <w:szCs w:val="20"/>
              </w:rPr>
            </w:pPr>
            <w:r w:rsidRPr="00235FCD">
              <w:rPr>
                <w:color w:val="000000"/>
                <w:sz w:val="20"/>
                <w:szCs w:val="20"/>
              </w:rPr>
              <w:t>87.42</w:t>
            </w:r>
          </w:p>
        </w:tc>
        <w:tc>
          <w:tcPr>
            <w:tcW w:w="992" w:type="dxa"/>
            <w:shd w:val="clear" w:color="auto" w:fill="auto"/>
            <w:noWrap/>
            <w:vAlign w:val="center"/>
            <w:hideMark/>
          </w:tcPr>
          <w:p w14:paraId="2130C7FA" w14:textId="77777777" w:rsidR="00235FCD" w:rsidRPr="00235FCD" w:rsidRDefault="00235FCD" w:rsidP="00235FCD">
            <w:pPr>
              <w:jc w:val="center"/>
              <w:rPr>
                <w:color w:val="000000"/>
                <w:sz w:val="20"/>
                <w:szCs w:val="20"/>
              </w:rPr>
            </w:pPr>
            <w:r w:rsidRPr="00235FCD">
              <w:rPr>
                <w:color w:val="000000"/>
                <w:sz w:val="20"/>
                <w:szCs w:val="20"/>
              </w:rPr>
              <w:t>80.48</w:t>
            </w:r>
          </w:p>
        </w:tc>
        <w:tc>
          <w:tcPr>
            <w:tcW w:w="709" w:type="dxa"/>
            <w:shd w:val="clear" w:color="auto" w:fill="auto"/>
            <w:noWrap/>
            <w:vAlign w:val="center"/>
            <w:hideMark/>
          </w:tcPr>
          <w:p w14:paraId="67747897" w14:textId="77777777" w:rsidR="00235FCD" w:rsidRPr="00235FCD" w:rsidRDefault="00235FCD" w:rsidP="00235FCD">
            <w:pPr>
              <w:jc w:val="center"/>
              <w:rPr>
                <w:color w:val="000000"/>
                <w:sz w:val="20"/>
                <w:szCs w:val="20"/>
              </w:rPr>
            </w:pPr>
            <w:r w:rsidRPr="00235FCD">
              <w:rPr>
                <w:color w:val="000000"/>
                <w:sz w:val="20"/>
                <w:szCs w:val="20"/>
              </w:rPr>
              <w:t>82.42</w:t>
            </w:r>
          </w:p>
        </w:tc>
        <w:tc>
          <w:tcPr>
            <w:tcW w:w="709" w:type="dxa"/>
            <w:shd w:val="clear" w:color="auto" w:fill="auto"/>
            <w:noWrap/>
            <w:vAlign w:val="center"/>
            <w:hideMark/>
          </w:tcPr>
          <w:p w14:paraId="7A433096" w14:textId="77777777" w:rsidR="00235FCD" w:rsidRPr="00235FCD" w:rsidRDefault="00235FCD" w:rsidP="00235FCD">
            <w:pPr>
              <w:jc w:val="center"/>
              <w:rPr>
                <w:color w:val="000000"/>
                <w:sz w:val="20"/>
                <w:szCs w:val="20"/>
              </w:rPr>
            </w:pPr>
            <w:r w:rsidRPr="00235FCD">
              <w:rPr>
                <w:color w:val="000000"/>
                <w:sz w:val="20"/>
                <w:szCs w:val="20"/>
              </w:rPr>
              <w:t>83.41</w:t>
            </w:r>
          </w:p>
        </w:tc>
        <w:tc>
          <w:tcPr>
            <w:tcW w:w="850" w:type="dxa"/>
            <w:shd w:val="clear" w:color="auto" w:fill="auto"/>
            <w:noWrap/>
            <w:vAlign w:val="center"/>
            <w:hideMark/>
          </w:tcPr>
          <w:p w14:paraId="7EABF4BB" w14:textId="77777777" w:rsidR="00235FCD" w:rsidRPr="00235FCD" w:rsidRDefault="00235FCD" w:rsidP="00235FCD">
            <w:pPr>
              <w:jc w:val="center"/>
              <w:rPr>
                <w:color w:val="000000"/>
                <w:sz w:val="20"/>
                <w:szCs w:val="20"/>
              </w:rPr>
            </w:pPr>
            <w:r w:rsidRPr="00235FCD">
              <w:rPr>
                <w:color w:val="000000"/>
                <w:sz w:val="20"/>
                <w:szCs w:val="20"/>
              </w:rPr>
              <w:t>82.91</w:t>
            </w:r>
          </w:p>
        </w:tc>
        <w:tc>
          <w:tcPr>
            <w:tcW w:w="986" w:type="dxa"/>
            <w:shd w:val="clear" w:color="auto" w:fill="auto"/>
            <w:noWrap/>
            <w:vAlign w:val="center"/>
            <w:hideMark/>
          </w:tcPr>
          <w:p w14:paraId="25D8AF15" w14:textId="77777777" w:rsidR="00235FCD" w:rsidRPr="00235FCD" w:rsidRDefault="00235FCD" w:rsidP="00235FCD">
            <w:pPr>
              <w:jc w:val="center"/>
              <w:rPr>
                <w:sz w:val="20"/>
                <w:szCs w:val="20"/>
              </w:rPr>
            </w:pPr>
            <w:r w:rsidRPr="00235FCD">
              <w:rPr>
                <w:sz w:val="20"/>
                <w:szCs w:val="20"/>
              </w:rPr>
              <w:t>120 U/L</w:t>
            </w:r>
          </w:p>
        </w:tc>
      </w:tr>
      <w:tr w:rsidR="005675D7" w:rsidRPr="00235FCD" w14:paraId="4E9C23AA" w14:textId="77777777" w:rsidTr="005675D7">
        <w:trPr>
          <w:trHeight w:val="283"/>
        </w:trPr>
        <w:tc>
          <w:tcPr>
            <w:tcW w:w="1271" w:type="dxa"/>
            <w:shd w:val="clear" w:color="auto" w:fill="auto"/>
            <w:noWrap/>
            <w:vAlign w:val="center"/>
            <w:hideMark/>
          </w:tcPr>
          <w:p w14:paraId="0FD52603" w14:textId="77777777" w:rsidR="00235FCD" w:rsidRPr="00235FCD" w:rsidRDefault="00235FCD" w:rsidP="00235FCD">
            <w:pPr>
              <w:rPr>
                <w:b/>
                <w:bCs/>
                <w:sz w:val="20"/>
                <w:szCs w:val="20"/>
              </w:rPr>
            </w:pPr>
            <w:r w:rsidRPr="00235FCD">
              <w:rPr>
                <w:b/>
                <w:bCs/>
                <w:sz w:val="20"/>
                <w:szCs w:val="20"/>
              </w:rPr>
              <w:t>MMP-9</w:t>
            </w:r>
          </w:p>
        </w:tc>
        <w:tc>
          <w:tcPr>
            <w:tcW w:w="2126" w:type="dxa"/>
            <w:shd w:val="clear" w:color="auto" w:fill="auto"/>
            <w:noWrap/>
            <w:vAlign w:val="center"/>
            <w:hideMark/>
          </w:tcPr>
          <w:p w14:paraId="7F1FFD8E" w14:textId="77777777" w:rsidR="00235FCD" w:rsidRPr="00235FCD" w:rsidRDefault="00235FCD" w:rsidP="00235FCD">
            <w:pPr>
              <w:jc w:val="center"/>
              <w:rPr>
                <w:sz w:val="20"/>
                <w:szCs w:val="20"/>
              </w:rPr>
            </w:pPr>
            <w:r w:rsidRPr="00235FCD">
              <w:rPr>
                <w:sz w:val="20"/>
                <w:szCs w:val="20"/>
              </w:rPr>
              <w:t>0.978 (0.95 to 0.99)</w:t>
            </w:r>
          </w:p>
        </w:tc>
        <w:tc>
          <w:tcPr>
            <w:tcW w:w="993" w:type="dxa"/>
            <w:shd w:val="clear" w:color="auto" w:fill="auto"/>
            <w:noWrap/>
            <w:vAlign w:val="center"/>
            <w:hideMark/>
          </w:tcPr>
          <w:p w14:paraId="094F20D5" w14:textId="77777777" w:rsidR="00235FCD" w:rsidRPr="00235FCD" w:rsidRDefault="00235FCD" w:rsidP="00235FCD">
            <w:pPr>
              <w:jc w:val="center"/>
              <w:rPr>
                <w:color w:val="000000"/>
                <w:sz w:val="20"/>
                <w:szCs w:val="20"/>
              </w:rPr>
            </w:pPr>
            <w:r w:rsidRPr="00235FCD">
              <w:rPr>
                <w:color w:val="000000"/>
                <w:sz w:val="20"/>
                <w:szCs w:val="20"/>
              </w:rPr>
              <w:t>86.11</w:t>
            </w:r>
          </w:p>
        </w:tc>
        <w:tc>
          <w:tcPr>
            <w:tcW w:w="992" w:type="dxa"/>
            <w:shd w:val="clear" w:color="auto" w:fill="auto"/>
            <w:noWrap/>
            <w:vAlign w:val="center"/>
            <w:hideMark/>
          </w:tcPr>
          <w:p w14:paraId="3BAB42C0" w14:textId="77777777" w:rsidR="00235FCD" w:rsidRPr="00235FCD" w:rsidRDefault="00235FCD" w:rsidP="00235FCD">
            <w:pPr>
              <w:jc w:val="center"/>
              <w:rPr>
                <w:color w:val="000000"/>
                <w:sz w:val="20"/>
                <w:szCs w:val="20"/>
              </w:rPr>
            </w:pPr>
            <w:r w:rsidRPr="00235FCD">
              <w:rPr>
                <w:color w:val="000000"/>
                <w:sz w:val="20"/>
                <w:szCs w:val="20"/>
              </w:rPr>
              <w:t>87.96</w:t>
            </w:r>
          </w:p>
        </w:tc>
        <w:tc>
          <w:tcPr>
            <w:tcW w:w="992" w:type="dxa"/>
            <w:shd w:val="clear" w:color="auto" w:fill="auto"/>
            <w:noWrap/>
            <w:vAlign w:val="center"/>
            <w:hideMark/>
          </w:tcPr>
          <w:p w14:paraId="342CA282" w14:textId="77777777" w:rsidR="00235FCD" w:rsidRPr="00235FCD" w:rsidRDefault="00235FCD" w:rsidP="00235FCD">
            <w:pPr>
              <w:jc w:val="center"/>
              <w:rPr>
                <w:color w:val="000000"/>
                <w:sz w:val="20"/>
                <w:szCs w:val="20"/>
              </w:rPr>
            </w:pPr>
            <w:r w:rsidRPr="00235FCD">
              <w:rPr>
                <w:color w:val="000000"/>
                <w:sz w:val="20"/>
                <w:szCs w:val="20"/>
              </w:rPr>
              <w:t>98.15</w:t>
            </w:r>
          </w:p>
        </w:tc>
        <w:tc>
          <w:tcPr>
            <w:tcW w:w="709" w:type="dxa"/>
            <w:shd w:val="clear" w:color="auto" w:fill="auto"/>
            <w:noWrap/>
            <w:vAlign w:val="center"/>
            <w:hideMark/>
          </w:tcPr>
          <w:p w14:paraId="2F631824" w14:textId="77777777" w:rsidR="00235FCD" w:rsidRPr="00235FCD" w:rsidRDefault="00235FCD" w:rsidP="00235FCD">
            <w:pPr>
              <w:jc w:val="center"/>
              <w:rPr>
                <w:color w:val="000000"/>
                <w:sz w:val="20"/>
                <w:szCs w:val="20"/>
              </w:rPr>
            </w:pPr>
            <w:r w:rsidRPr="00235FCD">
              <w:rPr>
                <w:color w:val="000000"/>
                <w:sz w:val="20"/>
                <w:szCs w:val="20"/>
              </w:rPr>
              <w:t>100</w:t>
            </w:r>
          </w:p>
        </w:tc>
        <w:tc>
          <w:tcPr>
            <w:tcW w:w="709" w:type="dxa"/>
            <w:shd w:val="clear" w:color="auto" w:fill="auto"/>
            <w:noWrap/>
            <w:vAlign w:val="center"/>
            <w:hideMark/>
          </w:tcPr>
          <w:p w14:paraId="07A1D86D" w14:textId="77777777" w:rsidR="00235FCD" w:rsidRPr="00235FCD" w:rsidRDefault="00235FCD" w:rsidP="00235FCD">
            <w:pPr>
              <w:jc w:val="center"/>
              <w:rPr>
                <w:color w:val="000000"/>
                <w:sz w:val="20"/>
                <w:szCs w:val="20"/>
              </w:rPr>
            </w:pPr>
            <w:r w:rsidRPr="00235FCD">
              <w:rPr>
                <w:color w:val="000000"/>
                <w:sz w:val="20"/>
                <w:szCs w:val="20"/>
              </w:rPr>
              <w:t>76.6</w:t>
            </w:r>
          </w:p>
        </w:tc>
        <w:tc>
          <w:tcPr>
            <w:tcW w:w="850" w:type="dxa"/>
            <w:shd w:val="clear" w:color="auto" w:fill="auto"/>
            <w:noWrap/>
            <w:vAlign w:val="center"/>
            <w:hideMark/>
          </w:tcPr>
          <w:p w14:paraId="66F87BAD" w14:textId="77777777" w:rsidR="00235FCD" w:rsidRPr="00235FCD" w:rsidRDefault="00235FCD" w:rsidP="00235FCD">
            <w:pPr>
              <w:jc w:val="center"/>
              <w:rPr>
                <w:color w:val="000000"/>
                <w:sz w:val="20"/>
                <w:szCs w:val="20"/>
              </w:rPr>
            </w:pPr>
            <w:r w:rsidRPr="00235FCD">
              <w:rPr>
                <w:color w:val="000000"/>
                <w:sz w:val="20"/>
                <w:szCs w:val="20"/>
              </w:rPr>
              <w:t>84.72</w:t>
            </w:r>
          </w:p>
        </w:tc>
        <w:tc>
          <w:tcPr>
            <w:tcW w:w="986" w:type="dxa"/>
            <w:shd w:val="clear" w:color="auto" w:fill="auto"/>
            <w:noWrap/>
            <w:vAlign w:val="center"/>
            <w:hideMark/>
          </w:tcPr>
          <w:p w14:paraId="65AD90E2" w14:textId="77777777" w:rsidR="00235FCD" w:rsidRPr="00235FCD" w:rsidRDefault="00235FCD" w:rsidP="00235FCD">
            <w:pPr>
              <w:jc w:val="center"/>
              <w:rPr>
                <w:sz w:val="20"/>
                <w:szCs w:val="20"/>
              </w:rPr>
            </w:pPr>
            <w:r w:rsidRPr="00235FCD">
              <w:rPr>
                <w:sz w:val="20"/>
                <w:szCs w:val="20"/>
              </w:rPr>
              <w:t>137 ng/ml</w:t>
            </w:r>
          </w:p>
        </w:tc>
      </w:tr>
      <w:tr w:rsidR="00235FCD" w:rsidRPr="00235FCD" w14:paraId="43C7C1A4" w14:textId="77777777" w:rsidTr="005675D7">
        <w:trPr>
          <w:trHeight w:val="283"/>
        </w:trPr>
        <w:tc>
          <w:tcPr>
            <w:tcW w:w="9628" w:type="dxa"/>
            <w:gridSpan w:val="9"/>
            <w:shd w:val="clear" w:color="auto" w:fill="auto"/>
            <w:noWrap/>
            <w:vAlign w:val="center"/>
            <w:hideMark/>
          </w:tcPr>
          <w:p w14:paraId="57110A5F" w14:textId="6703DC35" w:rsidR="00235FCD" w:rsidRPr="00235FCD" w:rsidRDefault="00235FCD" w:rsidP="00235FCD">
            <w:pPr>
              <w:jc w:val="center"/>
              <w:rPr>
                <w:b/>
                <w:bCs/>
                <w:sz w:val="20"/>
                <w:szCs w:val="20"/>
              </w:rPr>
            </w:pPr>
            <w:r w:rsidRPr="00235FCD">
              <w:rPr>
                <w:b/>
                <w:bCs/>
                <w:sz w:val="20"/>
                <w:szCs w:val="20"/>
              </w:rPr>
              <w:t>Oxidative Stress</w:t>
            </w:r>
            <w:r>
              <w:rPr>
                <w:b/>
                <w:bCs/>
                <w:sz w:val="20"/>
                <w:szCs w:val="20"/>
              </w:rPr>
              <w:t xml:space="preserve"> </w:t>
            </w:r>
            <w:r w:rsidRPr="00235FCD">
              <w:rPr>
                <w:b/>
                <w:bCs/>
                <w:sz w:val="20"/>
                <w:szCs w:val="20"/>
              </w:rPr>
              <w:t>&amp;</w:t>
            </w:r>
            <w:r>
              <w:rPr>
                <w:b/>
                <w:bCs/>
                <w:sz w:val="20"/>
                <w:szCs w:val="20"/>
              </w:rPr>
              <w:t xml:space="preserve"> </w:t>
            </w:r>
            <w:r w:rsidRPr="00235FCD">
              <w:rPr>
                <w:b/>
                <w:bCs/>
                <w:sz w:val="20"/>
                <w:szCs w:val="20"/>
              </w:rPr>
              <w:t>Cellular Damage (OSCD)</w:t>
            </w:r>
          </w:p>
        </w:tc>
      </w:tr>
      <w:tr w:rsidR="005675D7" w:rsidRPr="00235FCD" w14:paraId="6D7AA391" w14:textId="77777777" w:rsidTr="005675D7">
        <w:trPr>
          <w:trHeight w:val="283"/>
        </w:trPr>
        <w:tc>
          <w:tcPr>
            <w:tcW w:w="1271" w:type="dxa"/>
            <w:shd w:val="clear" w:color="auto" w:fill="auto"/>
            <w:noWrap/>
            <w:vAlign w:val="center"/>
            <w:hideMark/>
          </w:tcPr>
          <w:p w14:paraId="615C9654" w14:textId="77777777" w:rsidR="00235FCD" w:rsidRPr="00235FCD" w:rsidRDefault="00235FCD" w:rsidP="00235FCD">
            <w:pPr>
              <w:rPr>
                <w:b/>
                <w:bCs/>
                <w:sz w:val="20"/>
                <w:szCs w:val="20"/>
              </w:rPr>
            </w:pPr>
            <w:r w:rsidRPr="00235FCD">
              <w:rPr>
                <w:b/>
                <w:bCs/>
                <w:sz w:val="20"/>
                <w:szCs w:val="20"/>
              </w:rPr>
              <w:t>MDA</w:t>
            </w:r>
          </w:p>
        </w:tc>
        <w:tc>
          <w:tcPr>
            <w:tcW w:w="2126" w:type="dxa"/>
            <w:shd w:val="clear" w:color="auto" w:fill="auto"/>
            <w:noWrap/>
            <w:vAlign w:val="center"/>
            <w:hideMark/>
          </w:tcPr>
          <w:p w14:paraId="380007FB" w14:textId="77777777" w:rsidR="00235FCD" w:rsidRPr="00235FCD" w:rsidRDefault="00235FCD" w:rsidP="00235FCD">
            <w:pPr>
              <w:jc w:val="center"/>
              <w:rPr>
                <w:sz w:val="20"/>
                <w:szCs w:val="20"/>
              </w:rPr>
            </w:pPr>
            <w:r w:rsidRPr="00235FCD">
              <w:rPr>
                <w:sz w:val="20"/>
                <w:szCs w:val="20"/>
              </w:rPr>
              <w:t>0.980 (0.96 to 0.99)</w:t>
            </w:r>
          </w:p>
        </w:tc>
        <w:tc>
          <w:tcPr>
            <w:tcW w:w="993" w:type="dxa"/>
            <w:shd w:val="clear" w:color="auto" w:fill="auto"/>
            <w:noWrap/>
            <w:vAlign w:val="center"/>
            <w:hideMark/>
          </w:tcPr>
          <w:p w14:paraId="743EFE80" w14:textId="77777777" w:rsidR="00235FCD" w:rsidRPr="00235FCD" w:rsidRDefault="00235FCD" w:rsidP="00235FCD">
            <w:pPr>
              <w:jc w:val="center"/>
              <w:rPr>
                <w:color w:val="000000"/>
                <w:sz w:val="20"/>
                <w:szCs w:val="20"/>
              </w:rPr>
            </w:pPr>
            <w:r w:rsidRPr="00235FCD">
              <w:rPr>
                <w:color w:val="000000"/>
                <w:sz w:val="20"/>
                <w:szCs w:val="20"/>
              </w:rPr>
              <w:t>90.74</w:t>
            </w:r>
          </w:p>
        </w:tc>
        <w:tc>
          <w:tcPr>
            <w:tcW w:w="992" w:type="dxa"/>
            <w:shd w:val="clear" w:color="auto" w:fill="auto"/>
            <w:noWrap/>
            <w:vAlign w:val="center"/>
            <w:hideMark/>
          </w:tcPr>
          <w:p w14:paraId="2FB657EE" w14:textId="77777777" w:rsidR="00235FCD" w:rsidRPr="00235FCD" w:rsidRDefault="00235FCD" w:rsidP="00235FCD">
            <w:pPr>
              <w:jc w:val="center"/>
              <w:rPr>
                <w:color w:val="000000"/>
                <w:sz w:val="20"/>
                <w:szCs w:val="20"/>
              </w:rPr>
            </w:pPr>
            <w:r w:rsidRPr="00235FCD">
              <w:rPr>
                <w:color w:val="000000"/>
                <w:sz w:val="20"/>
                <w:szCs w:val="20"/>
              </w:rPr>
              <w:t>98.14</w:t>
            </w:r>
          </w:p>
        </w:tc>
        <w:tc>
          <w:tcPr>
            <w:tcW w:w="992" w:type="dxa"/>
            <w:shd w:val="clear" w:color="auto" w:fill="auto"/>
            <w:noWrap/>
            <w:vAlign w:val="center"/>
            <w:hideMark/>
          </w:tcPr>
          <w:p w14:paraId="015820CD" w14:textId="77777777" w:rsidR="00235FCD" w:rsidRPr="00235FCD" w:rsidRDefault="00235FCD" w:rsidP="00235FCD">
            <w:pPr>
              <w:jc w:val="center"/>
              <w:rPr>
                <w:color w:val="000000"/>
                <w:sz w:val="20"/>
                <w:szCs w:val="20"/>
              </w:rPr>
            </w:pPr>
            <w:r w:rsidRPr="00235FCD">
              <w:rPr>
                <w:color w:val="000000"/>
                <w:sz w:val="20"/>
                <w:szCs w:val="20"/>
              </w:rPr>
              <w:t>92.59</w:t>
            </w:r>
          </w:p>
        </w:tc>
        <w:tc>
          <w:tcPr>
            <w:tcW w:w="709" w:type="dxa"/>
            <w:shd w:val="clear" w:color="auto" w:fill="auto"/>
            <w:noWrap/>
            <w:vAlign w:val="center"/>
            <w:hideMark/>
          </w:tcPr>
          <w:p w14:paraId="2CEF1C0F" w14:textId="77777777" w:rsidR="00235FCD" w:rsidRPr="00235FCD" w:rsidRDefault="00235FCD" w:rsidP="00235FCD">
            <w:pPr>
              <w:jc w:val="center"/>
              <w:rPr>
                <w:color w:val="000000"/>
                <w:sz w:val="20"/>
                <w:szCs w:val="20"/>
              </w:rPr>
            </w:pPr>
            <w:r w:rsidRPr="00235FCD">
              <w:rPr>
                <w:color w:val="000000"/>
                <w:sz w:val="20"/>
                <w:szCs w:val="20"/>
              </w:rPr>
              <w:t>94.34</w:t>
            </w:r>
          </w:p>
        </w:tc>
        <w:tc>
          <w:tcPr>
            <w:tcW w:w="709" w:type="dxa"/>
            <w:shd w:val="clear" w:color="auto" w:fill="auto"/>
            <w:noWrap/>
            <w:vAlign w:val="center"/>
            <w:hideMark/>
          </w:tcPr>
          <w:p w14:paraId="6C143F25" w14:textId="77777777" w:rsidR="00235FCD" w:rsidRPr="00235FCD" w:rsidRDefault="00235FCD" w:rsidP="00235FCD">
            <w:pPr>
              <w:jc w:val="center"/>
              <w:rPr>
                <w:color w:val="000000"/>
                <w:sz w:val="20"/>
                <w:szCs w:val="20"/>
              </w:rPr>
            </w:pPr>
            <w:r w:rsidRPr="00235FCD">
              <w:rPr>
                <w:color w:val="000000"/>
                <w:sz w:val="20"/>
                <w:szCs w:val="20"/>
              </w:rPr>
              <w:t>92.73</w:t>
            </w:r>
          </w:p>
        </w:tc>
        <w:tc>
          <w:tcPr>
            <w:tcW w:w="850" w:type="dxa"/>
            <w:shd w:val="clear" w:color="auto" w:fill="auto"/>
            <w:noWrap/>
            <w:vAlign w:val="center"/>
            <w:hideMark/>
          </w:tcPr>
          <w:p w14:paraId="5FC74FA9" w14:textId="77777777" w:rsidR="00235FCD" w:rsidRPr="00235FCD" w:rsidRDefault="00235FCD" w:rsidP="00235FCD">
            <w:pPr>
              <w:jc w:val="center"/>
              <w:rPr>
                <w:color w:val="000000"/>
                <w:sz w:val="20"/>
                <w:szCs w:val="20"/>
              </w:rPr>
            </w:pPr>
            <w:r w:rsidRPr="00235FCD">
              <w:rPr>
                <w:color w:val="000000"/>
                <w:sz w:val="20"/>
                <w:szCs w:val="20"/>
              </w:rPr>
              <w:t>93.52</w:t>
            </w:r>
          </w:p>
        </w:tc>
        <w:tc>
          <w:tcPr>
            <w:tcW w:w="986" w:type="dxa"/>
            <w:shd w:val="clear" w:color="auto" w:fill="auto"/>
            <w:noWrap/>
            <w:vAlign w:val="center"/>
            <w:hideMark/>
          </w:tcPr>
          <w:p w14:paraId="7C47E720" w14:textId="77777777" w:rsidR="00235FCD" w:rsidRPr="00235FCD" w:rsidRDefault="00235FCD" w:rsidP="00235FCD">
            <w:pPr>
              <w:jc w:val="center"/>
              <w:rPr>
                <w:sz w:val="20"/>
                <w:szCs w:val="20"/>
              </w:rPr>
            </w:pPr>
            <w:r w:rsidRPr="00235FCD">
              <w:rPr>
                <w:sz w:val="20"/>
                <w:szCs w:val="20"/>
              </w:rPr>
              <w:t>3 nmol/ml</w:t>
            </w:r>
          </w:p>
        </w:tc>
      </w:tr>
      <w:tr w:rsidR="00235FCD" w:rsidRPr="00235FCD" w14:paraId="3BAA0F3E" w14:textId="77777777" w:rsidTr="005675D7">
        <w:trPr>
          <w:trHeight w:val="283"/>
        </w:trPr>
        <w:tc>
          <w:tcPr>
            <w:tcW w:w="9628" w:type="dxa"/>
            <w:gridSpan w:val="9"/>
            <w:shd w:val="clear" w:color="auto" w:fill="auto"/>
            <w:noWrap/>
            <w:vAlign w:val="center"/>
            <w:hideMark/>
          </w:tcPr>
          <w:p w14:paraId="14E1F614" w14:textId="1A23C0B0" w:rsidR="00235FCD" w:rsidRPr="00235FCD" w:rsidRDefault="00235FCD" w:rsidP="00235FCD">
            <w:pPr>
              <w:jc w:val="center"/>
              <w:rPr>
                <w:b/>
                <w:bCs/>
                <w:sz w:val="20"/>
                <w:szCs w:val="20"/>
              </w:rPr>
            </w:pPr>
            <w:r w:rsidRPr="00235FCD">
              <w:rPr>
                <w:b/>
                <w:bCs/>
                <w:sz w:val="20"/>
                <w:szCs w:val="20"/>
              </w:rPr>
              <w:t>Neurotrophic Regulation</w:t>
            </w:r>
            <w:r>
              <w:rPr>
                <w:b/>
                <w:bCs/>
                <w:sz w:val="20"/>
                <w:szCs w:val="20"/>
              </w:rPr>
              <w:t xml:space="preserve"> </w:t>
            </w:r>
            <w:r w:rsidRPr="00235FCD">
              <w:rPr>
                <w:b/>
                <w:bCs/>
                <w:sz w:val="20"/>
                <w:szCs w:val="20"/>
              </w:rPr>
              <w:t>(NTR)</w:t>
            </w:r>
          </w:p>
        </w:tc>
      </w:tr>
      <w:tr w:rsidR="005675D7" w:rsidRPr="00235FCD" w14:paraId="7961DED8" w14:textId="77777777" w:rsidTr="005675D7">
        <w:trPr>
          <w:trHeight w:val="283"/>
        </w:trPr>
        <w:tc>
          <w:tcPr>
            <w:tcW w:w="1271" w:type="dxa"/>
            <w:shd w:val="clear" w:color="auto" w:fill="auto"/>
            <w:noWrap/>
            <w:vAlign w:val="center"/>
            <w:hideMark/>
          </w:tcPr>
          <w:p w14:paraId="06179D49" w14:textId="77777777" w:rsidR="00235FCD" w:rsidRPr="00235FCD" w:rsidRDefault="00235FCD" w:rsidP="00235FCD">
            <w:pPr>
              <w:rPr>
                <w:b/>
                <w:bCs/>
                <w:sz w:val="20"/>
                <w:szCs w:val="20"/>
              </w:rPr>
            </w:pPr>
            <w:r w:rsidRPr="00235FCD">
              <w:rPr>
                <w:b/>
                <w:bCs/>
                <w:sz w:val="20"/>
                <w:szCs w:val="20"/>
              </w:rPr>
              <w:t>BDNF</w:t>
            </w:r>
          </w:p>
        </w:tc>
        <w:tc>
          <w:tcPr>
            <w:tcW w:w="2126" w:type="dxa"/>
            <w:shd w:val="clear" w:color="auto" w:fill="auto"/>
            <w:noWrap/>
            <w:vAlign w:val="center"/>
            <w:hideMark/>
          </w:tcPr>
          <w:p w14:paraId="52F9B23D" w14:textId="77777777" w:rsidR="00235FCD" w:rsidRPr="00235FCD" w:rsidRDefault="00235FCD" w:rsidP="00235FCD">
            <w:pPr>
              <w:jc w:val="center"/>
              <w:rPr>
                <w:sz w:val="20"/>
                <w:szCs w:val="20"/>
              </w:rPr>
            </w:pPr>
            <w:r w:rsidRPr="00235FCD">
              <w:rPr>
                <w:sz w:val="20"/>
                <w:szCs w:val="20"/>
              </w:rPr>
              <w:t>0.995 (0.98 to 1.00)</w:t>
            </w:r>
          </w:p>
        </w:tc>
        <w:tc>
          <w:tcPr>
            <w:tcW w:w="993" w:type="dxa"/>
            <w:shd w:val="clear" w:color="auto" w:fill="auto"/>
            <w:noWrap/>
            <w:vAlign w:val="center"/>
            <w:hideMark/>
          </w:tcPr>
          <w:p w14:paraId="5037BB41" w14:textId="77777777" w:rsidR="00235FCD" w:rsidRPr="00235FCD" w:rsidRDefault="00235FCD" w:rsidP="00235FCD">
            <w:pPr>
              <w:jc w:val="center"/>
              <w:rPr>
                <w:color w:val="000000"/>
                <w:sz w:val="20"/>
                <w:szCs w:val="20"/>
              </w:rPr>
            </w:pPr>
            <w:r w:rsidRPr="00235FCD">
              <w:rPr>
                <w:color w:val="000000"/>
                <w:sz w:val="20"/>
                <w:szCs w:val="20"/>
              </w:rPr>
              <w:t>93.52</w:t>
            </w:r>
          </w:p>
        </w:tc>
        <w:tc>
          <w:tcPr>
            <w:tcW w:w="992" w:type="dxa"/>
            <w:shd w:val="clear" w:color="auto" w:fill="auto"/>
            <w:noWrap/>
            <w:vAlign w:val="center"/>
            <w:hideMark/>
          </w:tcPr>
          <w:p w14:paraId="05179870" w14:textId="77777777" w:rsidR="00235FCD" w:rsidRPr="00235FCD" w:rsidRDefault="00235FCD" w:rsidP="00235FCD">
            <w:pPr>
              <w:jc w:val="center"/>
              <w:rPr>
                <w:color w:val="000000"/>
                <w:sz w:val="20"/>
                <w:szCs w:val="20"/>
              </w:rPr>
            </w:pPr>
            <w:r w:rsidRPr="00235FCD">
              <w:rPr>
                <w:color w:val="000000"/>
                <w:sz w:val="20"/>
                <w:szCs w:val="20"/>
              </w:rPr>
              <w:t>98.15</w:t>
            </w:r>
          </w:p>
        </w:tc>
        <w:tc>
          <w:tcPr>
            <w:tcW w:w="992" w:type="dxa"/>
            <w:shd w:val="clear" w:color="auto" w:fill="auto"/>
            <w:noWrap/>
            <w:vAlign w:val="center"/>
            <w:hideMark/>
          </w:tcPr>
          <w:p w14:paraId="753FC2C5" w14:textId="77777777" w:rsidR="00235FCD" w:rsidRPr="00235FCD" w:rsidRDefault="00235FCD" w:rsidP="00235FCD">
            <w:pPr>
              <w:jc w:val="center"/>
              <w:rPr>
                <w:color w:val="000000"/>
                <w:sz w:val="20"/>
                <w:szCs w:val="20"/>
              </w:rPr>
            </w:pPr>
            <w:r w:rsidRPr="00235FCD">
              <w:rPr>
                <w:color w:val="000000"/>
                <w:sz w:val="20"/>
                <w:szCs w:val="20"/>
              </w:rPr>
              <w:t>95.37</w:t>
            </w:r>
          </w:p>
        </w:tc>
        <w:tc>
          <w:tcPr>
            <w:tcW w:w="709" w:type="dxa"/>
            <w:shd w:val="clear" w:color="auto" w:fill="auto"/>
            <w:noWrap/>
            <w:vAlign w:val="center"/>
            <w:hideMark/>
          </w:tcPr>
          <w:p w14:paraId="2A2007B6" w14:textId="77777777" w:rsidR="00235FCD" w:rsidRPr="00235FCD" w:rsidRDefault="00235FCD" w:rsidP="00235FCD">
            <w:pPr>
              <w:jc w:val="center"/>
              <w:rPr>
                <w:color w:val="000000"/>
                <w:sz w:val="20"/>
                <w:szCs w:val="20"/>
              </w:rPr>
            </w:pPr>
            <w:r w:rsidRPr="00235FCD">
              <w:rPr>
                <w:color w:val="000000"/>
                <w:sz w:val="20"/>
                <w:szCs w:val="20"/>
              </w:rPr>
              <w:t>97.2</w:t>
            </w:r>
          </w:p>
        </w:tc>
        <w:tc>
          <w:tcPr>
            <w:tcW w:w="709" w:type="dxa"/>
            <w:shd w:val="clear" w:color="auto" w:fill="auto"/>
            <w:noWrap/>
            <w:vAlign w:val="center"/>
            <w:hideMark/>
          </w:tcPr>
          <w:p w14:paraId="29D4AC9B" w14:textId="77777777" w:rsidR="00235FCD" w:rsidRPr="00235FCD" w:rsidRDefault="00235FCD" w:rsidP="00235FCD">
            <w:pPr>
              <w:jc w:val="center"/>
              <w:rPr>
                <w:color w:val="000000"/>
                <w:sz w:val="20"/>
                <w:szCs w:val="20"/>
              </w:rPr>
            </w:pPr>
            <w:r w:rsidRPr="00235FCD">
              <w:rPr>
                <w:color w:val="000000"/>
                <w:sz w:val="20"/>
                <w:szCs w:val="20"/>
              </w:rPr>
              <w:t>96.33</w:t>
            </w:r>
          </w:p>
        </w:tc>
        <w:tc>
          <w:tcPr>
            <w:tcW w:w="850" w:type="dxa"/>
            <w:shd w:val="clear" w:color="auto" w:fill="auto"/>
            <w:noWrap/>
            <w:vAlign w:val="center"/>
            <w:hideMark/>
          </w:tcPr>
          <w:p w14:paraId="5EEE87D4" w14:textId="77777777" w:rsidR="00235FCD" w:rsidRPr="00235FCD" w:rsidRDefault="00235FCD" w:rsidP="00235FCD">
            <w:pPr>
              <w:jc w:val="center"/>
              <w:rPr>
                <w:color w:val="000000"/>
                <w:sz w:val="20"/>
                <w:szCs w:val="20"/>
              </w:rPr>
            </w:pPr>
            <w:r w:rsidRPr="00235FCD">
              <w:rPr>
                <w:color w:val="000000"/>
                <w:sz w:val="20"/>
                <w:szCs w:val="20"/>
              </w:rPr>
              <w:t>96.76</w:t>
            </w:r>
          </w:p>
        </w:tc>
        <w:tc>
          <w:tcPr>
            <w:tcW w:w="986" w:type="dxa"/>
            <w:shd w:val="clear" w:color="auto" w:fill="auto"/>
            <w:noWrap/>
            <w:vAlign w:val="center"/>
            <w:hideMark/>
          </w:tcPr>
          <w:p w14:paraId="7FDDC1D4" w14:textId="77777777" w:rsidR="00235FCD" w:rsidRPr="00235FCD" w:rsidRDefault="00235FCD" w:rsidP="00235FCD">
            <w:pPr>
              <w:jc w:val="center"/>
              <w:rPr>
                <w:sz w:val="20"/>
                <w:szCs w:val="20"/>
              </w:rPr>
            </w:pPr>
            <w:r w:rsidRPr="00235FCD">
              <w:rPr>
                <w:sz w:val="20"/>
                <w:szCs w:val="20"/>
              </w:rPr>
              <w:t>24 ng/ml</w:t>
            </w:r>
          </w:p>
        </w:tc>
      </w:tr>
      <w:tr w:rsidR="005675D7" w:rsidRPr="00235FCD" w14:paraId="681E657A" w14:textId="77777777" w:rsidTr="005675D7">
        <w:trPr>
          <w:trHeight w:val="283"/>
        </w:trPr>
        <w:tc>
          <w:tcPr>
            <w:tcW w:w="1271" w:type="dxa"/>
            <w:shd w:val="clear" w:color="auto" w:fill="auto"/>
            <w:noWrap/>
            <w:vAlign w:val="center"/>
            <w:hideMark/>
          </w:tcPr>
          <w:p w14:paraId="3AAEF5FC" w14:textId="77777777" w:rsidR="00235FCD" w:rsidRPr="00235FCD" w:rsidRDefault="00235FCD" w:rsidP="00235FCD">
            <w:pPr>
              <w:rPr>
                <w:b/>
                <w:bCs/>
                <w:sz w:val="20"/>
                <w:szCs w:val="20"/>
              </w:rPr>
            </w:pPr>
            <w:r w:rsidRPr="00235FCD">
              <w:rPr>
                <w:b/>
                <w:bCs/>
                <w:sz w:val="20"/>
                <w:szCs w:val="20"/>
              </w:rPr>
              <w:t>NGF</w:t>
            </w:r>
          </w:p>
        </w:tc>
        <w:tc>
          <w:tcPr>
            <w:tcW w:w="2126" w:type="dxa"/>
            <w:shd w:val="clear" w:color="auto" w:fill="auto"/>
            <w:noWrap/>
            <w:vAlign w:val="center"/>
            <w:hideMark/>
          </w:tcPr>
          <w:p w14:paraId="651FA594" w14:textId="77777777" w:rsidR="00235FCD" w:rsidRPr="00235FCD" w:rsidRDefault="00235FCD" w:rsidP="00235FCD">
            <w:pPr>
              <w:jc w:val="center"/>
              <w:rPr>
                <w:sz w:val="20"/>
                <w:szCs w:val="20"/>
              </w:rPr>
            </w:pPr>
            <w:r w:rsidRPr="00235FCD">
              <w:rPr>
                <w:sz w:val="20"/>
                <w:szCs w:val="20"/>
              </w:rPr>
              <w:t>0.977 (0.96 to 0.99)</w:t>
            </w:r>
          </w:p>
        </w:tc>
        <w:tc>
          <w:tcPr>
            <w:tcW w:w="993" w:type="dxa"/>
            <w:shd w:val="clear" w:color="auto" w:fill="auto"/>
            <w:noWrap/>
            <w:vAlign w:val="center"/>
            <w:hideMark/>
          </w:tcPr>
          <w:p w14:paraId="0A20013A" w14:textId="77777777" w:rsidR="00235FCD" w:rsidRPr="00235FCD" w:rsidRDefault="00235FCD" w:rsidP="00235FCD">
            <w:pPr>
              <w:jc w:val="center"/>
              <w:rPr>
                <w:color w:val="000000"/>
                <w:sz w:val="20"/>
                <w:szCs w:val="20"/>
              </w:rPr>
            </w:pPr>
            <w:r w:rsidRPr="00235FCD">
              <w:rPr>
                <w:color w:val="000000"/>
                <w:sz w:val="20"/>
                <w:szCs w:val="20"/>
              </w:rPr>
              <w:t>84.26</w:t>
            </w:r>
          </w:p>
        </w:tc>
        <w:tc>
          <w:tcPr>
            <w:tcW w:w="992" w:type="dxa"/>
            <w:shd w:val="clear" w:color="auto" w:fill="auto"/>
            <w:noWrap/>
            <w:vAlign w:val="center"/>
            <w:hideMark/>
          </w:tcPr>
          <w:p w14:paraId="08DBB51D" w14:textId="77777777" w:rsidR="00235FCD" w:rsidRPr="00235FCD" w:rsidRDefault="00235FCD" w:rsidP="00235FCD">
            <w:pPr>
              <w:jc w:val="center"/>
              <w:rPr>
                <w:color w:val="000000"/>
                <w:sz w:val="20"/>
                <w:szCs w:val="20"/>
              </w:rPr>
            </w:pPr>
            <w:r w:rsidRPr="00235FCD">
              <w:rPr>
                <w:color w:val="000000"/>
                <w:sz w:val="20"/>
                <w:szCs w:val="20"/>
              </w:rPr>
              <w:t>97.22</w:t>
            </w:r>
          </w:p>
        </w:tc>
        <w:tc>
          <w:tcPr>
            <w:tcW w:w="992" w:type="dxa"/>
            <w:shd w:val="clear" w:color="auto" w:fill="auto"/>
            <w:noWrap/>
            <w:vAlign w:val="center"/>
            <w:hideMark/>
          </w:tcPr>
          <w:p w14:paraId="6FBFBEFF" w14:textId="77777777" w:rsidR="00235FCD" w:rsidRPr="00235FCD" w:rsidRDefault="00235FCD" w:rsidP="00235FCD">
            <w:pPr>
              <w:jc w:val="center"/>
              <w:rPr>
                <w:color w:val="000000"/>
                <w:sz w:val="20"/>
                <w:szCs w:val="20"/>
              </w:rPr>
            </w:pPr>
            <w:r w:rsidRPr="00235FCD">
              <w:rPr>
                <w:color w:val="000000"/>
                <w:sz w:val="20"/>
                <w:szCs w:val="20"/>
              </w:rPr>
              <w:t>87.04</w:t>
            </w:r>
          </w:p>
        </w:tc>
        <w:tc>
          <w:tcPr>
            <w:tcW w:w="709" w:type="dxa"/>
            <w:shd w:val="clear" w:color="auto" w:fill="auto"/>
            <w:noWrap/>
            <w:vAlign w:val="center"/>
            <w:hideMark/>
          </w:tcPr>
          <w:p w14:paraId="2A0F35F3" w14:textId="77777777" w:rsidR="00235FCD" w:rsidRPr="00235FCD" w:rsidRDefault="00235FCD" w:rsidP="00235FCD">
            <w:pPr>
              <w:jc w:val="center"/>
              <w:rPr>
                <w:color w:val="000000"/>
                <w:sz w:val="20"/>
                <w:szCs w:val="20"/>
              </w:rPr>
            </w:pPr>
            <w:r w:rsidRPr="00235FCD">
              <w:rPr>
                <w:color w:val="000000"/>
                <w:sz w:val="20"/>
                <w:szCs w:val="20"/>
              </w:rPr>
              <w:t>95.79</w:t>
            </w:r>
          </w:p>
        </w:tc>
        <w:tc>
          <w:tcPr>
            <w:tcW w:w="709" w:type="dxa"/>
            <w:shd w:val="clear" w:color="auto" w:fill="auto"/>
            <w:noWrap/>
            <w:vAlign w:val="center"/>
            <w:hideMark/>
          </w:tcPr>
          <w:p w14:paraId="249561C1" w14:textId="77777777" w:rsidR="00235FCD" w:rsidRPr="00235FCD" w:rsidRDefault="00235FCD" w:rsidP="00235FCD">
            <w:pPr>
              <w:jc w:val="center"/>
              <w:rPr>
                <w:color w:val="000000"/>
                <w:sz w:val="20"/>
                <w:szCs w:val="20"/>
              </w:rPr>
            </w:pPr>
            <w:r w:rsidRPr="00235FCD">
              <w:rPr>
                <w:color w:val="000000"/>
                <w:sz w:val="20"/>
                <w:szCs w:val="20"/>
              </w:rPr>
              <w:t>85.95</w:t>
            </w:r>
          </w:p>
        </w:tc>
        <w:tc>
          <w:tcPr>
            <w:tcW w:w="850" w:type="dxa"/>
            <w:shd w:val="clear" w:color="auto" w:fill="auto"/>
            <w:noWrap/>
            <w:vAlign w:val="center"/>
            <w:hideMark/>
          </w:tcPr>
          <w:p w14:paraId="11D3DE9D" w14:textId="77777777" w:rsidR="00235FCD" w:rsidRPr="00235FCD" w:rsidRDefault="00235FCD" w:rsidP="00235FCD">
            <w:pPr>
              <w:jc w:val="center"/>
              <w:rPr>
                <w:color w:val="000000"/>
                <w:sz w:val="20"/>
                <w:szCs w:val="20"/>
              </w:rPr>
            </w:pPr>
            <w:r w:rsidRPr="00235FCD">
              <w:rPr>
                <w:color w:val="000000"/>
                <w:sz w:val="20"/>
                <w:szCs w:val="20"/>
              </w:rPr>
              <w:t>90.28</w:t>
            </w:r>
          </w:p>
        </w:tc>
        <w:tc>
          <w:tcPr>
            <w:tcW w:w="986" w:type="dxa"/>
            <w:shd w:val="clear" w:color="auto" w:fill="auto"/>
            <w:noWrap/>
            <w:vAlign w:val="center"/>
            <w:hideMark/>
          </w:tcPr>
          <w:p w14:paraId="080FFB0A" w14:textId="77777777" w:rsidR="00235FCD" w:rsidRPr="00235FCD" w:rsidRDefault="00235FCD" w:rsidP="00235FCD">
            <w:pPr>
              <w:jc w:val="center"/>
              <w:rPr>
                <w:sz w:val="20"/>
                <w:szCs w:val="20"/>
              </w:rPr>
            </w:pPr>
            <w:r w:rsidRPr="00235FCD">
              <w:rPr>
                <w:sz w:val="20"/>
                <w:szCs w:val="20"/>
              </w:rPr>
              <w:t>80ng/ml</w:t>
            </w:r>
          </w:p>
        </w:tc>
      </w:tr>
      <w:tr w:rsidR="00235FCD" w:rsidRPr="00235FCD" w14:paraId="2562DDF1" w14:textId="77777777" w:rsidTr="005675D7">
        <w:trPr>
          <w:trHeight w:val="283"/>
        </w:trPr>
        <w:tc>
          <w:tcPr>
            <w:tcW w:w="9628" w:type="dxa"/>
            <w:gridSpan w:val="9"/>
            <w:shd w:val="clear" w:color="auto" w:fill="auto"/>
            <w:noWrap/>
            <w:vAlign w:val="center"/>
            <w:hideMark/>
          </w:tcPr>
          <w:p w14:paraId="7127F805" w14:textId="68A3D4D6" w:rsidR="00235FCD" w:rsidRPr="00235FCD" w:rsidRDefault="00235FCD" w:rsidP="00235FCD">
            <w:pPr>
              <w:jc w:val="center"/>
              <w:rPr>
                <w:b/>
                <w:bCs/>
                <w:sz w:val="20"/>
                <w:szCs w:val="20"/>
              </w:rPr>
            </w:pPr>
            <w:r w:rsidRPr="00235FCD">
              <w:rPr>
                <w:b/>
                <w:bCs/>
                <w:sz w:val="20"/>
                <w:szCs w:val="20"/>
              </w:rPr>
              <w:t>Neuroglial Activation</w:t>
            </w:r>
            <w:r>
              <w:rPr>
                <w:b/>
                <w:bCs/>
                <w:sz w:val="20"/>
                <w:szCs w:val="20"/>
              </w:rPr>
              <w:t xml:space="preserve"> </w:t>
            </w:r>
            <w:r w:rsidRPr="00235FCD">
              <w:rPr>
                <w:b/>
                <w:bCs/>
                <w:sz w:val="20"/>
                <w:szCs w:val="20"/>
              </w:rPr>
              <w:t>(NGA)</w:t>
            </w:r>
          </w:p>
        </w:tc>
      </w:tr>
      <w:tr w:rsidR="005675D7" w:rsidRPr="00235FCD" w14:paraId="05DE8EC2" w14:textId="77777777" w:rsidTr="005675D7">
        <w:trPr>
          <w:trHeight w:val="283"/>
        </w:trPr>
        <w:tc>
          <w:tcPr>
            <w:tcW w:w="1271" w:type="dxa"/>
            <w:shd w:val="clear" w:color="auto" w:fill="auto"/>
            <w:noWrap/>
            <w:vAlign w:val="center"/>
            <w:hideMark/>
          </w:tcPr>
          <w:p w14:paraId="5CE91F6B" w14:textId="77777777" w:rsidR="00235FCD" w:rsidRPr="00235FCD" w:rsidRDefault="00235FCD" w:rsidP="00235FCD">
            <w:pPr>
              <w:rPr>
                <w:b/>
                <w:bCs/>
                <w:sz w:val="20"/>
                <w:szCs w:val="20"/>
              </w:rPr>
            </w:pPr>
            <w:r w:rsidRPr="00235FCD">
              <w:rPr>
                <w:b/>
                <w:bCs/>
                <w:sz w:val="20"/>
                <w:szCs w:val="20"/>
              </w:rPr>
              <w:t>SP</w:t>
            </w:r>
          </w:p>
        </w:tc>
        <w:tc>
          <w:tcPr>
            <w:tcW w:w="2126" w:type="dxa"/>
            <w:shd w:val="clear" w:color="auto" w:fill="auto"/>
            <w:noWrap/>
            <w:vAlign w:val="center"/>
            <w:hideMark/>
          </w:tcPr>
          <w:p w14:paraId="766746E6" w14:textId="77777777" w:rsidR="00235FCD" w:rsidRPr="00235FCD" w:rsidRDefault="00235FCD" w:rsidP="00235FCD">
            <w:pPr>
              <w:jc w:val="center"/>
              <w:rPr>
                <w:sz w:val="20"/>
                <w:szCs w:val="20"/>
              </w:rPr>
            </w:pPr>
            <w:r w:rsidRPr="00235FCD">
              <w:rPr>
                <w:sz w:val="20"/>
                <w:szCs w:val="20"/>
              </w:rPr>
              <w:t>0.989 (0.97 to 1.00)</w:t>
            </w:r>
          </w:p>
        </w:tc>
        <w:tc>
          <w:tcPr>
            <w:tcW w:w="993" w:type="dxa"/>
            <w:shd w:val="clear" w:color="auto" w:fill="auto"/>
            <w:noWrap/>
            <w:vAlign w:val="center"/>
            <w:hideMark/>
          </w:tcPr>
          <w:p w14:paraId="7317EF7F" w14:textId="77777777" w:rsidR="00235FCD" w:rsidRPr="00235FCD" w:rsidRDefault="00235FCD" w:rsidP="00235FCD">
            <w:pPr>
              <w:jc w:val="center"/>
              <w:rPr>
                <w:color w:val="000000"/>
                <w:sz w:val="20"/>
                <w:szCs w:val="20"/>
              </w:rPr>
            </w:pPr>
            <w:r w:rsidRPr="00235FCD">
              <w:rPr>
                <w:color w:val="000000"/>
                <w:sz w:val="20"/>
                <w:szCs w:val="20"/>
              </w:rPr>
              <w:t>91.67</w:t>
            </w:r>
          </w:p>
        </w:tc>
        <w:tc>
          <w:tcPr>
            <w:tcW w:w="992" w:type="dxa"/>
            <w:shd w:val="clear" w:color="auto" w:fill="auto"/>
            <w:noWrap/>
            <w:vAlign w:val="center"/>
            <w:hideMark/>
          </w:tcPr>
          <w:p w14:paraId="784BC468" w14:textId="77777777" w:rsidR="00235FCD" w:rsidRPr="00235FCD" w:rsidRDefault="00235FCD" w:rsidP="00235FCD">
            <w:pPr>
              <w:jc w:val="center"/>
              <w:rPr>
                <w:color w:val="000000"/>
                <w:sz w:val="20"/>
                <w:szCs w:val="20"/>
              </w:rPr>
            </w:pPr>
            <w:r w:rsidRPr="00235FCD">
              <w:rPr>
                <w:color w:val="000000"/>
                <w:sz w:val="20"/>
                <w:szCs w:val="20"/>
              </w:rPr>
              <w:t>97.22</w:t>
            </w:r>
          </w:p>
        </w:tc>
        <w:tc>
          <w:tcPr>
            <w:tcW w:w="992" w:type="dxa"/>
            <w:shd w:val="clear" w:color="auto" w:fill="auto"/>
            <w:noWrap/>
            <w:vAlign w:val="center"/>
            <w:hideMark/>
          </w:tcPr>
          <w:p w14:paraId="0DBAD1EE" w14:textId="77777777" w:rsidR="00235FCD" w:rsidRPr="00235FCD" w:rsidRDefault="00235FCD" w:rsidP="00235FCD">
            <w:pPr>
              <w:jc w:val="center"/>
              <w:rPr>
                <w:color w:val="000000"/>
                <w:sz w:val="20"/>
                <w:szCs w:val="20"/>
              </w:rPr>
            </w:pPr>
            <w:r w:rsidRPr="00235FCD">
              <w:rPr>
                <w:color w:val="000000"/>
                <w:sz w:val="20"/>
                <w:szCs w:val="20"/>
              </w:rPr>
              <w:t>94.44</w:t>
            </w:r>
          </w:p>
        </w:tc>
        <w:tc>
          <w:tcPr>
            <w:tcW w:w="709" w:type="dxa"/>
            <w:shd w:val="clear" w:color="auto" w:fill="auto"/>
            <w:noWrap/>
            <w:vAlign w:val="center"/>
            <w:hideMark/>
          </w:tcPr>
          <w:p w14:paraId="53144C96" w14:textId="77777777" w:rsidR="00235FCD" w:rsidRPr="00235FCD" w:rsidRDefault="00235FCD" w:rsidP="00235FCD">
            <w:pPr>
              <w:jc w:val="center"/>
              <w:rPr>
                <w:color w:val="000000"/>
                <w:sz w:val="20"/>
                <w:szCs w:val="20"/>
              </w:rPr>
            </w:pPr>
            <w:r w:rsidRPr="00235FCD">
              <w:rPr>
                <w:color w:val="000000"/>
                <w:sz w:val="20"/>
                <w:szCs w:val="20"/>
              </w:rPr>
              <w:t>96.26</w:t>
            </w:r>
          </w:p>
        </w:tc>
        <w:tc>
          <w:tcPr>
            <w:tcW w:w="709" w:type="dxa"/>
            <w:shd w:val="clear" w:color="auto" w:fill="auto"/>
            <w:noWrap/>
            <w:vAlign w:val="center"/>
            <w:hideMark/>
          </w:tcPr>
          <w:p w14:paraId="4CCAE804" w14:textId="77777777" w:rsidR="00235FCD" w:rsidRPr="00235FCD" w:rsidRDefault="00235FCD" w:rsidP="00235FCD">
            <w:pPr>
              <w:jc w:val="center"/>
              <w:rPr>
                <w:color w:val="000000"/>
                <w:sz w:val="20"/>
                <w:szCs w:val="20"/>
              </w:rPr>
            </w:pPr>
            <w:r w:rsidRPr="00235FCD">
              <w:rPr>
                <w:color w:val="000000"/>
                <w:sz w:val="20"/>
                <w:szCs w:val="20"/>
              </w:rPr>
              <w:t>95.41</w:t>
            </w:r>
          </w:p>
        </w:tc>
        <w:tc>
          <w:tcPr>
            <w:tcW w:w="850" w:type="dxa"/>
            <w:shd w:val="clear" w:color="auto" w:fill="auto"/>
            <w:noWrap/>
            <w:vAlign w:val="center"/>
            <w:hideMark/>
          </w:tcPr>
          <w:p w14:paraId="1F33ACE9" w14:textId="77777777" w:rsidR="00235FCD" w:rsidRPr="00235FCD" w:rsidRDefault="00235FCD" w:rsidP="00235FCD">
            <w:pPr>
              <w:jc w:val="center"/>
              <w:rPr>
                <w:color w:val="000000"/>
                <w:sz w:val="20"/>
                <w:szCs w:val="20"/>
              </w:rPr>
            </w:pPr>
            <w:r w:rsidRPr="00235FCD">
              <w:rPr>
                <w:color w:val="000000"/>
                <w:sz w:val="20"/>
                <w:szCs w:val="20"/>
              </w:rPr>
              <w:t>95.83</w:t>
            </w:r>
          </w:p>
        </w:tc>
        <w:tc>
          <w:tcPr>
            <w:tcW w:w="986" w:type="dxa"/>
            <w:shd w:val="clear" w:color="auto" w:fill="auto"/>
            <w:noWrap/>
            <w:vAlign w:val="center"/>
            <w:hideMark/>
          </w:tcPr>
          <w:p w14:paraId="1C7D16C0" w14:textId="77777777" w:rsidR="00235FCD" w:rsidRPr="00235FCD" w:rsidRDefault="00235FCD" w:rsidP="00235FCD">
            <w:pPr>
              <w:jc w:val="center"/>
              <w:rPr>
                <w:sz w:val="20"/>
                <w:szCs w:val="20"/>
              </w:rPr>
            </w:pPr>
            <w:r w:rsidRPr="00235FCD">
              <w:rPr>
                <w:sz w:val="20"/>
                <w:szCs w:val="20"/>
              </w:rPr>
              <w:t>200 ng/ml</w:t>
            </w:r>
          </w:p>
        </w:tc>
      </w:tr>
      <w:tr w:rsidR="005675D7" w:rsidRPr="00235FCD" w14:paraId="39FD99CE" w14:textId="77777777" w:rsidTr="005675D7">
        <w:trPr>
          <w:trHeight w:val="283"/>
        </w:trPr>
        <w:tc>
          <w:tcPr>
            <w:tcW w:w="1271" w:type="dxa"/>
            <w:shd w:val="clear" w:color="auto" w:fill="auto"/>
            <w:noWrap/>
            <w:vAlign w:val="center"/>
            <w:hideMark/>
          </w:tcPr>
          <w:p w14:paraId="46175522" w14:textId="77777777" w:rsidR="00235FCD" w:rsidRPr="00235FCD" w:rsidRDefault="00235FCD" w:rsidP="00235FCD">
            <w:pPr>
              <w:rPr>
                <w:b/>
                <w:bCs/>
                <w:sz w:val="20"/>
                <w:szCs w:val="20"/>
              </w:rPr>
            </w:pPr>
            <w:r w:rsidRPr="00235FCD">
              <w:rPr>
                <w:b/>
                <w:bCs/>
                <w:sz w:val="20"/>
                <w:szCs w:val="20"/>
              </w:rPr>
              <w:t>GFAP</w:t>
            </w:r>
          </w:p>
        </w:tc>
        <w:tc>
          <w:tcPr>
            <w:tcW w:w="2126" w:type="dxa"/>
            <w:shd w:val="clear" w:color="auto" w:fill="auto"/>
            <w:noWrap/>
            <w:vAlign w:val="center"/>
            <w:hideMark/>
          </w:tcPr>
          <w:p w14:paraId="0829DD16" w14:textId="77777777" w:rsidR="00235FCD" w:rsidRPr="00235FCD" w:rsidRDefault="00235FCD" w:rsidP="00235FCD">
            <w:pPr>
              <w:jc w:val="center"/>
              <w:rPr>
                <w:sz w:val="20"/>
                <w:szCs w:val="20"/>
              </w:rPr>
            </w:pPr>
            <w:r w:rsidRPr="00235FCD">
              <w:rPr>
                <w:sz w:val="20"/>
                <w:szCs w:val="20"/>
              </w:rPr>
              <w:t>0.996 (0.98 to 1.00)</w:t>
            </w:r>
          </w:p>
        </w:tc>
        <w:tc>
          <w:tcPr>
            <w:tcW w:w="993" w:type="dxa"/>
            <w:shd w:val="clear" w:color="auto" w:fill="auto"/>
            <w:noWrap/>
            <w:vAlign w:val="center"/>
            <w:hideMark/>
          </w:tcPr>
          <w:p w14:paraId="49133F67" w14:textId="77777777" w:rsidR="00235FCD" w:rsidRPr="00235FCD" w:rsidRDefault="00235FCD" w:rsidP="00235FCD">
            <w:pPr>
              <w:jc w:val="center"/>
              <w:rPr>
                <w:color w:val="000000"/>
                <w:sz w:val="20"/>
                <w:szCs w:val="20"/>
              </w:rPr>
            </w:pPr>
            <w:r w:rsidRPr="00235FCD">
              <w:rPr>
                <w:color w:val="000000"/>
                <w:sz w:val="20"/>
                <w:szCs w:val="20"/>
              </w:rPr>
              <w:t>96.31</w:t>
            </w:r>
          </w:p>
        </w:tc>
        <w:tc>
          <w:tcPr>
            <w:tcW w:w="992" w:type="dxa"/>
            <w:shd w:val="clear" w:color="auto" w:fill="auto"/>
            <w:noWrap/>
            <w:vAlign w:val="center"/>
            <w:hideMark/>
          </w:tcPr>
          <w:p w14:paraId="027424EB" w14:textId="77777777" w:rsidR="00235FCD" w:rsidRPr="00235FCD" w:rsidRDefault="00235FCD" w:rsidP="00235FCD">
            <w:pPr>
              <w:jc w:val="center"/>
              <w:rPr>
                <w:color w:val="000000"/>
                <w:sz w:val="20"/>
                <w:szCs w:val="20"/>
              </w:rPr>
            </w:pPr>
            <w:r w:rsidRPr="00235FCD">
              <w:rPr>
                <w:color w:val="000000"/>
                <w:sz w:val="20"/>
                <w:szCs w:val="20"/>
              </w:rPr>
              <w:t>98.17</w:t>
            </w:r>
          </w:p>
        </w:tc>
        <w:tc>
          <w:tcPr>
            <w:tcW w:w="992" w:type="dxa"/>
            <w:shd w:val="clear" w:color="auto" w:fill="auto"/>
            <w:noWrap/>
            <w:vAlign w:val="center"/>
            <w:hideMark/>
          </w:tcPr>
          <w:p w14:paraId="3CB8FE53" w14:textId="77777777" w:rsidR="00235FCD" w:rsidRPr="00235FCD" w:rsidRDefault="00235FCD" w:rsidP="00235FCD">
            <w:pPr>
              <w:jc w:val="center"/>
              <w:rPr>
                <w:color w:val="000000"/>
                <w:sz w:val="20"/>
                <w:szCs w:val="20"/>
              </w:rPr>
            </w:pPr>
            <w:r w:rsidRPr="00235FCD">
              <w:rPr>
                <w:color w:val="000000"/>
                <w:sz w:val="20"/>
                <w:szCs w:val="20"/>
              </w:rPr>
              <w:t>98.15</w:t>
            </w:r>
          </w:p>
        </w:tc>
        <w:tc>
          <w:tcPr>
            <w:tcW w:w="709" w:type="dxa"/>
            <w:shd w:val="clear" w:color="auto" w:fill="auto"/>
            <w:noWrap/>
            <w:vAlign w:val="center"/>
            <w:hideMark/>
          </w:tcPr>
          <w:p w14:paraId="20017D6A" w14:textId="77777777" w:rsidR="00235FCD" w:rsidRPr="00235FCD" w:rsidRDefault="00235FCD" w:rsidP="00235FCD">
            <w:pPr>
              <w:jc w:val="center"/>
              <w:rPr>
                <w:color w:val="000000"/>
                <w:sz w:val="20"/>
                <w:szCs w:val="20"/>
              </w:rPr>
            </w:pPr>
            <w:r w:rsidRPr="00235FCD">
              <w:rPr>
                <w:color w:val="000000"/>
                <w:sz w:val="20"/>
                <w:szCs w:val="20"/>
              </w:rPr>
              <w:t>99.05</w:t>
            </w:r>
          </w:p>
        </w:tc>
        <w:tc>
          <w:tcPr>
            <w:tcW w:w="709" w:type="dxa"/>
            <w:shd w:val="clear" w:color="auto" w:fill="auto"/>
            <w:noWrap/>
            <w:vAlign w:val="center"/>
            <w:hideMark/>
          </w:tcPr>
          <w:p w14:paraId="74350C05" w14:textId="77777777" w:rsidR="00235FCD" w:rsidRPr="00235FCD" w:rsidRDefault="00235FCD" w:rsidP="00235FCD">
            <w:pPr>
              <w:jc w:val="center"/>
              <w:rPr>
                <w:color w:val="000000"/>
                <w:sz w:val="20"/>
                <w:szCs w:val="20"/>
              </w:rPr>
            </w:pPr>
            <w:r w:rsidRPr="00235FCD">
              <w:rPr>
                <w:color w:val="000000"/>
                <w:sz w:val="20"/>
                <w:szCs w:val="20"/>
              </w:rPr>
              <w:t>96.4</w:t>
            </w:r>
          </w:p>
        </w:tc>
        <w:tc>
          <w:tcPr>
            <w:tcW w:w="850" w:type="dxa"/>
            <w:shd w:val="clear" w:color="auto" w:fill="auto"/>
            <w:noWrap/>
            <w:vAlign w:val="center"/>
            <w:hideMark/>
          </w:tcPr>
          <w:p w14:paraId="321B04B8" w14:textId="77777777" w:rsidR="00235FCD" w:rsidRPr="00235FCD" w:rsidRDefault="00235FCD" w:rsidP="00235FCD">
            <w:pPr>
              <w:jc w:val="center"/>
              <w:rPr>
                <w:color w:val="000000"/>
                <w:sz w:val="20"/>
                <w:szCs w:val="20"/>
              </w:rPr>
            </w:pPr>
            <w:r w:rsidRPr="00235FCD">
              <w:rPr>
                <w:color w:val="000000"/>
                <w:sz w:val="20"/>
                <w:szCs w:val="20"/>
              </w:rPr>
              <w:t>97.69</w:t>
            </w:r>
          </w:p>
        </w:tc>
        <w:tc>
          <w:tcPr>
            <w:tcW w:w="986" w:type="dxa"/>
            <w:shd w:val="clear" w:color="auto" w:fill="auto"/>
            <w:noWrap/>
            <w:vAlign w:val="center"/>
            <w:hideMark/>
          </w:tcPr>
          <w:p w14:paraId="5190C5B5" w14:textId="77777777" w:rsidR="00235FCD" w:rsidRPr="00235FCD" w:rsidRDefault="00235FCD" w:rsidP="00235FCD">
            <w:pPr>
              <w:jc w:val="center"/>
              <w:rPr>
                <w:sz w:val="20"/>
                <w:szCs w:val="20"/>
              </w:rPr>
            </w:pPr>
            <w:r w:rsidRPr="00235FCD">
              <w:rPr>
                <w:sz w:val="20"/>
                <w:szCs w:val="20"/>
              </w:rPr>
              <w:t>0.30ng/mL</w:t>
            </w:r>
          </w:p>
        </w:tc>
      </w:tr>
    </w:tbl>
    <w:p w14:paraId="08F7529E" w14:textId="3F669816" w:rsidR="00F22F00" w:rsidRDefault="00CA6D87" w:rsidP="00CA6D87">
      <w:pPr>
        <w:spacing w:line="360" w:lineRule="auto"/>
        <w:jc w:val="both"/>
      </w:pPr>
      <w:r w:rsidRPr="00112676">
        <w:t>Footnote: AUC = area under the ROC curve. Cut-off values optimized using Youden index. Biomarker units as indicated. Symptomatic (n = 108) vs. controls (n = 108). Abbreviations: hs-CRP = high-sensitivity C-reactive protein; IL-6 = interleukin-6; CK-MM = creatine kinase muscle isoform; MMP-9 = matrix metalloproteinase-9; MDA = malondialdehyde; BDNF = brain-derived neurotrophic factor; NGF = nerve growth factor; GFAP = glial fibrillary acidic protein.</w:t>
      </w:r>
    </w:p>
    <w:sectPr w:rsidR="00F22F00" w:rsidSect="00406EA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AB"/>
    <w:rsid w:val="00235FCD"/>
    <w:rsid w:val="00406EAB"/>
    <w:rsid w:val="005675D7"/>
    <w:rsid w:val="00852F7C"/>
    <w:rsid w:val="00886E3E"/>
    <w:rsid w:val="00CA6D87"/>
    <w:rsid w:val="00F22F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637A"/>
  <w15:chartTrackingRefBased/>
  <w15:docId w15:val="{3A876DA2-D802-4CD0-98FB-2EAB6A68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AB"/>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2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2026-03-21T12:07:00Z</dcterms:created>
  <dcterms:modified xsi:type="dcterms:W3CDTF">2026-03-23T10:33:00Z</dcterms:modified>
</cp:coreProperties>
</file>