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8C176" w14:textId="77777777" w:rsidR="00406EAB" w:rsidRPr="00406EAB" w:rsidRDefault="00406EAB" w:rsidP="00406EAB">
      <w:pPr>
        <w:spacing w:line="360" w:lineRule="auto"/>
        <w:jc w:val="both"/>
        <w:rPr>
          <w:b/>
          <w:bCs/>
        </w:rPr>
      </w:pPr>
      <w:r w:rsidRPr="00406EAB">
        <w:rPr>
          <w:b/>
          <w:bCs/>
        </w:rPr>
        <w:t>SUPPLEMENTARY MATERIALS</w:t>
      </w:r>
    </w:p>
    <w:p w14:paraId="5189055B" w14:textId="77777777" w:rsidR="00406EAB" w:rsidRPr="00406EAB" w:rsidRDefault="00406EAB" w:rsidP="00406EAB">
      <w:pPr>
        <w:jc w:val="both"/>
        <w:rPr>
          <w:b/>
          <w:bCs/>
        </w:rPr>
      </w:pPr>
      <w:r w:rsidRPr="00406EAB">
        <w:rPr>
          <w:b/>
          <w:bCs/>
        </w:rPr>
        <w:t>Title: Development of a multidomain neuromuscular aging clock integrating neurosensory dysfunction with molecular biomarkers</w:t>
      </w:r>
    </w:p>
    <w:p w14:paraId="4BACF485" w14:textId="77777777" w:rsidR="00406EAB" w:rsidRDefault="00406EAB" w:rsidP="00406EAB">
      <w:pPr>
        <w:jc w:val="both"/>
      </w:pPr>
      <w:r w:rsidRPr="00112676">
        <w:br/>
      </w:r>
      <w:r w:rsidRPr="00406EAB">
        <w:rPr>
          <w:b/>
          <w:bCs/>
        </w:rPr>
        <w:t>Authors:</w:t>
      </w:r>
      <w:r w:rsidRPr="00112676">
        <w:t xml:space="preserve">   Apurba Kumar Ganguly, Ph.D.*, Sudip Kumar Banerjee, Ph.D.  Vidya Sagar GV, MD, Ph.D. Dinesh Kumar Singal, MD.  and Anondeep Ganguly, PGDH.</w:t>
      </w:r>
    </w:p>
    <w:p w14:paraId="182FF8A2" w14:textId="6D0BBEA5" w:rsidR="00EE3D12" w:rsidRDefault="00406EAB" w:rsidP="00406EAB">
      <w:pPr>
        <w:jc w:val="both"/>
      </w:pPr>
      <w:r w:rsidRPr="00112676">
        <w:br/>
      </w:r>
      <w:r w:rsidRPr="00406EAB">
        <w:rPr>
          <w:b/>
          <w:bCs/>
        </w:rPr>
        <w:t>* Corresponding Author:</w:t>
      </w:r>
      <w:r w:rsidRPr="00112676">
        <w:t xml:space="preserve"> Apurba Kumar Ganguly, Ph.D.; Address: 7, Panditya Place, Kolkata-700029, India; Tel: +919830389616; Email: </w:t>
      </w:r>
      <w:r w:rsidR="00EE3D12" w:rsidRPr="00EE3D12">
        <w:t>apurbaganguly15@gmail.com</w:t>
      </w:r>
      <w:r w:rsidRPr="00112676">
        <w:t>.</w:t>
      </w:r>
    </w:p>
    <w:p w14:paraId="2BCF8F04" w14:textId="2EBFA271" w:rsidR="00406EAB" w:rsidRDefault="00406EAB" w:rsidP="00406EAB">
      <w:pPr>
        <w:jc w:val="both"/>
      </w:pPr>
    </w:p>
    <w:p w14:paraId="2ADC7EEA" w14:textId="71C4F3F2" w:rsidR="00886E3E" w:rsidRDefault="00406EAB" w:rsidP="00406EAB">
      <w:pPr>
        <w:jc w:val="both"/>
      </w:pPr>
      <w:r w:rsidRPr="00406EAB">
        <w:rPr>
          <w:b/>
          <w:bCs/>
        </w:rPr>
        <w:t>Journal:</w:t>
      </w:r>
      <w:r w:rsidRPr="00112676">
        <w:t xml:space="preserve"> Aging Clinical and Experimental Research</w:t>
      </w:r>
    </w:p>
    <w:p w14:paraId="13E0996A" w14:textId="2A6A3F24" w:rsidR="00406EAB" w:rsidRDefault="00406EAB" w:rsidP="00406EAB">
      <w:pPr>
        <w:jc w:val="both"/>
      </w:pPr>
    </w:p>
    <w:p w14:paraId="334A6133" w14:textId="77777777" w:rsidR="00B84E4E" w:rsidRDefault="00B84E4E" w:rsidP="00B84E4E">
      <w:pPr>
        <w:spacing w:line="360" w:lineRule="auto"/>
        <w:jc w:val="both"/>
        <w:rPr>
          <w:b/>
          <w:bCs/>
        </w:rPr>
      </w:pPr>
    </w:p>
    <w:p w14:paraId="3736A5A3" w14:textId="50930597" w:rsidR="00B84E4E" w:rsidRPr="00B84E4E" w:rsidRDefault="00B84E4E" w:rsidP="00B84E4E">
      <w:pPr>
        <w:spacing w:line="360" w:lineRule="auto"/>
        <w:jc w:val="both"/>
        <w:rPr>
          <w:b/>
          <w:bCs/>
        </w:rPr>
      </w:pPr>
      <w:r w:rsidRPr="00B84E4E">
        <w:rPr>
          <w:b/>
          <w:bCs/>
        </w:rPr>
        <w:t>Supplementary Figure S3. Forest plots of standardized mean differences</w:t>
      </w:r>
    </w:p>
    <w:p w14:paraId="467D247F" w14:textId="77777777" w:rsidR="00B84E4E" w:rsidRPr="00112676" w:rsidRDefault="00B84E4E" w:rsidP="00B84E4E">
      <w:pPr>
        <w:spacing w:line="360" w:lineRule="auto"/>
        <w:jc w:val="both"/>
      </w:pPr>
    </w:p>
    <w:p w14:paraId="49EE0483" w14:textId="63AFDF10" w:rsidR="00B84E4E" w:rsidRPr="00112676" w:rsidRDefault="00EE3D12" w:rsidP="00B84E4E">
      <w:pPr>
        <w:spacing w:line="360" w:lineRule="auto"/>
        <w:jc w:val="both"/>
      </w:pPr>
      <w:r>
        <w:rPr>
          <w:noProof/>
        </w:rPr>
        <w:drawing>
          <wp:inline distT="0" distB="0" distL="0" distR="0" wp14:anchorId="425F94E1" wp14:editId="444F8C40">
            <wp:extent cx="6048000" cy="5174756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0" cy="51747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910B39" w14:textId="4B2FF067" w:rsidR="00406EAB" w:rsidRDefault="00B84E4E" w:rsidP="00B84E4E">
      <w:pPr>
        <w:spacing w:line="360" w:lineRule="auto"/>
        <w:jc w:val="both"/>
      </w:pPr>
      <w:r w:rsidRPr="00112676">
        <w:t>(A) Clinical neurosensory dysfunction domains. (B) Molecular neurobiological biomarker domains. Standardized mean differences (Hedges' g) with 95% confidence intervals comparing symptomatic participants (n = 108) and healthy controls (n = 108). Pooled estimates derived using random-effects (DerSimonian–Laird) meta-analysis. Heterogeneity assessed using I² statistic.</w:t>
      </w:r>
    </w:p>
    <w:sectPr w:rsidR="00406EAB" w:rsidSect="00406EA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EAB"/>
    <w:rsid w:val="00406EAB"/>
    <w:rsid w:val="006643A6"/>
    <w:rsid w:val="00852F7C"/>
    <w:rsid w:val="00886E3E"/>
    <w:rsid w:val="00B84E4E"/>
    <w:rsid w:val="00CA6D87"/>
    <w:rsid w:val="00EE3D12"/>
    <w:rsid w:val="00F2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2637A"/>
  <w15:chartTrackingRefBased/>
  <w15:docId w15:val="{3A876DA2-D802-4CD0-98FB-2EAB6A68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3D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2026-03-21T12:08:00Z</dcterms:created>
  <dcterms:modified xsi:type="dcterms:W3CDTF">2026-03-23T11:08:00Z</dcterms:modified>
</cp:coreProperties>
</file>