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8C176" w14:textId="77777777" w:rsidR="00406EAB" w:rsidRPr="00406EAB" w:rsidRDefault="00406EAB" w:rsidP="00406EAB">
      <w:pPr>
        <w:spacing w:line="360" w:lineRule="auto"/>
        <w:jc w:val="both"/>
        <w:rPr>
          <w:b/>
          <w:bCs/>
        </w:rPr>
      </w:pPr>
      <w:r w:rsidRPr="00406EAB">
        <w:rPr>
          <w:b/>
          <w:bCs/>
        </w:rPr>
        <w:t>SUPPLEMENTARY MATERIALS</w:t>
      </w:r>
    </w:p>
    <w:p w14:paraId="5189055B" w14:textId="77777777" w:rsidR="00406EAB" w:rsidRPr="00406EAB" w:rsidRDefault="00406EAB" w:rsidP="00406EAB">
      <w:pPr>
        <w:jc w:val="both"/>
        <w:rPr>
          <w:b/>
          <w:bCs/>
        </w:rPr>
      </w:pPr>
      <w:r w:rsidRPr="00406EAB">
        <w:rPr>
          <w:b/>
          <w:bCs/>
        </w:rPr>
        <w:t>Title: Development of a multidomain neuromuscular aging clock integrating neurosensory dysfunction with molecular biomarkers</w:t>
      </w:r>
    </w:p>
    <w:p w14:paraId="4BACF485" w14:textId="77777777" w:rsidR="00406EAB" w:rsidRDefault="00406EAB" w:rsidP="00406EAB">
      <w:pPr>
        <w:jc w:val="both"/>
      </w:pPr>
      <w:r w:rsidRPr="00112676">
        <w:br/>
      </w:r>
      <w:r w:rsidRPr="00406EAB">
        <w:rPr>
          <w:b/>
          <w:bCs/>
        </w:rPr>
        <w:t>Authors:</w:t>
      </w:r>
      <w:r w:rsidRPr="00112676">
        <w:t xml:space="preserve">   </w:t>
      </w:r>
      <w:proofErr w:type="spellStart"/>
      <w:r w:rsidRPr="00112676">
        <w:t>Apurba</w:t>
      </w:r>
      <w:proofErr w:type="spellEnd"/>
      <w:r w:rsidRPr="00112676">
        <w:t xml:space="preserve"> Kumar </w:t>
      </w:r>
      <w:proofErr w:type="spellStart"/>
      <w:r w:rsidRPr="00112676">
        <w:t>Ganguly</w:t>
      </w:r>
      <w:proofErr w:type="spellEnd"/>
      <w:r w:rsidRPr="00112676">
        <w:t xml:space="preserve">, Ph.D.*, Sudip Kumar Banerjee, Ph.D.  Vidya Sagar GV, MD, Ph.D. Dinesh Kumar </w:t>
      </w:r>
      <w:proofErr w:type="spellStart"/>
      <w:r w:rsidRPr="00112676">
        <w:t>Singal</w:t>
      </w:r>
      <w:proofErr w:type="spellEnd"/>
      <w:r w:rsidRPr="00112676">
        <w:t xml:space="preserve">, MD.  and </w:t>
      </w:r>
      <w:proofErr w:type="spellStart"/>
      <w:r w:rsidRPr="00112676">
        <w:t>Anondeep</w:t>
      </w:r>
      <w:proofErr w:type="spellEnd"/>
      <w:r w:rsidRPr="00112676">
        <w:t xml:space="preserve"> </w:t>
      </w:r>
      <w:proofErr w:type="spellStart"/>
      <w:r w:rsidRPr="00112676">
        <w:t>Ganguly</w:t>
      </w:r>
      <w:proofErr w:type="spellEnd"/>
      <w:r w:rsidRPr="00112676">
        <w:t>, PGDH.</w:t>
      </w:r>
    </w:p>
    <w:p w14:paraId="2DAD8FD6" w14:textId="737115C5" w:rsidR="00C53C78" w:rsidRDefault="00406EAB" w:rsidP="00406EAB">
      <w:pPr>
        <w:jc w:val="both"/>
      </w:pPr>
      <w:r w:rsidRPr="00112676">
        <w:br/>
      </w:r>
      <w:r w:rsidRPr="00406EAB">
        <w:rPr>
          <w:b/>
          <w:bCs/>
        </w:rPr>
        <w:t>* Corresponding Author:</w:t>
      </w:r>
      <w:r w:rsidRPr="00112676">
        <w:t xml:space="preserve"> </w:t>
      </w:r>
      <w:proofErr w:type="spellStart"/>
      <w:r w:rsidRPr="00112676">
        <w:t>Apurba</w:t>
      </w:r>
      <w:proofErr w:type="spellEnd"/>
      <w:r w:rsidRPr="00112676">
        <w:t xml:space="preserve"> Kumar </w:t>
      </w:r>
      <w:proofErr w:type="spellStart"/>
      <w:r w:rsidRPr="00112676">
        <w:t>Ganguly</w:t>
      </w:r>
      <w:proofErr w:type="spellEnd"/>
      <w:r w:rsidRPr="00112676">
        <w:t xml:space="preserve">, Ph.D.; Address: 7, </w:t>
      </w:r>
      <w:proofErr w:type="spellStart"/>
      <w:r w:rsidRPr="00112676">
        <w:t>Panditya</w:t>
      </w:r>
      <w:proofErr w:type="spellEnd"/>
      <w:r w:rsidRPr="00112676">
        <w:t xml:space="preserve"> Place, Kolkata-700029, India; Tel: +919830389616; Email: </w:t>
      </w:r>
      <w:r w:rsidR="00C53C78" w:rsidRPr="00C53C78">
        <w:t>apurbaganguly15@gmail.com</w:t>
      </w:r>
      <w:r w:rsidRPr="00112676">
        <w:t>.</w:t>
      </w:r>
    </w:p>
    <w:p w14:paraId="2BCF8F04" w14:textId="24B6CE8C" w:rsidR="00406EAB" w:rsidRDefault="00406EAB" w:rsidP="00406EAB">
      <w:pPr>
        <w:jc w:val="both"/>
      </w:pPr>
    </w:p>
    <w:p w14:paraId="2ADC7EEA" w14:textId="71C4F3F2" w:rsidR="00886E3E" w:rsidRDefault="00406EAB" w:rsidP="00406EAB">
      <w:pPr>
        <w:jc w:val="both"/>
      </w:pPr>
      <w:r w:rsidRPr="00406EAB">
        <w:rPr>
          <w:b/>
          <w:bCs/>
        </w:rPr>
        <w:t>Journal:</w:t>
      </w:r>
      <w:r w:rsidRPr="00112676">
        <w:t xml:space="preserve"> Aging Clinical and Experimental Research</w:t>
      </w:r>
    </w:p>
    <w:p w14:paraId="13E0996A" w14:textId="2A6A3F24" w:rsidR="00406EAB" w:rsidRDefault="00406EAB" w:rsidP="00406EAB">
      <w:pPr>
        <w:jc w:val="both"/>
      </w:pPr>
    </w:p>
    <w:p w14:paraId="01E00D5C" w14:textId="77777777" w:rsidR="00E57480" w:rsidRDefault="00E57480" w:rsidP="00E57480">
      <w:pPr>
        <w:spacing w:line="360" w:lineRule="auto"/>
        <w:jc w:val="both"/>
      </w:pPr>
    </w:p>
    <w:p w14:paraId="5DD307DA" w14:textId="545D2A37" w:rsidR="00E57480" w:rsidRDefault="00E57480" w:rsidP="00E57480">
      <w:pPr>
        <w:spacing w:line="360" w:lineRule="auto"/>
        <w:jc w:val="both"/>
        <w:rPr>
          <w:b/>
          <w:bCs/>
        </w:rPr>
      </w:pPr>
      <w:r w:rsidRPr="00E57480">
        <w:rPr>
          <w:b/>
          <w:bCs/>
        </w:rPr>
        <w:t>Supplementary Figure S6. Conceptual framework of the Neuromuscular Aging Clock (NAC)</w:t>
      </w:r>
    </w:p>
    <w:p w14:paraId="15295F5E" w14:textId="77777777" w:rsidR="00C53C78" w:rsidRPr="00E57480" w:rsidRDefault="00C53C78" w:rsidP="00E57480">
      <w:pPr>
        <w:spacing w:line="360" w:lineRule="auto"/>
        <w:jc w:val="both"/>
        <w:rPr>
          <w:b/>
          <w:bCs/>
        </w:rPr>
      </w:pPr>
    </w:p>
    <w:p w14:paraId="03E11189" w14:textId="77777777" w:rsidR="00E57480" w:rsidRPr="00112676" w:rsidRDefault="00E57480" w:rsidP="00E57480">
      <w:pPr>
        <w:spacing w:line="360" w:lineRule="auto"/>
        <w:jc w:val="both"/>
      </w:pPr>
      <w:r w:rsidRPr="00112676">
        <w:rPr>
          <w:noProof/>
        </w:rPr>
        <w:drawing>
          <wp:inline distT="0" distB="0" distL="0" distR="0" wp14:anchorId="4B980EC1" wp14:editId="3F05A5BF">
            <wp:extent cx="6048000" cy="3374854"/>
            <wp:effectExtent l="0" t="0" r="0" b="0"/>
            <wp:docPr id="89396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0" cy="337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38F60" w14:textId="6C6A785A" w:rsidR="00063C95" w:rsidRDefault="00E57480" w:rsidP="00E57480">
      <w:pPr>
        <w:spacing w:line="360" w:lineRule="auto"/>
        <w:jc w:val="both"/>
      </w:pPr>
      <w:r w:rsidRPr="00112676">
        <w:t>Integrated model showing: (1) clinical neurosensory domains → Composite Neuromuscular Dysfunction Index (CNDI); (2) molecular biomarker domains → Composite Biological Neurofunctional Index (CBNI); (3) effect-size weighting → Neuromuscular Biological Age Index (NMBI); (4) biological age estimation and risk stratification. The framework enables quantification of neuromuscular aging trajectories and identification of accelerated aging.</w:t>
      </w:r>
    </w:p>
    <w:sectPr w:rsidR="00063C95" w:rsidSect="00406EA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EAB"/>
    <w:rsid w:val="00063C95"/>
    <w:rsid w:val="00406EAB"/>
    <w:rsid w:val="00615292"/>
    <w:rsid w:val="00825EF2"/>
    <w:rsid w:val="00852F7C"/>
    <w:rsid w:val="00886E3E"/>
    <w:rsid w:val="008D663D"/>
    <w:rsid w:val="00B84E4E"/>
    <w:rsid w:val="00C53C78"/>
    <w:rsid w:val="00CA6D87"/>
    <w:rsid w:val="00E57480"/>
    <w:rsid w:val="00F22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2637A"/>
  <w15:chartTrackingRefBased/>
  <w15:docId w15:val="{3A876DA2-D802-4CD0-98FB-2EAB6A689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6E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53C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3C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154</Words>
  <Characters>883</Characters>
  <Application>Microsoft Office Word</Application>
  <DocSecurity>0</DocSecurity>
  <Lines>7</Lines>
  <Paragraphs>2</Paragraphs>
  <ScaleCrop>false</ScaleCrop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2026-03-21T12:12:00Z</dcterms:created>
  <dcterms:modified xsi:type="dcterms:W3CDTF">2026-03-23T10:18:00Z</dcterms:modified>
</cp:coreProperties>
</file>