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szCs w:val="24"/>
        </w:rPr>
      </w:pPr>
      <w:r>
        <w:rPr>
          <w:b/>
          <w:sz w:val="24"/>
          <w:szCs w:val="24"/>
        </w:rPr>
        <w:t>Supplementary Information</w:t>
      </w:r>
    </w:p>
    <w:p>
      <w:pPr>
        <w:pStyle w:val="Normal"/>
        <w:rPr>
          <w:sz w:val="24"/>
          <w:szCs w:val="24"/>
        </w:rPr>
      </w:pPr>
      <w:r>
        <w:rPr>
          <w:sz w:val="24"/>
          <w:szCs w:val="24"/>
        </w:rPr>
      </w:r>
    </w:p>
    <w:p>
      <w:pPr>
        <w:pStyle w:val="Normal"/>
        <w:jc w:val="center"/>
        <w:rPr>
          <w:b/>
          <w:bCs/>
          <w:i w:val="false"/>
          <w:i w:val="false"/>
          <w:iCs w:val="false"/>
          <w:sz w:val="24"/>
          <w:szCs w:val="24"/>
        </w:rPr>
      </w:pPr>
      <w:r>
        <w:rPr>
          <w:b/>
          <w:bCs/>
          <w:i w:val="false"/>
          <w:iCs w:val="false"/>
          <w:sz w:val="24"/>
          <w:szCs w:val="24"/>
        </w:rPr>
        <w:t>Comparative genomics of the Nap2-2B clade reveals substrate partitioning, niche diversification, and reciprocal cofactor auxotrophies among uncultured hydrocarbon-degrading Peptococcaceae</w:t>
      </w:r>
    </w:p>
    <w:p>
      <w:pPr>
        <w:pStyle w:val="Normal"/>
        <w:rPr>
          <w:sz w:val="24"/>
          <w:szCs w:val="24"/>
        </w:rPr>
      </w:pPr>
      <w:r>
        <w:rPr>
          <w:sz w:val="24"/>
          <w:szCs w:val="24"/>
        </w:rPr>
      </w:r>
    </w:p>
    <w:p>
      <w:pPr>
        <w:pStyle w:val="Heading1"/>
        <w:rPr>
          <w:rFonts w:ascii="Arial" w:hAnsi="Arial"/>
        </w:rPr>
      </w:pPr>
      <w:r>
        <w:rPr>
          <w:rFonts w:ascii="Arial" w:hAnsi="Arial"/>
        </w:rPr>
      </w:r>
    </w:p>
    <w:p>
      <w:pPr>
        <w:pStyle w:val="Normal"/>
        <w:rPr>
          <w:rFonts w:ascii="Arial" w:hAnsi="Arial"/>
          <w:b/>
        </w:rPr>
      </w:pPr>
      <w:r>
        <w:rPr>
          <w:b/>
        </w:rPr>
      </w:r>
    </w:p>
    <w:p>
      <w:pPr>
        <w:pStyle w:val="Normal"/>
        <w:rPr>
          <w:rFonts w:ascii="Arial" w:hAnsi="Arial"/>
          <w:b/>
        </w:rPr>
      </w:pPr>
      <w:r>
        <w:rPr>
          <w:b/>
        </w:rPr>
      </w:r>
    </w:p>
    <w:p>
      <w:pPr>
        <w:pStyle w:val="Normal"/>
        <w:rPr>
          <w:rFonts w:ascii="Arial" w:hAnsi="Arial"/>
          <w:b/>
        </w:rPr>
      </w:pPr>
      <w:r>
        <w:rPr>
          <w:b/>
        </w:rPr>
      </w:r>
    </w:p>
    <w:p>
      <w:pPr>
        <w:pStyle w:val="Normal"/>
        <w:rPr>
          <w:rFonts w:ascii="Arial" w:hAnsi="Arial"/>
          <w:b/>
        </w:rPr>
      </w:pPr>
      <w:r>
        <w:rPr>
          <w:b/>
        </w:rPr>
      </w:r>
    </w:p>
    <w:p>
      <w:pPr>
        <w:pStyle w:val="Normal"/>
        <w:rPr>
          <w:rFonts w:ascii="Arial" w:hAnsi="Arial"/>
          <w:b/>
        </w:rPr>
      </w:pPr>
      <w:r>
        <w:rPr>
          <w:b/>
        </w:rPr>
      </w:r>
    </w:p>
    <w:p>
      <w:pPr>
        <w:pStyle w:val="Normal"/>
        <w:rPr>
          <w:rFonts w:ascii="Arial" w:hAnsi="Arial"/>
          <w:b/>
        </w:rPr>
      </w:pPr>
      <w:r>
        <w:rPr>
          <w:b/>
        </w:rPr>
      </w:r>
    </w:p>
    <w:p>
      <w:pPr>
        <w:pStyle w:val="Normal"/>
        <w:rPr>
          <w:rFonts w:ascii="Arial" w:hAnsi="Arial"/>
          <w:b/>
        </w:rPr>
      </w:pPr>
      <w:r>
        <w:rPr>
          <w:b/>
        </w:rPr>
      </w:r>
    </w:p>
    <w:p>
      <w:pPr>
        <w:pStyle w:val="Normal"/>
        <w:rPr>
          <w:rFonts w:ascii="Arial" w:hAnsi="Arial"/>
          <w:b/>
        </w:rPr>
      </w:pPr>
      <w:r>
        <w:rPr>
          <w:b/>
        </w:rPr>
      </w:r>
    </w:p>
    <w:p>
      <w:pPr>
        <w:pStyle w:val="Normal"/>
        <w:rPr>
          <w:rFonts w:ascii="Arial" w:hAnsi="Arial"/>
          <w:b/>
        </w:rPr>
      </w:pPr>
      <w:r>
        <w:rPr>
          <w:b/>
        </w:rPr>
      </w:r>
    </w:p>
    <w:p>
      <w:pPr>
        <w:pStyle w:val="Normal"/>
        <w:rPr>
          <w:rFonts w:ascii="Arial" w:hAnsi="Arial"/>
          <w:b/>
        </w:rPr>
      </w:pPr>
      <w:r>
        <w:rPr>
          <w:b/>
        </w:rPr>
      </w:r>
    </w:p>
    <w:p>
      <w:pPr>
        <w:pStyle w:val="Normal"/>
        <w:rPr>
          <w:rFonts w:ascii="Arial" w:hAnsi="Arial"/>
          <w:b/>
        </w:rPr>
      </w:pPr>
      <w:r>
        <w:rPr>
          <w:b/>
        </w:rPr>
      </w:r>
    </w:p>
    <w:p>
      <w:pPr>
        <w:pStyle w:val="Normal"/>
        <w:rPr>
          <w:rFonts w:ascii="Arial" w:hAnsi="Arial"/>
          <w:b/>
        </w:rPr>
      </w:pPr>
      <w:r>
        <w:rPr>
          <w:b/>
        </w:rPr>
      </w:r>
    </w:p>
    <w:p>
      <w:pPr>
        <w:pStyle w:val="Normal"/>
        <w:rPr>
          <w:rFonts w:ascii="Arial" w:hAnsi="Arial"/>
          <w:b/>
        </w:rPr>
      </w:pPr>
      <w:r>
        <w:rPr>
          <w:b/>
        </w:rPr>
      </w:r>
    </w:p>
    <w:p>
      <w:pPr>
        <w:pStyle w:val="Normal"/>
        <w:rPr>
          <w:rFonts w:ascii="Arial" w:hAnsi="Arial"/>
          <w:b/>
        </w:rPr>
      </w:pPr>
      <w:r>
        <w:rPr>
          <w:b/>
        </w:rPr>
      </w:r>
    </w:p>
    <w:p>
      <w:pPr>
        <w:pStyle w:val="Normal"/>
        <w:rPr>
          <w:rFonts w:ascii="Arial" w:hAnsi="Arial"/>
          <w:b/>
        </w:rPr>
      </w:pPr>
      <w:r>
        <w:rPr>
          <w:b/>
        </w:rPr>
      </w:r>
    </w:p>
    <w:p>
      <w:pPr>
        <w:pStyle w:val="Normal"/>
        <w:rPr>
          <w:rFonts w:ascii="Arial" w:hAnsi="Arial"/>
          <w:b/>
        </w:rPr>
      </w:pPr>
      <w:r>
        <w:rPr>
          <w:b/>
        </w:rPr>
      </w:r>
    </w:p>
    <w:p>
      <w:pPr>
        <w:pStyle w:val="Normal"/>
        <w:rPr>
          <w:rFonts w:ascii="Arial" w:hAnsi="Arial"/>
          <w:b/>
        </w:rPr>
      </w:pPr>
      <w:r>
        <w:rPr>
          <w:b/>
        </w:rPr>
      </w:r>
    </w:p>
    <w:p>
      <w:pPr>
        <w:pStyle w:val="Normal"/>
        <w:rPr>
          <w:rFonts w:ascii="Arial" w:hAnsi="Arial"/>
          <w:b/>
        </w:rPr>
      </w:pPr>
      <w:r>
        <w:rPr>
          <w:b/>
        </w:rPr>
      </w:r>
    </w:p>
    <w:p>
      <w:pPr>
        <w:pStyle w:val="Normal"/>
        <w:rPr>
          <w:rFonts w:ascii="Arial" w:hAnsi="Arial"/>
          <w:b/>
        </w:rPr>
      </w:pPr>
      <w:r>
        <w:rPr>
          <w:b/>
        </w:rPr>
      </w:r>
    </w:p>
    <w:p>
      <w:pPr>
        <w:pStyle w:val="Normal"/>
        <w:rPr>
          <w:sz w:val="24"/>
          <w:szCs w:val="24"/>
        </w:rPr>
      </w:pPr>
      <w:r>
        <w:rPr>
          <w:b/>
          <w:sz w:val="24"/>
          <w:szCs w:val="24"/>
        </w:rPr>
        <w:t>Fig. S1. Pairwise average nucleotide identity (ANI) heatmap for 34 Nap2-2B genomes.</w:t>
      </w:r>
    </w:p>
    <w:p>
      <w:pPr>
        <w:pStyle w:val="Normal"/>
        <w:rPr>
          <w:rFonts w:ascii="Arial" w:hAnsi="Arial"/>
        </w:rPr>
      </w:pPr>
      <w:r>
        <w:rPr/>
      </w:r>
    </w:p>
    <w:p>
      <w:pPr>
        <w:pStyle w:val="Normal"/>
        <w:rPr>
          <w:rFonts w:ascii="Arial" w:hAnsi="Arial"/>
        </w:rPr>
      </w:pPr>
      <w:r>
        <w:rPr/>
        <w:drawing>
          <wp:anchor behindDoc="0" distT="0" distB="0" distL="0" distR="0" simplePos="0" locked="0" layoutInCell="0" allowOverlap="1" relativeHeight="4">
            <wp:simplePos x="0" y="0"/>
            <wp:positionH relativeFrom="column">
              <wp:posOffset>-450215</wp:posOffset>
            </wp:positionH>
            <wp:positionV relativeFrom="paragraph">
              <wp:posOffset>151765</wp:posOffset>
            </wp:positionV>
            <wp:extent cx="5486400" cy="4809490"/>
            <wp:effectExtent l="0" t="0" r="0" b="0"/>
            <wp:wrapSquare wrapText="largest"/>
            <wp:docPr id="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pic:cNvPicPr>
                      <a:picLocks noChangeAspect="1" noChangeArrowheads="1"/>
                    </pic:cNvPicPr>
                  </pic:nvPicPr>
                  <pic:blipFill>
                    <a:blip r:embed="rId2"/>
                    <a:stretch>
                      <a:fillRect/>
                    </a:stretch>
                  </pic:blipFill>
                  <pic:spPr bwMode="auto">
                    <a:xfrm>
                      <a:off x="0" y="0"/>
                      <a:ext cx="5486400" cy="4809490"/>
                    </a:xfrm>
                    <a:prstGeom prst="rect">
                      <a:avLst/>
                    </a:prstGeom>
                  </pic:spPr>
                </pic:pic>
              </a:graphicData>
            </a:graphic>
          </wp:anchor>
        </w:drawing>
      </w:r>
    </w:p>
    <w:p>
      <w:pPr>
        <w:pStyle w:val="Normal"/>
        <w:rPr>
          <w:rFonts w:ascii="Arial" w:hAnsi="Arial"/>
        </w:rPr>
      </w:pPr>
      <w:r>
        <w:rPr/>
      </w:r>
    </w:p>
    <w:p>
      <w:pPr>
        <w:pStyle w:val="Normal"/>
        <w:rPr>
          <w:rFonts w:ascii="Arial" w:hAnsi="Arial"/>
        </w:rPr>
      </w:pPr>
      <w:r>
        <w:rPr/>
      </w:r>
    </w:p>
    <w:p>
      <w:pPr>
        <w:pStyle w:val="Normal"/>
        <w:rPr>
          <w:rFonts w:ascii="Arial" w:hAnsi="Arial"/>
        </w:rPr>
      </w:pPr>
      <w:r>
        <w:rPr/>
      </w:r>
    </w:p>
    <w:p>
      <w:pPr>
        <w:pStyle w:val="Normal"/>
        <w:rPr>
          <w:rFonts w:ascii="Arial" w:hAnsi="Arial"/>
        </w:rPr>
      </w:pPr>
      <w:r>
        <w:rPr/>
      </w:r>
    </w:p>
    <w:p>
      <w:pPr>
        <w:pStyle w:val="Normal"/>
        <w:rPr>
          <w:rFonts w:ascii="Arial" w:hAnsi="Arial"/>
        </w:rPr>
      </w:pPr>
      <w:r>
        <w:rPr/>
      </w:r>
    </w:p>
    <w:p>
      <w:pPr>
        <w:pStyle w:val="Normal"/>
        <w:rPr>
          <w:rFonts w:ascii="Arial" w:hAnsi="Arial"/>
        </w:rPr>
      </w:pPr>
      <w:r>
        <w:rPr/>
      </w:r>
    </w:p>
    <w:p>
      <w:pPr>
        <w:pStyle w:val="Normal"/>
        <w:rPr>
          <w:rFonts w:ascii="Arial" w:hAnsi="Arial"/>
        </w:rPr>
      </w:pPr>
      <w:r>
        <w:rPr/>
      </w:r>
    </w:p>
    <w:p>
      <w:pPr>
        <w:pStyle w:val="Normal"/>
        <w:rPr>
          <w:rFonts w:ascii="Arial" w:hAnsi="Arial"/>
        </w:rPr>
      </w:pPr>
      <w:r>
        <w:rPr/>
      </w:r>
    </w:p>
    <w:p>
      <w:pPr>
        <w:pStyle w:val="Normal"/>
        <w:rPr>
          <w:rFonts w:ascii="Arial" w:hAnsi="Arial"/>
        </w:rPr>
      </w:pPr>
      <w:r>
        <w:rPr/>
      </w:r>
    </w:p>
    <w:p>
      <w:pPr>
        <w:pStyle w:val="Normal"/>
        <w:rPr>
          <w:rFonts w:ascii="Arial" w:hAnsi="Arial"/>
        </w:rPr>
      </w:pPr>
      <w:r>
        <w:rPr/>
      </w:r>
    </w:p>
    <w:p>
      <w:pPr>
        <w:pStyle w:val="Normal"/>
        <w:rPr>
          <w:rFonts w:ascii="Arial" w:hAnsi="Arial"/>
        </w:rPr>
      </w:pPr>
      <w:r>
        <w:rPr/>
      </w:r>
    </w:p>
    <w:p>
      <w:pPr>
        <w:pStyle w:val="Normal"/>
        <w:rPr>
          <w:rFonts w:ascii="Arial" w:hAnsi="Arial"/>
        </w:rPr>
      </w:pPr>
      <w:r>
        <w:rPr/>
      </w:r>
    </w:p>
    <w:p>
      <w:pPr>
        <w:pStyle w:val="Normal"/>
        <w:rPr>
          <w:rFonts w:ascii="Arial" w:hAnsi="Arial"/>
        </w:rPr>
      </w:pPr>
      <w:r>
        <w:rPr/>
      </w:r>
    </w:p>
    <w:p>
      <w:pPr>
        <w:pStyle w:val="Normal"/>
        <w:rPr>
          <w:rFonts w:ascii="Arial" w:hAnsi="Arial"/>
        </w:rPr>
      </w:pPr>
      <w:r>
        <w:rPr/>
      </w:r>
    </w:p>
    <w:p>
      <w:pPr>
        <w:pStyle w:val="Normal"/>
        <w:rPr>
          <w:rFonts w:ascii="Arial" w:hAnsi="Arial"/>
        </w:rPr>
      </w:pPr>
      <w:r>
        <w:rPr/>
      </w:r>
    </w:p>
    <w:p>
      <w:pPr>
        <w:pStyle w:val="Normal"/>
        <w:rPr/>
      </w:pPr>
      <w:r>
        <w:rPr>
          <w:sz w:val="24"/>
          <w:szCs w:val="24"/>
        </w:rPr>
        <w:t>Pairwise ANI values were computed using skani v0.3.1 (1) for all 34 Nap2-2B genomes. The heatmap is colored using a YlOrRd gradient (75-100% ANI). Genomes are ordered by GTDB (2) genus assignment and colored accordingly: blue = SCADC1-2-3 (n=13), red = 46-80 (n=13), black = JAIMBK01 (n=6), green = UBA4053 (n=2). Colored bars along the top and left margins indicate genus membership. No inter-genus genome pair exceeded the 95% ANI species boundary threshold, confirming genus-level divergence. Within genera, multiple species-level clusters (&gt;=95% ANI) were identified, particularly within SCADC1-2-3 and 46-80. Intra-genus ANI values range from ~78-89%, while inter-genus values are generally lower (75-82%).</w:t>
      </w:r>
    </w:p>
    <w:p>
      <w:pPr>
        <w:pStyle w:val="Normal"/>
        <w:rPr>
          <w:sz w:val="24"/>
          <w:szCs w:val="24"/>
        </w:rPr>
      </w:pPr>
      <w:r>
        <w:rPr>
          <w:b/>
          <w:sz w:val="24"/>
          <w:szCs w:val="24"/>
        </w:rPr>
        <w:t>Fig. S2. Genome assembly and quality statistics for 34 Nap2-2B genomes by genus.</w:t>
      </w:r>
    </w:p>
    <w:p>
      <w:pPr>
        <w:pStyle w:val="Normal"/>
        <w:rPr>
          <w:rFonts w:ascii="Arial" w:hAnsi="Arial"/>
        </w:rPr>
      </w:pPr>
      <w:r>
        <w:drawing>
          <wp:anchor behindDoc="0" distT="0" distB="0" distL="0" distR="0" simplePos="0" locked="0" layoutInCell="0" allowOverlap="1" relativeHeight="2">
            <wp:simplePos x="0" y="0"/>
            <wp:positionH relativeFrom="column">
              <wp:posOffset>-461010</wp:posOffset>
            </wp:positionH>
            <wp:positionV relativeFrom="paragraph">
              <wp:posOffset>285115</wp:posOffset>
            </wp:positionV>
            <wp:extent cx="6337935" cy="3700780"/>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6337935" cy="3700780"/>
                    </a:xfrm>
                    <a:prstGeom prst="rect">
                      <a:avLst/>
                    </a:prstGeom>
                  </pic:spPr>
                </pic:pic>
              </a:graphicData>
            </a:graphic>
          </wp:anchor>
        </w:drawing>
      </w:r>
      <w:r>
        <w:rPr>
          <w:sz w:val="24"/>
          <w:szCs w:val="24"/>
        </w:rPr>
        <w:t xml:space="preserve"> </w:t>
      </w:r>
    </w:p>
    <w:p>
      <w:pPr>
        <w:pStyle w:val="Normal"/>
        <w:rPr>
          <w:rFonts w:ascii="Arial" w:hAnsi="Arial"/>
        </w:rPr>
      </w:pPr>
      <w:r>
        <w:rPr/>
      </w:r>
    </w:p>
    <w:p>
      <w:pPr>
        <w:pStyle w:val="Normal"/>
        <w:rPr/>
      </w:pPr>
      <w:r>
        <w:rPr>
          <w:sz w:val="24"/>
          <w:szCs w:val="24"/>
        </w:rPr>
        <w:t>Box-and-strip plots of six genome quality and assembly metrics, grouped by GTDB genus: completeness (%, CheckM2 (3)), contamination (%, CheckM2), genome size (Mb), GC content, contig N50 (kb), and number of coding sequences. Individual genomes are shown as jittered points. Box plots show median (black line), interquartile range (shaded box), and whiskers. Colors as in Fig. S1.</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b/>
          <w:sz w:val="24"/>
          <w:szCs w:val="24"/>
        </w:rPr>
        <w:t>Fig. S3. Pangenome analysis of 34 Nap2-2B genomes.</w:t>
      </w:r>
    </w:p>
    <w:p>
      <w:pPr>
        <w:pStyle w:val="Normal"/>
        <w:rPr/>
      </w:pPr>
      <w:r>
        <w:rPr>
          <w:sz w:val="24"/>
          <w:szCs w:val="24"/>
        </w:rPr>
        <w:t>Pangenome analysis was performed using Panaroo v1.3 (4) with moderate clean mode and a core threshold of 0.95. (A) Pangenome composition showing the proportion of core (present in &gt;=95% of genomes), soft-core (85-95%), shell (15-85%), and cloud (&lt;15%) gene clusters. (B) Gene accumulation curve showing the total number of gene clusters as a function of the number of genomes sampled (mean +/- SD of 50 random permutations). The open pangenome indicates substantial gene content diversity across the Nap2-2B family.</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drawing>
          <wp:anchor behindDoc="0" distT="0" distB="0" distL="0" distR="0" simplePos="0" locked="0" layoutInCell="0" allowOverlap="1" relativeHeight="3">
            <wp:simplePos x="0" y="0"/>
            <wp:positionH relativeFrom="column">
              <wp:posOffset>-448310</wp:posOffset>
            </wp:positionH>
            <wp:positionV relativeFrom="paragraph">
              <wp:posOffset>-135255</wp:posOffset>
            </wp:positionV>
            <wp:extent cx="6606540" cy="2764155"/>
            <wp:effectExtent l="0" t="0" r="0" b="0"/>
            <wp:wrapSquare wrapText="largest"/>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4"/>
                    <a:stretch>
                      <a:fillRect/>
                    </a:stretch>
                  </pic:blipFill>
                  <pic:spPr bwMode="auto">
                    <a:xfrm>
                      <a:off x="0" y="0"/>
                      <a:ext cx="6606540" cy="2764155"/>
                    </a:xfrm>
                    <a:prstGeom prst="rect">
                      <a:avLst/>
                    </a:prstGeom>
                  </pic:spPr>
                </pic:pic>
              </a:graphicData>
            </a:graphic>
          </wp:anchor>
        </w:drawing>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Heading1"/>
        <w:rPr>
          <w:color w:val="000000"/>
          <w:sz w:val="24"/>
          <w:szCs w:val="24"/>
        </w:rPr>
      </w:pPr>
      <w:r>
        <w:rPr>
          <w:rFonts w:ascii="Arial" w:hAnsi="Arial"/>
          <w:color w:val="000000"/>
          <w:sz w:val="24"/>
          <w:szCs w:val="24"/>
        </w:rPr>
        <w:t>Supplementary Tables</w:t>
      </w:r>
    </w:p>
    <w:p>
      <w:pPr>
        <w:pStyle w:val="ListBullet"/>
        <w:numPr>
          <w:ilvl w:val="0"/>
          <w:numId w:val="1"/>
        </w:numPr>
        <w:rPr>
          <w:sz w:val="24"/>
          <w:szCs w:val="24"/>
        </w:rPr>
      </w:pPr>
      <w:r>
        <w:rPr>
          <w:b/>
          <w:sz w:val="24"/>
          <w:szCs w:val="24"/>
        </w:rPr>
        <w:t xml:space="preserve">S1a: Subunit Summary. </w:t>
      </w:r>
      <w:r>
        <w:rPr>
          <w:sz w:val="24"/>
          <w:szCs w:val="24"/>
        </w:rPr>
        <w:t>Summary of assD/bssD, bssB, bssC, and radical SAM subunit detection per assA/bssA operon across 18 Nap2-2B operons.</w:t>
      </w:r>
    </w:p>
    <w:p>
      <w:pPr>
        <w:pStyle w:val="ListBullet"/>
        <w:numPr>
          <w:ilvl w:val="0"/>
          <w:numId w:val="1"/>
        </w:numPr>
        <w:rPr>
          <w:sz w:val="24"/>
          <w:szCs w:val="24"/>
        </w:rPr>
      </w:pPr>
      <w:r>
        <w:rPr>
          <w:b/>
          <w:sz w:val="24"/>
          <w:szCs w:val="24"/>
        </w:rPr>
        <w:t xml:space="preserve">S1b: DIAMOND Annotations. </w:t>
      </w:r>
      <w:r>
        <w:rPr>
          <w:sz w:val="24"/>
          <w:szCs w:val="24"/>
        </w:rPr>
        <w:t>Full DIAMOND blastp annotations of all flanking genes (±7 positions) around assA/bssA anchor genes, including percent identity, alignment length, e-value, bitscore, and functional description.</w:t>
      </w:r>
    </w:p>
    <w:p>
      <w:pPr>
        <w:pStyle w:val="ListBullet"/>
        <w:numPr>
          <w:ilvl w:val="0"/>
          <w:numId w:val="1"/>
        </w:numPr>
        <w:rPr>
          <w:sz w:val="24"/>
          <w:szCs w:val="24"/>
        </w:rPr>
      </w:pPr>
      <w:r>
        <w:rPr>
          <w:b/>
          <w:sz w:val="24"/>
          <w:szCs w:val="24"/>
        </w:rPr>
        <w:t xml:space="preserve">S2a: Genome Stats. </w:t>
      </w:r>
      <w:r>
        <w:rPr>
          <w:sz w:val="24"/>
          <w:szCs w:val="24"/>
        </w:rPr>
        <w:t>Genome quality and assembly statistics for all 34 Nap2-2B metagenome-assembled genomes, including completeness, contamination, genome size, GC content, N50, coding sequence count, and coding density.</w:t>
      </w:r>
    </w:p>
    <w:p>
      <w:pPr>
        <w:pStyle w:val="ListBullet"/>
        <w:numPr>
          <w:ilvl w:val="0"/>
          <w:numId w:val="1"/>
        </w:numPr>
        <w:rPr>
          <w:sz w:val="24"/>
          <w:szCs w:val="24"/>
        </w:rPr>
      </w:pPr>
      <w:r>
        <w:rPr>
          <w:b/>
          <w:sz w:val="24"/>
          <w:szCs w:val="24"/>
        </w:rPr>
        <w:t xml:space="preserve">S2b: Genus Summary. </w:t>
      </w:r>
      <w:r>
        <w:rPr>
          <w:sz w:val="24"/>
          <w:szCs w:val="24"/>
        </w:rPr>
        <w:t>Summary statistics (mean ± SD) of genome quality metrics by GTDB genus.</w:t>
      </w:r>
    </w:p>
    <w:p>
      <w:pPr>
        <w:pStyle w:val="ListBullet"/>
        <w:numPr>
          <w:ilvl w:val="0"/>
          <w:numId w:val="1"/>
        </w:numPr>
        <w:rPr>
          <w:sz w:val="24"/>
          <w:szCs w:val="24"/>
        </w:rPr>
      </w:pPr>
      <w:r>
        <w:rPr>
          <w:b/>
          <w:sz w:val="24"/>
          <w:szCs w:val="24"/>
        </w:rPr>
        <w:t xml:space="preserve">S3: ANI Matrix. </w:t>
      </w:r>
      <w:r>
        <w:rPr>
          <w:sz w:val="24"/>
          <w:szCs w:val="24"/>
        </w:rPr>
        <w:t>Pairwise average nucleotide identity (ANI) matrix for all 34 Nap2-2B genomes computed using skani v0.3.1, with genus assignments.</w:t>
      </w:r>
    </w:p>
    <w:p>
      <w:pPr>
        <w:pStyle w:val="ListBullet"/>
        <w:numPr>
          <w:ilvl w:val="0"/>
          <w:numId w:val="1"/>
        </w:numPr>
        <w:rPr>
          <w:sz w:val="24"/>
          <w:szCs w:val="24"/>
        </w:rPr>
      </w:pPr>
      <w:r>
        <w:rPr>
          <w:b/>
          <w:sz w:val="24"/>
          <w:szCs w:val="24"/>
        </w:rPr>
        <w:t xml:space="preserve">S3b: ANI Summary. </w:t>
      </w:r>
      <w:r>
        <w:rPr>
          <w:sz w:val="24"/>
          <w:szCs w:val="24"/>
        </w:rPr>
        <w:t>Mean, minimum, and maximum ANI values summarized by genus pair.</w:t>
      </w:r>
    </w:p>
    <w:p>
      <w:pPr>
        <w:pStyle w:val="ListBullet"/>
        <w:numPr>
          <w:ilvl w:val="0"/>
          <w:numId w:val="1"/>
        </w:numPr>
        <w:rPr>
          <w:sz w:val="24"/>
          <w:szCs w:val="24"/>
        </w:rPr>
      </w:pPr>
      <w:r>
        <w:rPr>
          <w:b/>
          <w:sz w:val="24"/>
          <w:szCs w:val="24"/>
        </w:rPr>
        <w:t xml:space="preserve">S4a: Indicator KOs. </w:t>
      </w:r>
      <w:r>
        <w:rPr>
          <w:sz w:val="24"/>
          <w:szCs w:val="24"/>
        </w:rPr>
        <w:t>Genus-specific KEGG ortholog (KO) indicators identified by prevalence filtering (&gt;=80% in target genus, &lt;=20% in all others). Reports per-genus prevalence for all 34 genomes.</w:t>
      </w:r>
    </w:p>
    <w:p>
      <w:pPr>
        <w:pStyle w:val="ListBullet"/>
        <w:numPr>
          <w:ilvl w:val="0"/>
          <w:numId w:val="1"/>
        </w:numPr>
        <w:rPr>
          <w:sz w:val="24"/>
          <w:szCs w:val="24"/>
        </w:rPr>
      </w:pPr>
      <w:r>
        <w:rPr>
          <w:b/>
          <w:sz w:val="24"/>
          <w:szCs w:val="24"/>
        </w:rPr>
        <w:t xml:space="preserve">S4b: Unique KOs. </w:t>
      </w:r>
      <w:r>
        <w:rPr>
          <w:sz w:val="24"/>
          <w:szCs w:val="24"/>
        </w:rPr>
        <w:t>KOs unique to each genus (&gt;=50% prevalence in target genus, 0% in all others), with per-genus prevalence values.</w:t>
      </w:r>
    </w:p>
    <w:p>
      <w:pPr>
        <w:pStyle w:val="ListBullet"/>
        <w:numPr>
          <w:ilvl w:val="0"/>
          <w:numId w:val="1"/>
        </w:numPr>
        <w:rPr>
          <w:sz w:val="24"/>
          <w:szCs w:val="24"/>
        </w:rPr>
      </w:pPr>
      <w:r>
        <w:rPr>
          <w:b/>
          <w:sz w:val="24"/>
          <w:szCs w:val="24"/>
        </w:rPr>
        <w:t xml:space="preserve">S4c: Core KOs. </w:t>
      </w:r>
      <w:r>
        <w:rPr>
          <w:sz w:val="24"/>
          <w:szCs w:val="24"/>
        </w:rPr>
        <w:t>Core KOs shared by all four genera (&gt;=50% prevalence in each), with per-genus prevalence values. 666 KOs total.</w:t>
      </w:r>
    </w:p>
    <w:p>
      <w:pPr>
        <w:pStyle w:val="ListBullet"/>
        <w:numPr>
          <w:ilvl w:val="0"/>
          <w:numId w:val="0"/>
        </w:numPr>
        <w:ind w:hanging="0" w:left="0"/>
        <w:rPr>
          <w:rFonts w:ascii="Arial" w:hAnsi="Arial"/>
        </w:rPr>
      </w:pPr>
      <w:r>
        <w:rPr/>
      </w:r>
    </w:p>
    <w:p>
      <w:pPr>
        <w:pStyle w:val="ListBullet"/>
        <w:numPr>
          <w:ilvl w:val="0"/>
          <w:numId w:val="0"/>
        </w:numPr>
        <w:ind w:hanging="0" w:left="0"/>
        <w:rPr>
          <w:rFonts w:ascii="Arial" w:hAnsi="Arial"/>
        </w:rPr>
      </w:pPr>
      <w:r>
        <w:rPr/>
      </w:r>
    </w:p>
    <w:p>
      <w:pPr>
        <w:pStyle w:val="ListBullet"/>
        <w:numPr>
          <w:ilvl w:val="0"/>
          <w:numId w:val="0"/>
        </w:numPr>
        <w:ind w:hanging="0" w:left="0"/>
        <w:rPr>
          <w:rFonts w:ascii="Arial" w:hAnsi="Arial"/>
        </w:rPr>
      </w:pPr>
      <w:r>
        <w:rPr/>
      </w:r>
    </w:p>
    <w:p>
      <w:pPr>
        <w:pStyle w:val="ListBullet"/>
        <w:numPr>
          <w:ilvl w:val="0"/>
          <w:numId w:val="0"/>
        </w:numPr>
        <w:ind w:hanging="0" w:left="0"/>
        <w:rPr>
          <w:rFonts w:ascii="Arial" w:hAnsi="Arial"/>
        </w:rPr>
      </w:pPr>
      <w:r>
        <w:rPr/>
      </w:r>
    </w:p>
    <w:p>
      <w:pPr>
        <w:pStyle w:val="ListBullet"/>
        <w:numPr>
          <w:ilvl w:val="0"/>
          <w:numId w:val="0"/>
        </w:numPr>
        <w:ind w:hanging="0" w:left="0"/>
        <w:rPr>
          <w:rFonts w:ascii="Arial" w:hAnsi="Arial"/>
        </w:rPr>
      </w:pPr>
      <w:r>
        <w:rPr/>
      </w:r>
    </w:p>
    <w:p>
      <w:pPr>
        <w:pStyle w:val="ListBullet"/>
        <w:numPr>
          <w:ilvl w:val="0"/>
          <w:numId w:val="0"/>
        </w:numPr>
        <w:ind w:hanging="0" w:left="0"/>
        <w:rPr>
          <w:rFonts w:ascii="Arial" w:hAnsi="Arial"/>
        </w:rPr>
      </w:pPr>
      <w:r>
        <w:rPr/>
      </w:r>
    </w:p>
    <w:p>
      <w:pPr>
        <w:pStyle w:val="ListBullet"/>
        <w:numPr>
          <w:ilvl w:val="0"/>
          <w:numId w:val="0"/>
        </w:numPr>
        <w:ind w:hanging="0" w:left="0"/>
        <w:rPr>
          <w:rFonts w:ascii="Arial" w:hAnsi="Arial"/>
        </w:rPr>
      </w:pPr>
      <w:r>
        <w:rPr/>
      </w:r>
    </w:p>
    <w:p>
      <w:pPr>
        <w:pStyle w:val="ListBullet"/>
        <w:numPr>
          <w:ilvl w:val="0"/>
          <w:numId w:val="0"/>
        </w:numPr>
        <w:ind w:hanging="0" w:left="0"/>
        <w:rPr>
          <w:rFonts w:ascii="Arial" w:hAnsi="Arial"/>
        </w:rPr>
      </w:pPr>
      <w:r>
        <w:rPr/>
      </w:r>
    </w:p>
    <w:p>
      <w:pPr>
        <w:pStyle w:val="ListBullet"/>
        <w:numPr>
          <w:ilvl w:val="0"/>
          <w:numId w:val="0"/>
        </w:numPr>
        <w:ind w:hanging="0" w:left="0"/>
        <w:rPr>
          <w:rFonts w:ascii="Arial" w:hAnsi="Arial"/>
        </w:rPr>
      </w:pPr>
      <w:r>
        <w:rPr/>
      </w:r>
    </w:p>
    <w:p>
      <w:pPr>
        <w:pStyle w:val="ListBullet"/>
        <w:numPr>
          <w:ilvl w:val="0"/>
          <w:numId w:val="0"/>
        </w:numPr>
        <w:ind w:hanging="0" w:left="0"/>
        <w:rPr>
          <w:rFonts w:ascii="Arial" w:hAnsi="Arial"/>
        </w:rPr>
      </w:pPr>
      <w:r>
        <w:rPr/>
      </w:r>
    </w:p>
    <w:p>
      <w:pPr>
        <w:pStyle w:val="ListBullet"/>
        <w:numPr>
          <w:ilvl w:val="0"/>
          <w:numId w:val="0"/>
        </w:numPr>
        <w:ind w:hanging="0" w:left="0"/>
        <w:rPr>
          <w:rFonts w:ascii="Arial" w:hAnsi="Arial"/>
        </w:rPr>
      </w:pPr>
      <w:r>
        <w:rPr/>
      </w:r>
    </w:p>
    <w:p>
      <w:pPr>
        <w:pStyle w:val="ListBullet"/>
        <w:numPr>
          <w:ilvl w:val="0"/>
          <w:numId w:val="0"/>
        </w:numPr>
        <w:ind w:hanging="0" w:left="0"/>
        <w:rPr>
          <w:rFonts w:ascii="Arial" w:hAnsi="Arial"/>
        </w:rPr>
      </w:pPr>
      <w:r>
        <w:rPr/>
      </w:r>
    </w:p>
    <w:p>
      <w:pPr>
        <w:pStyle w:val="ListBullet"/>
        <w:numPr>
          <w:ilvl w:val="0"/>
          <w:numId w:val="0"/>
        </w:numPr>
        <w:ind w:hanging="0" w:left="0"/>
        <w:rPr>
          <w:rFonts w:ascii="Arial" w:hAnsi="Arial"/>
        </w:rPr>
      </w:pPr>
      <w:r>
        <w:rPr/>
      </w:r>
    </w:p>
    <w:p>
      <w:pPr>
        <w:pStyle w:val="ListBullet"/>
        <w:numPr>
          <w:ilvl w:val="0"/>
          <w:numId w:val="0"/>
        </w:numPr>
        <w:ind w:hanging="0" w:left="0"/>
        <w:rPr>
          <w:rFonts w:ascii="Arial" w:hAnsi="Arial"/>
        </w:rPr>
      </w:pPr>
      <w:r>
        <w:rPr/>
      </w:r>
    </w:p>
    <w:p>
      <w:pPr>
        <w:pStyle w:val="ListBullet"/>
        <w:numPr>
          <w:ilvl w:val="0"/>
          <w:numId w:val="0"/>
        </w:numPr>
        <w:ind w:hanging="0" w:left="0"/>
        <w:rPr>
          <w:rFonts w:ascii="Arial" w:hAnsi="Arial"/>
        </w:rPr>
      </w:pPr>
      <w:r>
        <w:rPr/>
      </w:r>
    </w:p>
    <w:p>
      <w:pPr>
        <w:pStyle w:val="ListBullet"/>
        <w:numPr>
          <w:ilvl w:val="0"/>
          <w:numId w:val="0"/>
        </w:numPr>
        <w:ind w:hanging="0" w:left="0"/>
        <w:rPr>
          <w:rFonts w:ascii="Arial" w:hAnsi="Arial"/>
        </w:rPr>
      </w:pPr>
      <w:r>
        <w:rPr/>
      </w:r>
    </w:p>
    <w:p>
      <w:pPr>
        <w:pStyle w:val="ListBullet"/>
        <w:numPr>
          <w:ilvl w:val="0"/>
          <w:numId w:val="0"/>
        </w:numPr>
        <w:ind w:hanging="0" w:left="0"/>
        <w:rPr>
          <w:b/>
          <w:bCs/>
          <w:sz w:val="24"/>
          <w:szCs w:val="24"/>
        </w:rPr>
      </w:pPr>
      <w:r>
        <w:rPr>
          <w:b/>
          <w:bCs/>
          <w:sz w:val="24"/>
          <w:szCs w:val="24"/>
        </w:rPr>
        <w:t>Reference</w:t>
      </w:r>
    </w:p>
    <w:p>
      <w:pPr>
        <w:pStyle w:val="ListBullet"/>
        <w:numPr>
          <w:ilvl w:val="0"/>
          <w:numId w:val="0"/>
        </w:numPr>
        <w:ind w:hanging="0" w:left="0"/>
        <w:rPr>
          <w:rFonts w:ascii="Arial" w:hAnsi="Arial"/>
        </w:rPr>
      </w:pPr>
      <w:r>
        <w:rPr/>
      </w:r>
    </w:p>
    <w:p>
      <w:pPr>
        <w:sectPr>
          <w:type w:val="nextPage"/>
          <w:pgSz w:w="12240" w:h="15840"/>
          <w:pgMar w:left="1800" w:right="1800" w:gutter="0" w:header="0" w:top="1440" w:footer="0" w:bottom="1440"/>
          <w:pgNumType w:fmt="decimal"/>
          <w:formProt w:val="false"/>
          <w:textDirection w:val="lrTb"/>
          <w:docGrid w:type="default" w:linePitch="360" w:charSpace="0"/>
        </w:sectPr>
      </w:pPr>
    </w:p>
    <w:p>
      <w:pPr>
        <w:pStyle w:val="Bibliography1"/>
        <w:rPr/>
      </w:pPr>
      <w:r>
        <w:rPr/>
        <w:t>1.</w:t>
        <w:tab/>
        <w:t>Shaw J, Yu YW. Fast and robust metagenomic sequence comparison through sparse chaining with skani. Nature Methods. 2023 Sep;20(11):1661–5. doi:10.1038/s41592-023-02018-3</w:t>
      </w:r>
    </w:p>
    <w:p>
      <w:pPr>
        <w:pStyle w:val="Bibliography1"/>
        <w:rPr/>
      </w:pPr>
      <w:r>
        <w:rPr/>
        <w:t>2.</w:t>
        <w:tab/>
        <w:t>Chaumeil PA, Mussig AJ, Hugenholtz P, Parks DH. GTDB-Tk v2: memory friendly classification with the genome taxonomy database. Borgwardt K, editor. Bioinformatics. 2022 Oct;38(23):5315–6. doi:10.1093/bioinformatics/btac672</w:t>
      </w:r>
    </w:p>
    <w:p>
      <w:pPr>
        <w:pStyle w:val="Bibliography1"/>
        <w:rPr/>
      </w:pPr>
      <w:r>
        <w:rPr/>
        <w:t>3.</w:t>
        <w:tab/>
        <w:t>Chklovski A, Parks DH, Woodcroft BJ, Tyson GW. CheckM2: a rapid, scalable and accurate tool for assessing microbial genome quality using machine learning. Nature Methods. 2023 Jul;20(8):1203–12. doi:10.1038/s41592-023-01940-w</w:t>
      </w:r>
    </w:p>
    <w:p>
      <w:pPr>
        <w:pStyle w:val="Bibliography1"/>
        <w:rPr/>
      </w:pPr>
      <w:r>
        <w:rPr/>
        <w:t>4.</w:t>
        <w:tab/>
        <w:t>Tonkin-Hill G, MacAlasdair N, Ruis C, Weimann A, Horesh G, Lees JA, et al. Producing polished prokaryotic pangenomes with the Panaroo pipeline. Genome Biol. 2020 Jul 22;21:180. doi:10.1186/s13059-020-02090-4 PubMed PMID: 32698896; PubMed Central PMCID: PMC7376924.</w:t>
      </w:r>
    </w:p>
    <w:p>
      <w:pPr>
        <w:sectPr>
          <w:type w:val="continuous"/>
          <w:pgSz w:w="12240" w:h="15840"/>
          <w:pgMar w:left="1800" w:right="1800" w:gutter="0" w:header="0" w:top="1440" w:footer="0" w:bottom="1440"/>
          <w:formProt w:val="false"/>
          <w:textDirection w:val="lrTb"/>
          <w:docGrid w:type="default" w:linePitch="360" w:charSpace="0"/>
        </w:sectPr>
      </w:pPr>
    </w:p>
    <w:p>
      <w:pPr>
        <w:pStyle w:val="ListBullet"/>
        <w:numPr>
          <w:ilvl w:val="0"/>
          <w:numId w:val="1"/>
        </w:numPr>
        <w:spacing w:before="0" w:after="200"/>
        <w:ind w:hanging="0" w:left="0"/>
        <w:contextualSpacing/>
        <w:rPr/>
      </w:pPr>
      <w:r>
        <w:rPr/>
      </w:r>
    </w:p>
    <w:sectPr>
      <w:type w:val="continuous"/>
      <w:pgSz w:w="12240" w:h="15840"/>
      <w:pgMar w:left="1800" w:right="180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suppressAutoHyphens w:val="true"/>
      <w:bidi w:val="0"/>
      <w:spacing w:lineRule="auto" w:line="276" w:before="0" w:after="200"/>
      <w:jc w:val="left"/>
    </w:pPr>
    <w:rPr>
      <w:rFonts w:ascii="Arial" w:hAnsi="Arial" w:eastAsia="" w:cs="" w:cstheme="minorBidi" w:eastAsiaTheme="minorEastAsia"/>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lef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paragraph" w:styleId="Bibliography1">
    <w:name w:val="Bibliography 1"/>
    <w:basedOn w:val="Index"/>
    <w:qFormat/>
    <w:pPr>
      <w:tabs>
        <w:tab w:val="clear" w:pos="720"/>
        <w:tab w:val="left" w:pos="264" w:leader="none"/>
      </w:tabs>
      <w:spacing w:lineRule="atLeast" w:line="240" w:before="0" w:after="240"/>
      <w:ind w:hanging="264" w:left="264"/>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Application>LibreOffice/24.2.7.2$Linux_X86_64 LibreOffice_project/420$Build-2</Application>
  <AppVersion>15.0000</AppVersion>
  <Pages>6</Pages>
  <Words>614</Words>
  <Characters>3721</Characters>
  <CharactersWithSpaces>4300</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2026-03-23T01:18:19Z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id="ad4a1QYq"/&gt;&lt;style id="http://www.zotero.org/styles/nlm-citation-sequence" locale="en-US" hasBibliography="1" bibliographyStyleHasBeenSet="1"/&gt;&lt;prefs&gt;&lt;pref name="fieldType" value="ReferenceMark"/&gt;&lt;</vt:lpwstr>
  </property>
  <property fmtid="{D5CDD505-2E9C-101B-9397-08002B2CF9AE}" pid="3" name="ZOTERO_PREF_2">
    <vt:lpwstr>/prefs&gt;&lt;/data&gt;</vt:lpwstr>
  </property>
</Properties>
</file>