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6670" w14:textId="77777777" w:rsidR="008C4CEA" w:rsidRDefault="008C4CEA" w:rsidP="008C4CEA">
      <w:pPr>
        <w:spacing w:after="120"/>
        <w:jc w:val="center"/>
      </w:pPr>
      <w:r>
        <w:rPr>
          <w:rFonts w:eastAsia="Arial"/>
          <w:b/>
          <w:bCs/>
          <w:color w:val="2E4057"/>
          <w:sz w:val="36"/>
          <w:szCs w:val="36"/>
        </w:rPr>
        <w:t>Supplementary Information</w:t>
      </w:r>
    </w:p>
    <w:p w14:paraId="750EDF81" w14:textId="77777777" w:rsidR="008C4CEA" w:rsidRDefault="008C4CEA" w:rsidP="008C4CEA">
      <w:pPr>
        <w:pStyle w:val="1"/>
      </w:pPr>
      <w:r>
        <w:t>Supplementary Tables</w:t>
      </w:r>
    </w:p>
    <w:p w14:paraId="56A14BC7" w14:textId="77777777" w:rsidR="008C4CEA" w:rsidRDefault="008C4CEA" w:rsidP="008C4CEA">
      <w:pPr>
        <w:spacing w:before="200" w:after="120"/>
      </w:pPr>
      <w:r>
        <w:rPr>
          <w:b/>
          <w:bCs/>
          <w:color w:val="000000"/>
        </w:rPr>
        <w:t xml:space="preserve">Supplementary Table S1 | Nuisance model comparison for </w:t>
      </w:r>
      <w:proofErr w:type="spellStart"/>
      <w:r>
        <w:rPr>
          <w:b/>
          <w:bCs/>
          <w:color w:val="000000"/>
        </w:rPr>
        <w:t>CausalForestDML</w:t>
      </w:r>
      <w:proofErr w:type="spellEnd"/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2200"/>
        <w:gridCol w:w="1800"/>
      </w:tblGrid>
      <w:tr w:rsidR="008C4CEA" w14:paraId="5F12F374" w14:textId="77777777" w:rsidTr="005231ED">
        <w:trPr>
          <w:tblHeader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4EB23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Nuisance Model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1D4906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DR Estimate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874492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95% CI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5E6344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CI Width</w:t>
            </w:r>
          </w:p>
        </w:tc>
      </w:tr>
      <w:tr w:rsidR="008C4CEA" w14:paraId="71BDBE2A" w14:textId="77777777" w:rsidTr="005231ED">
        <w:tc>
          <w:tcPr>
            <w:tcW w:w="2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EF4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29B7A" w14:textId="77777777" w:rsidR="008C4CEA" w:rsidRDefault="008C4CEA" w:rsidP="005231ED">
            <w:pPr>
              <w:spacing w:before="40" w:after="40"/>
            </w:pPr>
            <w:r>
              <w:rPr>
                <w:b/>
                <w:bCs/>
                <w:sz w:val="20"/>
                <w:szCs w:val="20"/>
              </w:rPr>
              <w:t>Random Forest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EF4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39E90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sz w:val="20"/>
                <w:szCs w:val="20"/>
              </w:rPr>
              <w:t>0.280</w:t>
            </w:r>
          </w:p>
        </w:tc>
        <w:tc>
          <w:tcPr>
            <w:tcW w:w="2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EF4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6F545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sz w:val="20"/>
                <w:szCs w:val="20"/>
              </w:rPr>
              <w:t>0.244–0.316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EF4FB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C34AF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sz w:val="20"/>
                <w:szCs w:val="20"/>
              </w:rPr>
              <w:t>0.072</w:t>
            </w:r>
          </w:p>
        </w:tc>
      </w:tr>
      <w:tr w:rsidR="008C4CEA" w14:paraId="35668DC4" w14:textId="77777777" w:rsidTr="005231ED">
        <w:tc>
          <w:tcPr>
            <w:tcW w:w="2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3551FD" w14:textId="77777777" w:rsidR="008C4CEA" w:rsidRDefault="008C4CEA" w:rsidP="005231ED">
            <w:pPr>
              <w:spacing w:before="40" w:after="40"/>
            </w:pPr>
            <w:proofErr w:type="spellStart"/>
            <w:r>
              <w:rPr>
                <w:sz w:val="20"/>
                <w:szCs w:val="20"/>
              </w:rPr>
              <w:t>CatBoost</w:t>
            </w:r>
            <w:proofErr w:type="spellEnd"/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70CC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0.272</w:t>
            </w:r>
          </w:p>
        </w:tc>
        <w:tc>
          <w:tcPr>
            <w:tcW w:w="2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24581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0.217–0.325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10842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0.108</w:t>
            </w:r>
          </w:p>
        </w:tc>
      </w:tr>
      <w:tr w:rsidR="008C4CEA" w14:paraId="2BFD0E87" w14:textId="77777777" w:rsidTr="005231ED">
        <w:tc>
          <w:tcPr>
            <w:tcW w:w="2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95E1D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Logistic Regression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7C4412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0.618</w:t>
            </w:r>
          </w:p>
        </w:tc>
        <w:tc>
          <w:tcPr>
            <w:tcW w:w="2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4C2F9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−0.248 to 1.959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AB7E0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2.207</w:t>
            </w:r>
          </w:p>
        </w:tc>
      </w:tr>
      <w:tr w:rsidR="008C4CEA" w14:paraId="6D78ED1B" w14:textId="77777777" w:rsidTr="005231ED">
        <w:tc>
          <w:tcPr>
            <w:tcW w:w="2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31827" w14:textId="77777777" w:rsidR="008C4CEA" w:rsidRDefault="008C4CEA" w:rsidP="005231ED">
            <w:pPr>
              <w:spacing w:before="40" w:after="40"/>
            </w:pPr>
            <w:proofErr w:type="spellStart"/>
            <w:r>
              <w:rPr>
                <w:sz w:val="20"/>
                <w:szCs w:val="20"/>
              </w:rPr>
              <w:t>HistGradientBoosting</w:t>
            </w:r>
            <w:proofErr w:type="spellEnd"/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2521B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1.620</w:t>
            </w:r>
          </w:p>
        </w:tc>
        <w:tc>
          <w:tcPr>
            <w:tcW w:w="2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4A9A6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−0.790 to 4.329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D4F53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5.119</w:t>
            </w:r>
          </w:p>
        </w:tc>
      </w:tr>
      <w:tr w:rsidR="008C4CEA" w14:paraId="14B60366" w14:textId="77777777" w:rsidTr="005231ED">
        <w:tc>
          <w:tcPr>
            <w:tcW w:w="2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D095D" w14:textId="77777777" w:rsidR="008C4CEA" w:rsidRDefault="008C4CEA" w:rsidP="005231ED">
            <w:pPr>
              <w:spacing w:before="40" w:after="40"/>
            </w:pPr>
            <w:proofErr w:type="spellStart"/>
            <w:r>
              <w:rPr>
                <w:sz w:val="20"/>
                <w:szCs w:val="20"/>
              </w:rPr>
              <w:t>LightGBM</w:t>
            </w:r>
            <w:proofErr w:type="spellEnd"/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D05A3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1.102</w:t>
            </w:r>
          </w:p>
        </w:tc>
        <w:tc>
          <w:tcPr>
            <w:tcW w:w="2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DF151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−1.230 to 3.603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F859E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4.833</w:t>
            </w:r>
          </w:p>
        </w:tc>
      </w:tr>
    </w:tbl>
    <w:p w14:paraId="25AD236B" w14:textId="77777777" w:rsidR="008C4CEA" w:rsidRDefault="008C4CEA" w:rsidP="008C4CEA">
      <w:pPr>
        <w:spacing w:before="80" w:after="80"/>
      </w:pPr>
      <w:r>
        <w:rPr>
          <w:i/>
          <w:iCs/>
          <w:sz w:val="20"/>
          <w:szCs w:val="20"/>
        </w:rPr>
        <w:t xml:space="preserve">Random Forest was selected based on (1) algorithmic consistency with </w:t>
      </w:r>
      <w:proofErr w:type="spellStart"/>
      <w:r>
        <w:rPr>
          <w:i/>
          <w:iCs/>
          <w:sz w:val="20"/>
          <w:szCs w:val="20"/>
        </w:rPr>
        <w:t>CausalForestDML's</w:t>
      </w:r>
      <w:proofErr w:type="spellEnd"/>
      <w:r>
        <w:rPr>
          <w:i/>
          <w:iCs/>
          <w:sz w:val="20"/>
          <w:szCs w:val="20"/>
        </w:rPr>
        <w:t xml:space="preserve"> internal Generalised Random Forest, and (2) the narrowest CI width indicating stable estimation.</w:t>
      </w:r>
    </w:p>
    <w:p w14:paraId="7E347EA8" w14:textId="77777777" w:rsidR="008C4CEA" w:rsidRDefault="008C4CEA" w:rsidP="008C4CEA">
      <w:pPr>
        <w:spacing w:before="240" w:after="80"/>
      </w:pPr>
    </w:p>
    <w:p w14:paraId="3EEBFB7A" w14:textId="77777777" w:rsidR="008C4CEA" w:rsidRDefault="008C4CEA" w:rsidP="008C4CEA">
      <w:pPr>
        <w:spacing w:before="200" w:after="120"/>
      </w:pPr>
      <w:r>
        <w:rPr>
          <w:b/>
          <w:bCs/>
          <w:color w:val="000000"/>
        </w:rPr>
        <w:t>Supplementary Table S2 | Category-specific Q4–Q1 difference tests</w:t>
      </w:r>
    </w:p>
    <w:tbl>
      <w:tblPr>
        <w:tblW w:w="8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400"/>
        <w:gridCol w:w="1800"/>
        <w:gridCol w:w="2000"/>
      </w:tblGrid>
      <w:tr w:rsidR="008C4CEA" w14:paraId="15C8AA81" w14:textId="77777777" w:rsidTr="005231ED"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1B4850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B232D3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Q4–Q1 Difference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54BBF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Z-statistic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BBE18C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 value (one-tailed)</w:t>
            </w:r>
          </w:p>
        </w:tc>
      </w:tr>
      <w:tr w:rsidR="008C4CEA" w14:paraId="772E7C7C" w14:textId="77777777" w:rsidTr="005231ED"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1C70B" w14:textId="77777777" w:rsidR="008C4CEA" w:rsidRDefault="008C4CEA" w:rsidP="005231ED">
            <w:pPr>
              <w:spacing w:before="40" w:after="40"/>
            </w:pPr>
            <w:proofErr w:type="spellStart"/>
            <w:r>
              <w:rPr>
                <w:sz w:val="20"/>
                <w:szCs w:val="20"/>
              </w:rPr>
              <w:t>JAKi</w:t>
            </w:r>
            <w:proofErr w:type="spellEnd"/>
          </w:p>
        </w:tc>
        <w:tc>
          <w:tcPr>
            <w:tcW w:w="2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DC2F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−0.118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D72FF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−2.59</w:t>
            </w:r>
          </w:p>
        </w:tc>
        <w:tc>
          <w:tcPr>
            <w:tcW w:w="2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15E62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0.005</w:t>
            </w:r>
          </w:p>
        </w:tc>
      </w:tr>
      <w:tr w:rsidR="008C4CEA" w14:paraId="233044A5" w14:textId="77777777" w:rsidTr="005231ED"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AABAA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CTLA4-Ig</w:t>
            </w:r>
          </w:p>
        </w:tc>
        <w:tc>
          <w:tcPr>
            <w:tcW w:w="2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87419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−0.184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9AA6AB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−3.63</w:t>
            </w:r>
          </w:p>
        </w:tc>
        <w:tc>
          <w:tcPr>
            <w:tcW w:w="2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8C1D1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</w:tr>
      <w:tr w:rsidR="008C4CEA" w14:paraId="11BEE29B" w14:textId="77777777" w:rsidTr="005231ED"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63FFE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IL-6i</w:t>
            </w:r>
          </w:p>
        </w:tc>
        <w:tc>
          <w:tcPr>
            <w:tcW w:w="2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91A2C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−0.020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E8C47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−0.47</w:t>
            </w:r>
          </w:p>
        </w:tc>
        <w:tc>
          <w:tcPr>
            <w:tcW w:w="20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84D6B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0.321</w:t>
            </w:r>
          </w:p>
        </w:tc>
      </w:tr>
    </w:tbl>
    <w:p w14:paraId="63081AE4" w14:textId="77777777" w:rsidR="008C4CEA" w:rsidRDefault="008C4CEA" w:rsidP="008C4CEA">
      <w:pPr>
        <w:spacing w:before="240" w:after="80"/>
      </w:pPr>
    </w:p>
    <w:p w14:paraId="48FC7AB7" w14:textId="77777777" w:rsidR="008C4CEA" w:rsidRDefault="008C4CEA" w:rsidP="008C4CEA">
      <w:pPr>
        <w:spacing w:before="200" w:after="120"/>
      </w:pPr>
      <w:r>
        <w:rPr>
          <w:b/>
          <w:bCs/>
          <w:color w:val="000000"/>
        </w:rPr>
        <w:t>Supplementary Table S3 | BLP coefficients for statistically significant effect modifiers</w:t>
      </w:r>
    </w:p>
    <w:p w14:paraId="18FC88D0" w14:textId="77777777" w:rsidR="008C4CEA" w:rsidRDefault="008C4CEA" w:rsidP="008C4CEA">
      <w:pPr>
        <w:spacing w:after="100"/>
      </w:pPr>
      <w:r>
        <w:rPr>
          <w:i/>
          <w:iCs/>
          <w:sz w:val="20"/>
          <w:szCs w:val="20"/>
        </w:rPr>
        <w:lastRenderedPageBreak/>
        <w:t>The BLP analysis evaluated 222 candidate features. Twenty-two covariates reached nominal significance (P &lt; 0.05); of these, twelve were independently confirmed by Lasso regression (marked with †).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400"/>
        <w:gridCol w:w="1200"/>
        <w:gridCol w:w="1600"/>
        <w:gridCol w:w="1200"/>
      </w:tblGrid>
      <w:tr w:rsidR="008C4CEA" w14:paraId="4D132848" w14:textId="77777777" w:rsidTr="005231ED">
        <w:trPr>
          <w:tblHeader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194E3C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Feature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DB0FE5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Coefficient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D6B3A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SE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078243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t-statistic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405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D1749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P value</w:t>
            </w:r>
          </w:p>
        </w:tc>
      </w:tr>
      <w:tr w:rsidR="008C4CEA" w14:paraId="28481E25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D270C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Smoking†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CFEFD7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−0.0127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10E4E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0.0012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EA246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−10.40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42C67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</w:tr>
      <w:tr w:rsidR="008C4CEA" w14:paraId="5FB45528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94A27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 xml:space="preserve">ESR (1 </w:t>
            </w:r>
            <w:proofErr w:type="gramStart"/>
            <w:r>
              <w:rPr>
                <w:sz w:val="20"/>
                <w:szCs w:val="20"/>
              </w:rPr>
              <w:t>hour)†</w:t>
            </w:r>
            <w:proofErr w:type="gramEnd"/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EBCC4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0.0005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C9C20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E20EA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13.89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C167B4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</w:tr>
      <w:tr w:rsidR="008C4CEA" w14:paraId="4AFE8F0D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3C789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Age†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A8ABD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0.0008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968CE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648EE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89EBD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</w:tr>
      <w:tr w:rsidR="008C4CEA" w14:paraId="547CCFA4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2D01F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DAS28-CRP†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70C6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0.0166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3AEC6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0.0022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34B63A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7.58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3F8FCF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</w:tr>
      <w:tr w:rsidR="008C4CEA" w14:paraId="0B45A648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69F71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CRP†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F9C39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0.0025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691F4F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0.0004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2E30E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6.04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2D6341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</w:tr>
      <w:tr w:rsidR="008C4CEA" w14:paraId="67CD25AC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8E0C4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Albumin†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3730F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−0.0110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1AE3C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0.0020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61EF1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−5.51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DFA04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</w:tr>
      <w:tr w:rsidR="008C4CEA" w14:paraId="76F0DB42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B167E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Steinbrocker class†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AC5E7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0.0040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6F87F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0.0012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80836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3.27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FE500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0.001</w:t>
            </w:r>
          </w:p>
        </w:tc>
      </w:tr>
      <w:tr w:rsidR="008C4CEA" w14:paraId="4EC88B81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185DE7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WBC†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72DB9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0.0010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0204FF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0.0003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68EF6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3.21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77BE3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0.001</w:t>
            </w:r>
          </w:p>
        </w:tc>
      </w:tr>
      <w:tr w:rsidR="008C4CEA" w14:paraId="5B18815B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CBE1C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MMP-3†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627BD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F6955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8BC65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0325B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0.001</w:t>
            </w:r>
          </w:p>
        </w:tc>
      </w:tr>
      <w:tr w:rsidR="008C4CEA" w14:paraId="36B82753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77805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Tender right index finger DIP (a31)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42A3D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0.0221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53882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0.0082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959E9B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2.71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26FCE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0.007</w:t>
            </w:r>
          </w:p>
        </w:tc>
      </w:tr>
      <w:tr w:rsidR="008C4CEA" w14:paraId="6312B535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96DCC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ACPA†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6125D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7B38CD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EE11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−2.71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E40A4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0.007</w:t>
            </w:r>
          </w:p>
        </w:tc>
      </w:tr>
      <w:tr w:rsidR="008C4CEA" w14:paraId="6291F7C2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EA617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SDAI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F6B984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−0.0009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7CBC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0.0003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16E6E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−2.71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464355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0.007</w:t>
            </w:r>
          </w:p>
        </w:tc>
      </w:tr>
      <w:tr w:rsidR="008C4CEA" w14:paraId="6AAD53E9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AAC30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DAS28-ESR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C77B2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−0.0038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589B5E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0.0014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D255D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−2.69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F2DCF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0.007</w:t>
            </w:r>
          </w:p>
        </w:tc>
      </w:tr>
      <w:tr w:rsidR="008C4CEA" w14:paraId="0C051D97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8F946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Haemoglobin†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FADEC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−0.0013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0191E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0.0005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05A56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−2.58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63ED4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0.010</w:t>
            </w:r>
          </w:p>
        </w:tc>
      </w:tr>
      <w:tr w:rsidR="008C4CEA" w14:paraId="0D358265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CE3C7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Past sarilumab use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B0C6F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0.0128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8A835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0.0053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9E7B4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2.40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4A8DF9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0.016</w:t>
            </w:r>
          </w:p>
        </w:tc>
      </w:tr>
      <w:tr w:rsidR="008C4CEA" w14:paraId="02E9EA7A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816C2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>Creatinine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E07E9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−0.0054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26403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0.0023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3B65B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−2.37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7B726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0.018</w:t>
            </w:r>
          </w:p>
        </w:tc>
      </w:tr>
      <w:tr w:rsidR="008C4CEA" w14:paraId="09E5A148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4EA3D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 xml:space="preserve">Past </w:t>
            </w:r>
            <w:proofErr w:type="spellStart"/>
            <w:r>
              <w:rPr>
                <w:sz w:val="20"/>
                <w:szCs w:val="20"/>
              </w:rPr>
              <w:t>ozoralizumab</w:t>
            </w:r>
            <w:proofErr w:type="spellEnd"/>
            <w:r>
              <w:rPr>
                <w:sz w:val="20"/>
                <w:szCs w:val="20"/>
              </w:rPr>
              <w:t xml:space="preserve"> use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B1A09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0.0195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29DC5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0.0086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B4185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2.28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D5293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0.023</w:t>
            </w:r>
          </w:p>
        </w:tc>
      </w:tr>
      <w:tr w:rsidR="008C4CEA" w14:paraId="2BD14CC3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8EC65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lastRenderedPageBreak/>
              <w:t>Doctor VAS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1C31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0.0001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E658D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&lt; 0.001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B2A3E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8F9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C042D9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0.033</w:t>
            </w:r>
          </w:p>
        </w:tc>
      </w:tr>
      <w:tr w:rsidR="008C4CEA" w14:paraId="0D6B54C4" w14:textId="77777777" w:rsidTr="005231ED">
        <w:tc>
          <w:tcPr>
            <w:tcW w:w="28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A9BBA" w14:textId="77777777" w:rsidR="008C4CEA" w:rsidRDefault="008C4CEA" w:rsidP="005231ED">
            <w:pPr>
              <w:spacing w:before="40" w:after="40"/>
            </w:pPr>
            <w:r>
              <w:rPr>
                <w:sz w:val="20"/>
                <w:szCs w:val="20"/>
              </w:rPr>
              <w:t xml:space="preserve">Past </w:t>
            </w:r>
            <w:proofErr w:type="spellStart"/>
            <w:r>
              <w:rPr>
                <w:sz w:val="20"/>
                <w:szCs w:val="20"/>
              </w:rPr>
              <w:t>TNFi</w:t>
            </w:r>
            <w:proofErr w:type="spellEnd"/>
            <w:r>
              <w:rPr>
                <w:sz w:val="20"/>
                <w:szCs w:val="20"/>
              </w:rPr>
              <w:t xml:space="preserve"> use†</w:t>
            </w:r>
          </w:p>
        </w:tc>
        <w:tc>
          <w:tcPr>
            <w:tcW w:w="14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4DB9A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−0.0044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98328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0.0022</w:t>
            </w:r>
          </w:p>
        </w:tc>
        <w:tc>
          <w:tcPr>
            <w:tcW w:w="16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951B4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−1.99</w:t>
            </w:r>
          </w:p>
        </w:tc>
        <w:tc>
          <w:tcPr>
            <w:tcW w:w="120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901466" w14:textId="77777777" w:rsidR="008C4CEA" w:rsidRDefault="008C4CEA" w:rsidP="005231ED">
            <w:pPr>
              <w:spacing w:before="40" w:after="40"/>
              <w:jc w:val="center"/>
            </w:pPr>
            <w:r>
              <w:rPr>
                <w:sz w:val="20"/>
                <w:szCs w:val="20"/>
              </w:rPr>
              <w:t>0.047</w:t>
            </w:r>
          </w:p>
        </w:tc>
      </w:tr>
    </w:tbl>
    <w:p w14:paraId="699FA729" w14:textId="77777777" w:rsidR="008C4CEA" w:rsidRDefault="008C4CEA" w:rsidP="008C4CEA">
      <w:pPr>
        <w:spacing w:before="80" w:after="80"/>
      </w:pPr>
      <w:r>
        <w:rPr>
          <w:i/>
          <w:iCs/>
          <w:sz w:val="18"/>
          <w:szCs w:val="18"/>
        </w:rPr>
        <w:t>† Independently confirmed by Lasso regression.</w:t>
      </w:r>
    </w:p>
    <w:p w14:paraId="2CDCC66F" w14:textId="77777777" w:rsidR="008C4CEA" w:rsidRDefault="008C4CEA" w:rsidP="008C4CEA">
      <w:pPr>
        <w:spacing w:before="480" w:after="80"/>
      </w:pPr>
    </w:p>
    <w:p w14:paraId="2CB55170" w14:textId="77777777" w:rsidR="008C4CEA" w:rsidRDefault="008C4CEA" w:rsidP="008C4CEA">
      <w:pPr>
        <w:pStyle w:val="1"/>
      </w:pPr>
      <w:r>
        <w:t>Supplementary Figures</w:t>
      </w:r>
    </w:p>
    <w:p w14:paraId="4302099B" w14:textId="77777777" w:rsidR="008C4CEA" w:rsidRDefault="008C4CEA" w:rsidP="008C4CEA">
      <w:pPr>
        <w:spacing w:after="8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DD483D" wp14:editId="74292E17">
            <wp:extent cx="5731510" cy="2475230"/>
            <wp:effectExtent l="0" t="0" r="2540" b="1270"/>
            <wp:docPr id="5664100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1001" name="図 566410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769EF" w14:textId="77777777" w:rsidR="008C4CEA" w:rsidRDefault="008C4CEA" w:rsidP="008C4CEA">
      <w:pPr>
        <w:spacing w:after="80"/>
      </w:pPr>
      <w:r>
        <w:rPr>
          <w:b/>
          <w:bCs/>
        </w:rPr>
        <w:t>Supplementary Fig. S1</w:t>
      </w:r>
      <w:r>
        <w:t xml:space="preserve"> | Distribution of missing data rates across 258 candidate predictors.</w:t>
      </w:r>
    </w:p>
    <w:p w14:paraId="28E7BB82" w14:textId="77777777" w:rsidR="008C4CEA" w:rsidRDefault="008C4CEA" w:rsidP="008C4CEA">
      <w:pPr>
        <w:spacing w:before="80" w:after="80"/>
      </w:pPr>
      <w:r>
        <w:rPr>
          <w:sz w:val="20"/>
          <w:szCs w:val="20"/>
        </w:rPr>
        <w:t>Of 258 candidate predictors, 83 (32.2%) had no missing values. The remaining 175 predictors had missing data rates ranging from 0.1% to 78.8% in the training cohort and 0.1% to 82.9% in the validation cohort. In the training cohort, 143 predictors had &gt;50% missing data, primarily reflecting individual joint assessments (swollen and tender joint counts for 70 joints each) that were not systematically recorded at all facilities.</w:t>
      </w:r>
    </w:p>
    <w:p w14:paraId="5D114138" w14:textId="77777777" w:rsidR="008C4CEA" w:rsidRDefault="008C4CEA" w:rsidP="008C4CEA">
      <w:pPr>
        <w:spacing w:before="240" w:after="80"/>
      </w:pPr>
    </w:p>
    <w:p w14:paraId="79FFD6C2" w14:textId="77777777" w:rsidR="008C4CEA" w:rsidRDefault="008C4CEA" w:rsidP="008C4CEA">
      <w:pPr>
        <w:spacing w:before="240" w:after="80"/>
      </w:pPr>
      <w:r>
        <w:rPr>
          <w:rFonts w:hint="eastAsia"/>
          <w:noProof/>
        </w:rPr>
        <w:lastRenderedPageBreak/>
        <w:drawing>
          <wp:inline distT="0" distB="0" distL="0" distR="0" wp14:anchorId="6ADA11C7" wp14:editId="4AE8EF03">
            <wp:extent cx="5731510" cy="2431415"/>
            <wp:effectExtent l="0" t="0" r="2540" b="6985"/>
            <wp:docPr id="99629451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94515" name="図 9962945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ED360" w14:textId="77777777" w:rsidR="008C4CEA" w:rsidRDefault="008C4CEA" w:rsidP="008C4CEA">
      <w:pPr>
        <w:spacing w:after="80"/>
      </w:pPr>
      <w:r>
        <w:rPr>
          <w:b/>
          <w:bCs/>
        </w:rPr>
        <w:t>Supplementary Fig. S2</w:t>
      </w:r>
      <w:r>
        <w:t xml:space="preserve"> | Elderly-onset RA (EORA) subgroup analysis of AI treatment recommendations.</w:t>
      </w:r>
    </w:p>
    <w:p w14:paraId="0D5FF04E" w14:textId="77777777" w:rsidR="008C4CEA" w:rsidRDefault="008C4CEA" w:rsidP="008C4CEA">
      <w:pPr>
        <w:spacing w:before="80" w:after="80"/>
      </w:pPr>
      <w:r>
        <w:rPr>
          <w:b/>
          <w:bCs/>
          <w:sz w:val="20"/>
          <w:szCs w:val="20"/>
        </w:rPr>
        <w:t xml:space="preserve">(a) </w:t>
      </w:r>
      <w:r>
        <w:rPr>
          <w:sz w:val="20"/>
          <w:szCs w:val="20"/>
        </w:rPr>
        <w:t xml:space="preserve">AI-recommended drug category distribution in the external validation cohort stratified by age of onset (EORA, onset age ≥ 60 years, n = 542; young-onset RA, onset age &lt; 60 years, n = 1,477). EORA patients received significantly more </w:t>
      </w:r>
      <w:proofErr w:type="spellStart"/>
      <w:r>
        <w:rPr>
          <w:sz w:val="20"/>
          <w:szCs w:val="20"/>
        </w:rPr>
        <w:t>JAKi</w:t>
      </w:r>
      <w:proofErr w:type="spellEnd"/>
      <w:r>
        <w:rPr>
          <w:sz w:val="20"/>
          <w:szCs w:val="20"/>
        </w:rPr>
        <w:t xml:space="preserve"> recommendations (64.6% vs 48.3%) and fewer </w:t>
      </w:r>
      <w:proofErr w:type="spellStart"/>
      <w:r>
        <w:rPr>
          <w:sz w:val="20"/>
          <w:szCs w:val="20"/>
        </w:rPr>
        <w:t>TNFi</w:t>
      </w:r>
      <w:proofErr w:type="spellEnd"/>
      <w:r>
        <w:rPr>
          <w:sz w:val="20"/>
          <w:szCs w:val="20"/>
        </w:rPr>
        <w:t xml:space="preserve"> recommendations (14.9% vs 34.7%) compared with young-onset patients (chi-square P &lt; 0.001). </w:t>
      </w:r>
      <w:proofErr w:type="spellStart"/>
      <w:r>
        <w:rPr>
          <w:sz w:val="20"/>
          <w:szCs w:val="20"/>
        </w:rPr>
        <w:t>JAKi</w:t>
      </w:r>
      <w:proofErr w:type="spellEnd"/>
      <w:r>
        <w:rPr>
          <w:sz w:val="20"/>
          <w:szCs w:val="20"/>
        </w:rPr>
        <w:t xml:space="preserve"> safety exclusion rates were higher in EORA (22.5%) than in young-onset RA (7.4%).</w:t>
      </w:r>
    </w:p>
    <w:p w14:paraId="34929F6D" w14:textId="77777777" w:rsidR="008C4CEA" w:rsidRDefault="008C4CEA" w:rsidP="008C4CEA">
      <w:pPr>
        <w:spacing w:before="80" w:after="80"/>
      </w:pPr>
      <w:r>
        <w:rPr>
          <w:b/>
          <w:bCs/>
          <w:sz w:val="20"/>
          <w:szCs w:val="20"/>
        </w:rPr>
        <w:t xml:space="preserve">(b) </w:t>
      </w:r>
      <w:r>
        <w:rPr>
          <w:sz w:val="20"/>
          <w:szCs w:val="20"/>
        </w:rPr>
        <w:t xml:space="preserve">Effect of clinician-guided safety constraints on EORA recommendation distribution (EORA patients only, n = 542). Before applying safety constraints, 89.9% of EORA patients were recommended </w:t>
      </w:r>
      <w:proofErr w:type="spellStart"/>
      <w:r>
        <w:rPr>
          <w:sz w:val="20"/>
          <w:szCs w:val="20"/>
        </w:rPr>
        <w:t>JAKi</w:t>
      </w:r>
      <w:proofErr w:type="spellEnd"/>
      <w:r>
        <w:rPr>
          <w:sz w:val="20"/>
          <w:szCs w:val="20"/>
        </w:rPr>
        <w:t xml:space="preserve">; after exclusion of 122 patients (22.5%) meeting predefined risk criteria (age ≥ 65, smoking history, or elevated cardiovascular/malignancy risk), </w:t>
      </w:r>
      <w:proofErr w:type="spellStart"/>
      <w:r>
        <w:rPr>
          <w:sz w:val="20"/>
          <w:szCs w:val="20"/>
        </w:rPr>
        <w:t>JAKi</w:t>
      </w:r>
      <w:proofErr w:type="spellEnd"/>
      <w:r>
        <w:rPr>
          <w:sz w:val="20"/>
          <w:szCs w:val="20"/>
        </w:rPr>
        <w:t xml:space="preserve"> recommendations decreased by 25.3 percentage points to 64.6%, with redistributions primarily to IL-6i (0% → 20.5%) and </w:t>
      </w:r>
      <w:proofErr w:type="spellStart"/>
      <w:r>
        <w:rPr>
          <w:sz w:val="20"/>
          <w:szCs w:val="20"/>
        </w:rPr>
        <w:t>TNFi</w:t>
      </w:r>
      <w:proofErr w:type="spellEnd"/>
      <w:r>
        <w:rPr>
          <w:sz w:val="20"/>
          <w:szCs w:val="20"/>
        </w:rPr>
        <w:t xml:space="preserve"> (10.1% → 14.9%).</w:t>
      </w:r>
    </w:p>
    <w:p w14:paraId="77FAF030" w14:textId="77777777" w:rsidR="008C4CEA" w:rsidRDefault="008C4CEA" w:rsidP="008C4CEA">
      <w:pPr>
        <w:spacing w:before="80" w:after="80"/>
      </w:pPr>
      <w:r>
        <w:rPr>
          <w:i/>
          <w:iCs/>
          <w:color w:val="555555"/>
          <w:sz w:val="18"/>
          <w:szCs w:val="18"/>
        </w:rPr>
        <w:t xml:space="preserve">EORA, elderly-onset rheumatoid arthritis; RA, rheumatoid arthritis; </w:t>
      </w:r>
      <w:proofErr w:type="spellStart"/>
      <w:r>
        <w:rPr>
          <w:i/>
          <w:iCs/>
          <w:color w:val="555555"/>
          <w:sz w:val="18"/>
          <w:szCs w:val="18"/>
        </w:rPr>
        <w:t>TNFi</w:t>
      </w:r>
      <w:proofErr w:type="spellEnd"/>
      <w:r>
        <w:rPr>
          <w:i/>
          <w:iCs/>
          <w:color w:val="555555"/>
          <w:sz w:val="18"/>
          <w:szCs w:val="18"/>
        </w:rPr>
        <w:t xml:space="preserve">, tumour necrosis factor inhibitor; IL-6i, interleukin-6 inhibitor; </w:t>
      </w:r>
      <w:proofErr w:type="spellStart"/>
      <w:r>
        <w:rPr>
          <w:i/>
          <w:iCs/>
          <w:color w:val="555555"/>
          <w:sz w:val="18"/>
          <w:szCs w:val="18"/>
        </w:rPr>
        <w:t>JAKi</w:t>
      </w:r>
      <w:proofErr w:type="spellEnd"/>
      <w:r>
        <w:rPr>
          <w:i/>
          <w:iCs/>
          <w:color w:val="555555"/>
          <w:sz w:val="18"/>
          <w:szCs w:val="18"/>
        </w:rPr>
        <w:t>, Janus kinase inhibitor; CTLA4-Ig, cytotoxic T-lymphocyte-associated antigen 4-immunoglobulin; pp, percentage points.</w:t>
      </w:r>
    </w:p>
    <w:p w14:paraId="32AFCB20" w14:textId="77777777" w:rsidR="00A9687E" w:rsidRPr="008C4CEA" w:rsidRDefault="00A9687E" w:rsidP="008C4CEA"/>
    <w:sectPr w:rsidR="00A9687E" w:rsidRPr="008C4CE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DBEE" w14:textId="77777777" w:rsidR="00354144" w:rsidRDefault="00354144">
      <w:pPr>
        <w:spacing w:line="240" w:lineRule="auto"/>
      </w:pPr>
      <w:r>
        <w:separator/>
      </w:r>
    </w:p>
  </w:endnote>
  <w:endnote w:type="continuationSeparator" w:id="0">
    <w:p w14:paraId="31CBEAA7" w14:textId="77777777" w:rsidR="00354144" w:rsidRDefault="00354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4088" w14:textId="77777777" w:rsidR="0062228F" w:rsidRDefault="004E0424">
    <w:pPr>
      <w:jc w:val="center"/>
    </w:pPr>
    <w:r>
      <w:rPr>
        <w:rFonts w:eastAsia="Times New Roman"/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rFonts w:eastAsia="Times New Roman"/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rFonts w:eastAsia="Times New Roman"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7188" w14:textId="77777777" w:rsidR="00354144" w:rsidRDefault="00354144">
      <w:pPr>
        <w:spacing w:line="240" w:lineRule="auto"/>
      </w:pPr>
      <w:r>
        <w:separator/>
      </w:r>
    </w:p>
  </w:footnote>
  <w:footnote w:type="continuationSeparator" w:id="0">
    <w:p w14:paraId="3DE47E29" w14:textId="77777777" w:rsidR="00354144" w:rsidRDefault="003541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F4D8" w14:textId="5872BFAC" w:rsidR="0062228F" w:rsidRDefault="0062228F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1342F"/>
    <w:multiLevelType w:val="multilevel"/>
    <w:tmpl w:val="4AD08FF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620338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8F"/>
    <w:rsid w:val="00000303"/>
    <w:rsid w:val="00021779"/>
    <w:rsid w:val="0002187C"/>
    <w:rsid w:val="000367E9"/>
    <w:rsid w:val="00075843"/>
    <w:rsid w:val="001343E3"/>
    <w:rsid w:val="00145870"/>
    <w:rsid w:val="00152B50"/>
    <w:rsid w:val="00152BF8"/>
    <w:rsid w:val="001774D7"/>
    <w:rsid w:val="001A7372"/>
    <w:rsid w:val="001B0BA0"/>
    <w:rsid w:val="001E1E97"/>
    <w:rsid w:val="001E3F8C"/>
    <w:rsid w:val="00223820"/>
    <w:rsid w:val="002238D3"/>
    <w:rsid w:val="0023238B"/>
    <w:rsid w:val="00237F9F"/>
    <w:rsid w:val="00291120"/>
    <w:rsid w:val="002C4B0D"/>
    <w:rsid w:val="002D0E7E"/>
    <w:rsid w:val="00307BD3"/>
    <w:rsid w:val="00331170"/>
    <w:rsid w:val="003400F0"/>
    <w:rsid w:val="0034574A"/>
    <w:rsid w:val="00354144"/>
    <w:rsid w:val="00357827"/>
    <w:rsid w:val="00371992"/>
    <w:rsid w:val="00390837"/>
    <w:rsid w:val="003F69FC"/>
    <w:rsid w:val="00417FAF"/>
    <w:rsid w:val="00421552"/>
    <w:rsid w:val="004526B4"/>
    <w:rsid w:val="00477E30"/>
    <w:rsid w:val="004B5868"/>
    <w:rsid w:val="004D3A69"/>
    <w:rsid w:val="004D584A"/>
    <w:rsid w:val="004E0424"/>
    <w:rsid w:val="00517DF6"/>
    <w:rsid w:val="005469A1"/>
    <w:rsid w:val="0058671B"/>
    <w:rsid w:val="00592FC8"/>
    <w:rsid w:val="00597852"/>
    <w:rsid w:val="005D1C60"/>
    <w:rsid w:val="006074ED"/>
    <w:rsid w:val="0062228F"/>
    <w:rsid w:val="006307FC"/>
    <w:rsid w:val="006B14AC"/>
    <w:rsid w:val="006F2166"/>
    <w:rsid w:val="0072162E"/>
    <w:rsid w:val="007243C0"/>
    <w:rsid w:val="0072525C"/>
    <w:rsid w:val="00746200"/>
    <w:rsid w:val="00756C42"/>
    <w:rsid w:val="00766CA7"/>
    <w:rsid w:val="0078022F"/>
    <w:rsid w:val="007C2DC7"/>
    <w:rsid w:val="007E24C4"/>
    <w:rsid w:val="007E2CE2"/>
    <w:rsid w:val="007F1C88"/>
    <w:rsid w:val="007F6E72"/>
    <w:rsid w:val="00806CA1"/>
    <w:rsid w:val="00820ACE"/>
    <w:rsid w:val="0083745F"/>
    <w:rsid w:val="00864CE4"/>
    <w:rsid w:val="00877A2F"/>
    <w:rsid w:val="00880ABE"/>
    <w:rsid w:val="008C4CEA"/>
    <w:rsid w:val="008D6F7A"/>
    <w:rsid w:val="008E4AC3"/>
    <w:rsid w:val="009002EF"/>
    <w:rsid w:val="00913BA8"/>
    <w:rsid w:val="00914F9D"/>
    <w:rsid w:val="00917ADD"/>
    <w:rsid w:val="009540B1"/>
    <w:rsid w:val="009637F8"/>
    <w:rsid w:val="009666E0"/>
    <w:rsid w:val="00984407"/>
    <w:rsid w:val="009B7D53"/>
    <w:rsid w:val="009C6673"/>
    <w:rsid w:val="00A1117A"/>
    <w:rsid w:val="00A16D09"/>
    <w:rsid w:val="00A2122A"/>
    <w:rsid w:val="00A340CC"/>
    <w:rsid w:val="00A4297B"/>
    <w:rsid w:val="00A72698"/>
    <w:rsid w:val="00A82DCC"/>
    <w:rsid w:val="00A9687E"/>
    <w:rsid w:val="00AC01EC"/>
    <w:rsid w:val="00AD2496"/>
    <w:rsid w:val="00AE54A4"/>
    <w:rsid w:val="00AF43A8"/>
    <w:rsid w:val="00B01D8A"/>
    <w:rsid w:val="00B6332F"/>
    <w:rsid w:val="00B84FCF"/>
    <w:rsid w:val="00B8736D"/>
    <w:rsid w:val="00B92935"/>
    <w:rsid w:val="00B92F75"/>
    <w:rsid w:val="00B93FA6"/>
    <w:rsid w:val="00BB0B1A"/>
    <w:rsid w:val="00BB75E8"/>
    <w:rsid w:val="00BC7FFB"/>
    <w:rsid w:val="00C14BD8"/>
    <w:rsid w:val="00C962CF"/>
    <w:rsid w:val="00CC0CFC"/>
    <w:rsid w:val="00CF3B9C"/>
    <w:rsid w:val="00D22650"/>
    <w:rsid w:val="00D33131"/>
    <w:rsid w:val="00D36938"/>
    <w:rsid w:val="00D451C2"/>
    <w:rsid w:val="00D65404"/>
    <w:rsid w:val="00DA45F7"/>
    <w:rsid w:val="00DD66B2"/>
    <w:rsid w:val="00DF5632"/>
    <w:rsid w:val="00EA7306"/>
    <w:rsid w:val="00EB7DC8"/>
    <w:rsid w:val="00EC3257"/>
    <w:rsid w:val="00ED26A2"/>
    <w:rsid w:val="00EE250C"/>
    <w:rsid w:val="00EE3098"/>
    <w:rsid w:val="00EE67F4"/>
    <w:rsid w:val="00F05F3C"/>
    <w:rsid w:val="00F16F1E"/>
    <w:rsid w:val="00F22D52"/>
    <w:rsid w:val="00F633DB"/>
    <w:rsid w:val="00F80862"/>
    <w:rsid w:val="00F91468"/>
    <w:rsid w:val="00F93641"/>
    <w:rsid w:val="00FA3DC3"/>
    <w:rsid w:val="00FA5992"/>
    <w:rsid w:val="00FC0478"/>
    <w:rsid w:val="00FD3D54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2503C"/>
  <w15:docId w15:val="{78674971-CFC7-43B0-9D1D-1BDE4236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link w:val="10"/>
    <w:uiPriority w:val="9"/>
    <w:qFormat/>
    <w:pPr>
      <w:spacing w:before="360" w:after="12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link w:val="20"/>
    <w:uiPriority w:val="9"/>
    <w:unhideWhenUsed/>
    <w:qFormat/>
    <w:pPr>
      <w:spacing w:before="240" w:after="12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link w:val="30"/>
    <w:uiPriority w:val="9"/>
    <w:unhideWhenUsed/>
    <w:qFormat/>
    <w:pPr>
      <w:spacing w:before="200" w:after="100"/>
      <w:outlineLvl w:val="2"/>
    </w:pPr>
    <w:rPr>
      <w:rFonts w:eastAsia="Times New Roman"/>
      <w:b/>
      <w:bCs/>
      <w:i/>
      <w:iCs/>
    </w:rPr>
  </w:style>
  <w:style w:type="paragraph" w:styleId="4">
    <w:name w:val="heading 4"/>
    <w:link w:val="40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link w:val="50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link w:val="60"/>
    <w:uiPriority w:val="9"/>
    <w:semiHidden/>
    <w:unhideWhenUsed/>
    <w:qFormat/>
    <w:pPr>
      <w:outlineLvl w:val="5"/>
    </w:pPr>
    <w:rPr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表題 (文字)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character" w:styleId="2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25">
    <w:name w:val="Intense Quote"/>
    <w:basedOn w:val="a"/>
    <w:next w:val="a"/>
    <w:link w:val="2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6">
    <w:name w:val="引用文 2 (文字)"/>
    <w:basedOn w:val="a0"/>
    <w:link w:val="25"/>
    <w:uiPriority w:val="30"/>
    <w:rPr>
      <w:i/>
      <w:iCs/>
      <w:color w:val="2F5496" w:themeColor="accent1" w:themeShade="BF"/>
    </w:rPr>
  </w:style>
  <w:style w:type="character" w:styleId="2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a">
    <w:name w:val="No Spacing"/>
    <w:basedOn w:val="a"/>
    <w:uiPriority w:val="1"/>
    <w:qFormat/>
    <w:pPr>
      <w:spacing w:line="240" w:lineRule="auto"/>
    </w:p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2">
    <w:name w:val="文末脚注文字列 (文字)"/>
    <w:basedOn w:val="a0"/>
    <w:link w:val="af1"/>
    <w:uiPriority w:val="99"/>
    <w:semiHidden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8">
    <w:name w:val="toc 2"/>
    <w:basedOn w:val="a"/>
    <w:next w:val="a"/>
    <w:uiPriority w:val="39"/>
    <w:unhideWhenUsed/>
    <w:pPr>
      <w:spacing w:after="100"/>
      <w:ind w:left="220"/>
    </w:pPr>
  </w:style>
  <w:style w:type="paragraph" w:styleId="34">
    <w:name w:val="toc 3"/>
    <w:basedOn w:val="a"/>
    <w:next w:val="a"/>
    <w:uiPriority w:val="39"/>
    <w:unhideWhenUsed/>
    <w:pPr>
      <w:spacing w:after="100"/>
      <w:ind w:left="440"/>
    </w:pPr>
  </w:style>
  <w:style w:type="paragraph" w:styleId="44">
    <w:name w:val="toc 4"/>
    <w:basedOn w:val="a"/>
    <w:next w:val="a"/>
    <w:uiPriority w:val="39"/>
    <w:unhideWhenUsed/>
    <w:pPr>
      <w:spacing w:after="100"/>
      <w:ind w:left="660"/>
    </w:pPr>
  </w:style>
  <w:style w:type="paragraph" w:styleId="54">
    <w:name w:val="toc 5"/>
    <w:basedOn w:val="a"/>
    <w:next w:val="a"/>
    <w:uiPriority w:val="39"/>
    <w:unhideWhenUsed/>
    <w:pPr>
      <w:spacing w:after="100"/>
      <w:ind w:left="880"/>
    </w:pPr>
  </w:style>
  <w:style w:type="paragraph" w:styleId="63">
    <w:name w:val="toc 6"/>
    <w:basedOn w:val="a"/>
    <w:next w:val="a"/>
    <w:uiPriority w:val="39"/>
    <w:unhideWhenUsed/>
    <w:pPr>
      <w:spacing w:after="100"/>
      <w:ind w:left="1100"/>
    </w:pPr>
  </w:style>
  <w:style w:type="paragraph" w:styleId="73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5">
    <w:name w:val="Placeholder Text"/>
    <w:basedOn w:val="a0"/>
    <w:uiPriority w:val="99"/>
    <w:semiHidden/>
    <w:rPr>
      <w:color w:val="666666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5">
    <w:name w:val="Title"/>
    <w:link w:val="a4"/>
    <w:uiPriority w:val="10"/>
    <w:qFormat/>
    <w:rPr>
      <w:sz w:val="56"/>
      <w:szCs w:val="56"/>
    </w:rPr>
  </w:style>
  <w:style w:type="paragraph" w:customStyle="1" w:styleId="15">
    <w:name w:val="強調太字1"/>
    <w:qFormat/>
    <w:rPr>
      <w:b/>
      <w:bCs/>
    </w:rPr>
  </w:style>
  <w:style w:type="paragraph" w:styleId="af8">
    <w:name w:val="List Paragraph"/>
    <w:qFormat/>
  </w:style>
  <w:style w:type="character" w:styleId="af9">
    <w:name w:val="Hyperlink"/>
    <w:uiPriority w:val="99"/>
    <w:unhideWhenUsed/>
    <w:rPr>
      <w:color w:val="0563C1"/>
      <w:u w:val="single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footnote text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脚注文字列 (文字)"/>
    <w:link w:val="afb"/>
    <w:uiPriority w:val="99"/>
    <w:semiHidden/>
    <w:unhideWhenUsed/>
    <w:rPr>
      <w:sz w:val="20"/>
      <w:szCs w:val="20"/>
    </w:rPr>
  </w:style>
  <w:style w:type="paragraph" w:styleId="afd">
    <w:name w:val="header"/>
    <w:basedOn w:val="a"/>
    <w:link w:val="afe"/>
    <w:uiPriority w:val="99"/>
    <w:unhideWhenUsed/>
    <w:pPr>
      <w:tabs>
        <w:tab w:val="center" w:pos="4252"/>
        <w:tab w:val="right" w:pos="8504"/>
      </w:tabs>
    </w:pPr>
  </w:style>
  <w:style w:type="character" w:customStyle="1" w:styleId="afe">
    <w:name w:val="ヘッダー (文字)"/>
    <w:basedOn w:val="a0"/>
    <w:link w:val="afd"/>
    <w:uiPriority w:val="99"/>
  </w:style>
  <w:style w:type="paragraph" w:styleId="aff">
    <w:name w:val="footer"/>
    <w:basedOn w:val="a"/>
    <w:link w:val="aff0"/>
    <w:uiPriority w:val="99"/>
    <w:unhideWhenUsed/>
    <w:pPr>
      <w:tabs>
        <w:tab w:val="center" w:pos="4252"/>
        <w:tab w:val="right" w:pos="8504"/>
      </w:tabs>
    </w:pPr>
  </w:style>
  <w:style w:type="character" w:customStyle="1" w:styleId="aff0">
    <w:name w:val="フッター (文字)"/>
    <w:basedOn w:val="a0"/>
    <w:link w:val="aff"/>
    <w:uiPriority w:val="99"/>
  </w:style>
  <w:style w:type="paragraph" w:styleId="aff1">
    <w:name w:val="annotation text"/>
    <w:basedOn w:val="a"/>
    <w:link w:val="aff2"/>
    <w:uiPriority w:val="99"/>
    <w:semiHidden/>
    <w:unhideWhenUsed/>
  </w:style>
  <w:style w:type="character" w:customStyle="1" w:styleId="aff2">
    <w:name w:val="コメント文字列 (文字)"/>
    <w:basedOn w:val="a0"/>
    <w:link w:val="aff1"/>
    <w:uiPriority w:val="99"/>
    <w:semiHidden/>
  </w:style>
  <w:style w:type="character" w:styleId="af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8671B"/>
  </w:style>
  <w:style w:type="paragraph" w:styleId="aff4">
    <w:name w:val="Revision"/>
    <w:hidden/>
    <w:uiPriority w:val="99"/>
    <w:semiHidden/>
    <w:rsid w:val="00914F9D"/>
    <w:pPr>
      <w:spacing w:line="240" w:lineRule="auto"/>
    </w:pPr>
  </w:style>
  <w:style w:type="paragraph" w:styleId="aff5">
    <w:name w:val="Bibliography"/>
    <w:basedOn w:val="a"/>
    <w:next w:val="a"/>
    <w:uiPriority w:val="37"/>
    <w:unhideWhenUsed/>
    <w:rsid w:val="00A9687E"/>
    <w:pPr>
      <w:tabs>
        <w:tab w:val="left" w:pos="384"/>
      </w:tabs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ＭＳ ゴシック"/>
        <a:cs typeface="Arial"/>
      </a:majorFont>
      <a:minorFont>
        <a:latin typeface="游明朝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784BC-33DB-449C-AB1D-C9F79BC3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喜多　洸介</cp:lastModifiedBy>
  <cp:revision>2</cp:revision>
  <cp:lastPrinted>2026-02-24T06:40:00Z</cp:lastPrinted>
  <dcterms:created xsi:type="dcterms:W3CDTF">2026-03-23T05:05:00Z</dcterms:created>
  <dcterms:modified xsi:type="dcterms:W3CDTF">2026-03-23T05:05:00Z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zotero-version="8.0.3"&gt;&lt;session id="Xscutyxz"/&gt;&lt;style id="http://www.zotero.org/styles/nature" hasBibliography="1" bibliographyStyleHasBeenSet="1"/&gt;&lt;prefs&gt;&lt;pref name="fieldType" value="Field"/&gt;&lt;/prefs&gt;&lt;/data&gt;</vt:lpwstr>
  </property>
</Properties>
</file>