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F4CB8" w14:textId="752BC709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4"/>
          <w:szCs w:val="24"/>
        </w:rPr>
      </w:pP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4"/>
          <w:szCs w:val="24"/>
        </w:rPr>
        <w:t>Supplementary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4"/>
          <w:szCs w:val="24"/>
        </w:rPr>
        <w:t xml:space="preserve"> 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4"/>
          <w:szCs w:val="24"/>
        </w:rPr>
        <w:t>Figures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4"/>
          <w:szCs w:val="24"/>
        </w:rPr>
        <w:t>：</w:t>
      </w:r>
    </w:p>
    <w:p w14:paraId="6AC6793B" w14:textId="69665C8B" w:rsidR="001B01A8" w:rsidRPr="00A110AC" w:rsidRDefault="008C279E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4"/>
          <w:szCs w:val="24"/>
        </w:rPr>
      </w:pPr>
      <w:r>
        <w:rPr>
          <w:noProof/>
        </w:rPr>
        <w:drawing>
          <wp:inline distT="0" distB="0" distL="0" distR="0" wp14:anchorId="16F922BB" wp14:editId="629ADC25">
            <wp:extent cx="5274310" cy="4641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EE9B" w14:textId="77777777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</w:pPr>
    </w:p>
    <w:p w14:paraId="0F84A041" w14:textId="77777777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>S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>1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 xml:space="preserve"> 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>Figure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>.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 xml:space="preserve"> 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(related to Figure 1):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>R</w:t>
      </w:r>
      <w:r w:rsidRPr="00A110AC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0"/>
          <w:szCs w:val="20"/>
        </w:rPr>
        <w:t xml:space="preserve">elationship between methylation level, SNP and CNV of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the </w:t>
      </w:r>
      <w:r w:rsidRPr="00A110AC">
        <w:rPr>
          <w:rFonts w:ascii="Times New Roman" w:eastAsia="宋体" w:hAnsi="Times New Roman" w:cs="Times New Roman" w:hint="eastAsia"/>
          <w:b/>
          <w:i/>
          <w:color w:val="000000" w:themeColor="text1"/>
          <w:kern w:val="2"/>
          <w:sz w:val="20"/>
          <w:szCs w:val="20"/>
        </w:rPr>
        <w:t>TRAPPC9</w:t>
      </w:r>
      <w:r w:rsidRPr="00A110AC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0"/>
          <w:szCs w:val="20"/>
        </w:rPr>
        <w:t xml:space="preserve"> gene and bovine mastit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>i</w:t>
      </w:r>
      <w:r w:rsidRPr="00A110AC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0"/>
          <w:szCs w:val="20"/>
        </w:rPr>
        <w:t>s.</w:t>
      </w:r>
    </w:p>
    <w:p w14:paraId="6E049F53" w14:textId="77777777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>(A) Relationship between the methylation status at the CpG sites in R2 and the concentration of TNF-α, IL-17 and IFN-γ in serum.</w:t>
      </w:r>
    </w:p>
    <w:p w14:paraId="42611875" w14:textId="77777777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(B) Haplotype blocks and pairwise linkage disequilibrium values for the four SNPs in bovine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TRAPPC9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>.</w:t>
      </w:r>
    </w:p>
    <w:p w14:paraId="21F40A29" w14:textId="32981C00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(C) Relative mRNA expression of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TRAPPC9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with different copy number variants in Holsteins (n = 7/group). Gene expression profiling was measured by RT-qPCR assay. </w:t>
      </w:r>
    </w:p>
    <w:p w14:paraId="1076E819" w14:textId="712009FB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noProof/>
          <w:color w:val="000000" w:themeColor="text1"/>
          <w:kern w:val="2"/>
          <w:sz w:val="20"/>
          <w:szCs w:val="20"/>
        </w:rPr>
        <w:lastRenderedPageBreak/>
        <w:drawing>
          <wp:inline distT="0" distB="0" distL="0" distR="0" wp14:anchorId="79BC0CBC" wp14:editId="1681156F">
            <wp:extent cx="5267325" cy="41275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2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368F94" w14:textId="77777777" w:rsidR="001B01A8" w:rsidRPr="00A110AC" w:rsidRDefault="001B01A8" w:rsidP="001B01A8">
      <w:pPr>
        <w:widowControl/>
        <w:spacing w:after="0" w:line="360" w:lineRule="auto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</w:p>
    <w:p w14:paraId="0A2EDB97" w14:textId="77777777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 xml:space="preserve">S2 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>F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>igure</w:t>
      </w:r>
      <w:r w:rsidRPr="00A110AC">
        <w:rPr>
          <w:rFonts w:ascii="Times New Roman" w:eastAsia="宋体" w:hAnsi="Times New Roman" w:cs="Times New Roman" w:hint="eastAsia"/>
          <w:color w:val="000000" w:themeColor="text1"/>
          <w:kern w:val="2"/>
          <w:sz w:val="20"/>
          <w:szCs w:val="20"/>
        </w:rPr>
        <w:t>.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(related to Figure 3):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Bacteria-specific PCR assay for the detection of </w:t>
      </w:r>
      <w:r w:rsidRPr="00A110AC">
        <w:rPr>
          <w:rFonts w:ascii="Times New Roman" w:eastAsia="宋体" w:hAnsi="Times New Roman" w:cs="Times New Roman"/>
          <w:b/>
          <w:i/>
          <w:color w:val="000000" w:themeColor="text1"/>
          <w:kern w:val="2"/>
          <w:sz w:val="20"/>
          <w:szCs w:val="20"/>
        </w:rPr>
        <w:t>Staphylococcus aureus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 (</w:t>
      </w:r>
      <w:r w:rsidRPr="00A110AC">
        <w:rPr>
          <w:rFonts w:ascii="Times New Roman" w:eastAsia="宋体" w:hAnsi="Times New Roman" w:cs="Times New Roman"/>
          <w:b/>
          <w:i/>
          <w:color w:val="000000" w:themeColor="text1"/>
          <w:kern w:val="2"/>
          <w:sz w:val="20"/>
          <w:szCs w:val="20"/>
        </w:rPr>
        <w:t>S. aureus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) and methicillin-resistant </w:t>
      </w:r>
      <w:r w:rsidRPr="00A110AC">
        <w:rPr>
          <w:rFonts w:ascii="Times New Roman" w:eastAsia="宋体" w:hAnsi="Times New Roman" w:cs="Times New Roman"/>
          <w:b/>
          <w:i/>
          <w:color w:val="000000" w:themeColor="text1"/>
          <w:kern w:val="2"/>
          <w:sz w:val="20"/>
          <w:szCs w:val="20"/>
        </w:rPr>
        <w:t>S. aureus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 (MRSA).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</w:t>
      </w:r>
    </w:p>
    <w:p w14:paraId="42AAD386" w14:textId="10F5E4AD" w:rsidR="001B01A8" w:rsidRPr="00A110AC" w:rsidRDefault="001B01A8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iCs/>
          <w:color w:val="000000" w:themeColor="text1"/>
          <w:kern w:val="2"/>
          <w:sz w:val="20"/>
          <w:szCs w:val="20"/>
        </w:rPr>
        <w:t xml:space="preserve">The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Nuc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and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MecA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genes were used for the detection of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S. aureus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and MRSA, respectively. Results of PCR confirmed that these two strains chosen in this study were 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S. aureus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(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Nuc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>, left panel) and MRSA (</w:t>
      </w:r>
      <w:r w:rsidRPr="00A110AC">
        <w:rPr>
          <w:rFonts w:ascii="Times New Roman" w:eastAsia="宋体" w:hAnsi="Times New Roman" w:cs="Times New Roman"/>
          <w:i/>
          <w:color w:val="000000" w:themeColor="text1"/>
          <w:kern w:val="2"/>
          <w:sz w:val="20"/>
          <w:szCs w:val="20"/>
        </w:rPr>
        <w:t>MecA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>, right panel) respectively.</w:t>
      </w:r>
    </w:p>
    <w:p w14:paraId="44528B1A" w14:textId="77777777" w:rsidR="00A96A47" w:rsidRPr="00A110AC" w:rsidRDefault="00A96A47" w:rsidP="001B01A8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</w:p>
    <w:p w14:paraId="2E8180D7" w14:textId="553FF063" w:rsidR="001B01A8" w:rsidRPr="00A110AC" w:rsidRDefault="00A96A47" w:rsidP="001B01A8">
      <w:pPr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</w:pPr>
      <w:r w:rsidRPr="00A110AC">
        <w:rPr>
          <w:rFonts w:ascii="Times New Roman" w:eastAsia="宋体" w:hAnsi="Times New Roman" w:cs="Times New Roman"/>
          <w:noProof/>
          <w:color w:val="000000" w:themeColor="text1"/>
          <w:kern w:val="2"/>
          <w:sz w:val="20"/>
          <w:szCs w:val="20"/>
        </w:rPr>
        <w:lastRenderedPageBreak/>
        <w:drawing>
          <wp:inline distT="0" distB="0" distL="0" distR="0" wp14:anchorId="0CD33AE0" wp14:editId="3444CDB0">
            <wp:extent cx="5791200" cy="33176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145" cy="3322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3884AF" w14:textId="77777777" w:rsidR="001B01A8" w:rsidRPr="00A110AC" w:rsidRDefault="001B01A8" w:rsidP="001B01A8">
      <w:pPr>
        <w:spacing w:after="0" w:line="360" w:lineRule="auto"/>
        <w:rPr>
          <w:rFonts w:ascii="Times New Roman" w:eastAsia="宋体" w:hAnsi="Times New Roman" w:cs="Times New Roman"/>
          <w:color w:val="000000" w:themeColor="text1"/>
          <w:kern w:val="2"/>
          <w:sz w:val="24"/>
        </w:rPr>
      </w:pP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>S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>3</w:t>
      </w:r>
      <w:r w:rsidRPr="00A110AC">
        <w:rPr>
          <w:rFonts w:ascii="Times New Roman" w:eastAsia="宋体" w:hAnsi="Times New Roman" w:cs="Times New Roman" w:hint="eastAsia"/>
          <w:b/>
          <w:bCs/>
          <w:color w:val="000000" w:themeColor="text1"/>
          <w:kern w:val="2"/>
          <w:sz w:val="20"/>
          <w:szCs w:val="20"/>
        </w:rPr>
        <w:t xml:space="preserve"> </w:t>
      </w:r>
      <w:r w:rsidRPr="00A110AC">
        <w:rPr>
          <w:rFonts w:ascii="Times New Roman" w:eastAsia="宋体" w:hAnsi="Times New Roman" w:cs="Times New Roman"/>
          <w:b/>
          <w:bCs/>
          <w:color w:val="000000" w:themeColor="text1"/>
          <w:kern w:val="2"/>
          <w:sz w:val="20"/>
          <w:szCs w:val="20"/>
        </w:rPr>
        <w:t>Figure.</w:t>
      </w:r>
      <w:r w:rsidRPr="00A110AC"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</w:rPr>
        <w:t xml:space="preserve">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Regression analysis between the expression levels of </w:t>
      </w:r>
      <w:r w:rsidRPr="00A110AC">
        <w:rPr>
          <w:rFonts w:ascii="Times New Roman" w:eastAsia="宋体" w:hAnsi="Times New Roman" w:cs="Times New Roman"/>
          <w:b/>
          <w:i/>
          <w:color w:val="000000" w:themeColor="text1"/>
          <w:kern w:val="2"/>
          <w:sz w:val="20"/>
          <w:szCs w:val="20"/>
        </w:rPr>
        <w:t>TRAPPC9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 xml:space="preserve"> and genes in the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  <w:u w:color="000000"/>
          <w:bdr w:val="nil"/>
        </w:rPr>
        <w:t>NF-κ</w:t>
      </w:r>
      <w:r w:rsidRPr="00A110AC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0"/>
          <w:szCs w:val="20"/>
          <w:u w:color="000000"/>
          <w:bdr w:val="nil"/>
        </w:rPr>
        <w:t>B</w:t>
      </w:r>
      <w:r w:rsidRPr="00A110AC">
        <w:rPr>
          <w:rFonts w:ascii="Times New Roman" w:eastAsia="宋体" w:hAnsi="Times New Roman" w:cs="Times New Roman" w:hint="eastAsia"/>
          <w:b/>
          <w:color w:val="000000" w:themeColor="text1"/>
          <w:kern w:val="2"/>
          <w:sz w:val="20"/>
          <w:szCs w:val="20"/>
        </w:rPr>
        <w:t xml:space="preserve"> </w:t>
      </w:r>
      <w:r w:rsidRPr="00A110AC">
        <w:rPr>
          <w:rFonts w:ascii="Times New Roman" w:eastAsia="宋体" w:hAnsi="Times New Roman" w:cs="Times New Roman"/>
          <w:b/>
          <w:color w:val="000000" w:themeColor="text1"/>
          <w:kern w:val="2"/>
          <w:sz w:val="20"/>
          <w:szCs w:val="20"/>
        </w:rPr>
        <w:t>pathway.</w:t>
      </w:r>
    </w:p>
    <w:p w14:paraId="4E44D0DA" w14:textId="4C713378" w:rsidR="001B01A8" w:rsidRPr="00A110AC" w:rsidRDefault="001B01A8" w:rsidP="00FA6F12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color w:val="000000" w:themeColor="text1"/>
          <w:kern w:val="2"/>
          <w:sz w:val="20"/>
          <w:szCs w:val="20"/>
          <w:u w:color="000000"/>
          <w:bdr w:val="nil"/>
        </w:rPr>
      </w:pPr>
    </w:p>
    <w:sectPr w:rsidR="001B01A8" w:rsidRPr="00A110AC" w:rsidSect="009C69B4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4A132" w14:textId="77777777" w:rsidR="00E368DF" w:rsidRDefault="00E368DF" w:rsidP="008C279E">
      <w:pPr>
        <w:spacing w:after="0" w:line="240" w:lineRule="auto"/>
      </w:pPr>
      <w:r>
        <w:separator/>
      </w:r>
    </w:p>
  </w:endnote>
  <w:endnote w:type="continuationSeparator" w:id="0">
    <w:p w14:paraId="254C54E6" w14:textId="77777777" w:rsidR="00E368DF" w:rsidRDefault="00E368DF" w:rsidP="008C27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B4E139" w14:textId="77777777" w:rsidR="00E368DF" w:rsidRDefault="00E368DF" w:rsidP="008C279E">
      <w:pPr>
        <w:spacing w:after="0" w:line="240" w:lineRule="auto"/>
      </w:pPr>
      <w:r>
        <w:separator/>
      </w:r>
    </w:p>
  </w:footnote>
  <w:footnote w:type="continuationSeparator" w:id="0">
    <w:p w14:paraId="20718821" w14:textId="77777777" w:rsidR="00E368DF" w:rsidRDefault="00E368DF" w:rsidP="008C27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ECC"/>
    <w:rsid w:val="001B01A8"/>
    <w:rsid w:val="008C279E"/>
    <w:rsid w:val="009C69B4"/>
    <w:rsid w:val="00A110AC"/>
    <w:rsid w:val="00A96A47"/>
    <w:rsid w:val="00AE3ECC"/>
    <w:rsid w:val="00E165C6"/>
    <w:rsid w:val="00E368DF"/>
    <w:rsid w:val="00FA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7DB36"/>
  <w15:chartTrackingRefBased/>
  <w15:docId w15:val="{9FB8EA96-0881-4644-9F41-20E4C1D1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27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8C279E"/>
  </w:style>
  <w:style w:type="paragraph" w:styleId="a5">
    <w:name w:val="footer"/>
    <w:basedOn w:val="a"/>
    <w:link w:val="a6"/>
    <w:uiPriority w:val="99"/>
    <w:unhideWhenUsed/>
    <w:rsid w:val="008C27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8C27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 思远</dc:creator>
  <cp:keywords/>
  <dc:description/>
  <cp:lastModifiedBy>米 思远</cp:lastModifiedBy>
  <cp:revision>6</cp:revision>
  <dcterms:created xsi:type="dcterms:W3CDTF">2019-11-07T02:59:00Z</dcterms:created>
  <dcterms:modified xsi:type="dcterms:W3CDTF">2020-09-30T03:42:00Z</dcterms:modified>
</cp:coreProperties>
</file>