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47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779645"/>
            <wp:effectExtent l="0" t="0" r="1905" b="5715"/>
            <wp:docPr id="1" name="图片 1" descr="Supplementary 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77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BB5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Figure S1. Additional survival analyses in the UK Biobank cohort.</w:t>
      </w:r>
    </w:p>
    <w:p w14:paraId="6B5090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(A) Kaplan–Meier curves for overall survival stratified by smoking status.  </w:t>
      </w:r>
    </w:p>
    <w:p w14:paraId="792312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(B) Kaplan–Meier curves for overall survival stratified by BMI categories.  </w:t>
      </w:r>
    </w:p>
    <w:p w14:paraId="0F09CF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(C) Restricted mean survival time (RMST) at 60 months comparing treated and untreated groups.</w:t>
      </w:r>
    </w:p>
    <w:p w14:paraId="007EE8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66185"/>
            <wp:effectExtent l="0" t="0" r="635" b="13335"/>
            <wp:docPr id="2" name="图片 2" descr="Supplementary Fig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97B5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Figure S2. Assessment of proportional hazards assumption.</w:t>
      </w:r>
    </w:p>
    <w:p w14:paraId="140EE7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Schoenfeld residual plots for covariates included in the multivariable Cox proportional hazards model, including treatment status, sex, age at diagnosis, BMI, smoking status, Townsend deprivation index, COPD, cardiova</w:t>
      </w:r>
      <w:bookmarkStart w:id="0" w:name="_GoBack"/>
      <w:bookmarkEnd w:id="0"/>
      <w:r>
        <w:rPr>
          <w:rFonts w:hint="eastAsia" w:eastAsiaTheme="minorEastAsia"/>
          <w:lang w:eastAsia="zh-CN"/>
        </w:rPr>
        <w:t>scular disease, and diabetes.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A2C03"/>
    <w:rsid w:val="7D6E0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530</Characters>
  <Lines>0</Lines>
  <Paragraphs>0</Paragraphs>
  <TotalTime>2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hlx105</dc:creator>
  <cp:lastModifiedBy>多肉是一颗张豫瑄</cp:lastModifiedBy>
  <dcterms:modified xsi:type="dcterms:W3CDTF">2026-03-23T02:12:06Z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eyJoZGlkIjoiNWQxNWZjMGQwMWVkNDdlNmE3MTk4M2RmOTkxOWIwOTEiLCJ1c2VySWQiOiI3ODQ3ODM5NjUifQ==</vt:lpwstr>
  </property>
  <property fmtid="{D5CDD505-2E9C-101B-9397-08002B2CF9AE}" pid="4" name="ICV">
    <vt:lpwstr>529A2DE18E614883AFFADD834DFD6DEB_12</vt:lpwstr>
  </property>
</Properties>
</file>