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4F25" w14:textId="77777777" w:rsidR="00C602E3" w:rsidRDefault="00C602E3" w:rsidP="00C602E3">
      <w:pPr>
        <w:spacing w:line="480" w:lineRule="auto"/>
        <w:jc w:val="both"/>
        <w:rPr>
          <w:rFonts w:ascii="Arial" w:hAnsi="Arial" w:cs="Arial"/>
          <w:b/>
          <w:bCs/>
          <w:iCs/>
          <w:lang w:val="en-US"/>
        </w:rPr>
      </w:pPr>
      <w:bookmarkStart w:id="0" w:name="_Hlk221532164"/>
      <w:bookmarkEnd w:id="0"/>
      <w:r>
        <w:rPr>
          <w:rFonts w:ascii="Arial" w:hAnsi="Arial" w:cs="Arial"/>
          <w:b/>
          <w:bCs/>
          <w:iCs/>
          <w:lang w:val="en-US"/>
        </w:rPr>
        <w:t>Supplementary Material</w:t>
      </w:r>
    </w:p>
    <w:p w14:paraId="61336929" w14:textId="426AC96C" w:rsidR="00F27334" w:rsidRDefault="00F27334" w:rsidP="00F27334">
      <w:pPr>
        <w:rPr>
          <w:rFonts w:ascii="Arial" w:hAnsi="Arial" w:cs="Arial"/>
          <w:lang w:val="en-US"/>
        </w:rPr>
      </w:pPr>
      <w:r>
        <w:rPr>
          <w:rFonts w:ascii="Arial" w:hAnsi="Arial" w:cs="Arial"/>
          <w:b/>
          <w:bCs/>
          <w:lang w:val="en-US"/>
        </w:rPr>
        <w:t>Table 1.</w:t>
      </w:r>
      <w:r>
        <w:rPr>
          <w:rFonts w:ascii="Arial" w:hAnsi="Arial" w:cs="Arial"/>
          <w:lang w:val="en-US"/>
        </w:rPr>
        <w:t xml:space="preserve"> </w:t>
      </w:r>
      <w:r w:rsidRPr="00196CC8">
        <w:rPr>
          <w:rFonts w:ascii="Arial" w:hAnsi="Arial" w:cs="Arial"/>
        </w:rPr>
        <w:t>Univariate associations with all-cause mortality after kidney transplantation</w:t>
      </w:r>
    </w:p>
    <w:p w14:paraId="0C56260F" w14:textId="77777777" w:rsidR="00F27334" w:rsidRDefault="00F27334" w:rsidP="00F27334">
      <w:pPr>
        <w:rPr>
          <w:lang w:val="en-US"/>
        </w:rPr>
      </w:pPr>
    </w:p>
    <w:tbl>
      <w:tblPr>
        <w:tblStyle w:val="TabellemithellemGitternetz1"/>
        <w:tblW w:w="0" w:type="auto"/>
        <w:tblLook w:val="04A0" w:firstRow="1" w:lastRow="0" w:firstColumn="1" w:lastColumn="0" w:noHBand="0" w:noVBand="1"/>
      </w:tblPr>
      <w:tblGrid>
        <w:gridCol w:w="2484"/>
        <w:gridCol w:w="2288"/>
        <w:gridCol w:w="2362"/>
        <w:gridCol w:w="1928"/>
      </w:tblGrid>
      <w:tr w:rsidR="00F27334" w14:paraId="55833426" w14:textId="77777777" w:rsidTr="00D55ABF">
        <w:tc>
          <w:tcPr>
            <w:tcW w:w="2484" w:type="dxa"/>
          </w:tcPr>
          <w:p w14:paraId="5FFED0F5" w14:textId="77777777" w:rsidR="00F27334" w:rsidRDefault="00F27334" w:rsidP="00D55ABF">
            <w:pPr>
              <w:rPr>
                <w:rFonts w:ascii="Arial" w:hAnsi="Arial" w:cs="Arial"/>
                <w:b/>
                <w:bCs/>
                <w:sz w:val="20"/>
                <w:szCs w:val="20"/>
                <w:lang w:val="en-US"/>
              </w:rPr>
            </w:pPr>
          </w:p>
        </w:tc>
        <w:tc>
          <w:tcPr>
            <w:tcW w:w="2288" w:type="dxa"/>
          </w:tcPr>
          <w:p w14:paraId="4DA33A18"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HR</w:t>
            </w:r>
          </w:p>
        </w:tc>
        <w:tc>
          <w:tcPr>
            <w:tcW w:w="2362" w:type="dxa"/>
          </w:tcPr>
          <w:p w14:paraId="09F88490"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95%-CI</w:t>
            </w:r>
          </w:p>
        </w:tc>
        <w:tc>
          <w:tcPr>
            <w:tcW w:w="1928" w:type="dxa"/>
          </w:tcPr>
          <w:p w14:paraId="1E0233A0"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p</w:t>
            </w:r>
          </w:p>
        </w:tc>
      </w:tr>
      <w:tr w:rsidR="00F27334" w14:paraId="0ABB4523" w14:textId="77777777" w:rsidTr="00D55ABF">
        <w:tc>
          <w:tcPr>
            <w:tcW w:w="2484" w:type="dxa"/>
          </w:tcPr>
          <w:p w14:paraId="25748A65" w14:textId="77777777" w:rsidR="00F27334" w:rsidRDefault="00F27334" w:rsidP="00D55ABF">
            <w:pPr>
              <w:rPr>
                <w:rFonts w:ascii="Arial" w:hAnsi="Arial" w:cs="Arial"/>
                <w:sz w:val="20"/>
                <w:szCs w:val="20"/>
                <w:lang w:val="en-US"/>
              </w:rPr>
            </w:pPr>
            <w:r>
              <w:rPr>
                <w:rFonts w:ascii="Arial" w:hAnsi="Arial" w:cs="Arial"/>
                <w:sz w:val="20"/>
                <w:szCs w:val="20"/>
                <w:lang w:val="en-US"/>
              </w:rPr>
              <w:t>recipient age &gt;65y</w:t>
            </w:r>
          </w:p>
        </w:tc>
        <w:tc>
          <w:tcPr>
            <w:tcW w:w="2288" w:type="dxa"/>
          </w:tcPr>
          <w:p w14:paraId="02EE1073" w14:textId="77777777" w:rsidR="00F27334" w:rsidRDefault="00F27334" w:rsidP="00D55ABF">
            <w:pPr>
              <w:rPr>
                <w:rFonts w:ascii="Arial" w:hAnsi="Arial" w:cs="Arial"/>
                <w:sz w:val="20"/>
                <w:szCs w:val="20"/>
                <w:lang w:val="en-US"/>
              </w:rPr>
            </w:pPr>
            <w:r>
              <w:rPr>
                <w:rFonts w:ascii="Arial" w:hAnsi="Arial" w:cs="Arial"/>
                <w:sz w:val="20"/>
                <w:szCs w:val="20"/>
                <w:lang w:val="en-US"/>
              </w:rPr>
              <w:t>3.333</w:t>
            </w:r>
          </w:p>
        </w:tc>
        <w:tc>
          <w:tcPr>
            <w:tcW w:w="2362" w:type="dxa"/>
          </w:tcPr>
          <w:p w14:paraId="01F9B165" w14:textId="77777777" w:rsidR="00F27334" w:rsidRDefault="00F27334" w:rsidP="00D55ABF">
            <w:pPr>
              <w:rPr>
                <w:rFonts w:ascii="Arial" w:hAnsi="Arial" w:cs="Arial"/>
                <w:sz w:val="20"/>
                <w:szCs w:val="20"/>
                <w:lang w:val="en-US"/>
              </w:rPr>
            </w:pPr>
            <w:r>
              <w:rPr>
                <w:rFonts w:ascii="Arial" w:hAnsi="Arial" w:cs="Arial"/>
                <w:sz w:val="20"/>
                <w:szCs w:val="20"/>
                <w:lang w:val="en-US"/>
              </w:rPr>
              <w:t>1.854;5.992</w:t>
            </w:r>
          </w:p>
        </w:tc>
        <w:tc>
          <w:tcPr>
            <w:tcW w:w="1928" w:type="dxa"/>
          </w:tcPr>
          <w:p w14:paraId="63172A36"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&lt;0.001</w:t>
            </w:r>
          </w:p>
        </w:tc>
      </w:tr>
      <w:tr w:rsidR="00F27334" w14:paraId="4D7BA5AD" w14:textId="77777777" w:rsidTr="00D55ABF">
        <w:tc>
          <w:tcPr>
            <w:tcW w:w="2484" w:type="dxa"/>
          </w:tcPr>
          <w:p w14:paraId="4D5814A6" w14:textId="77777777" w:rsidR="00F27334" w:rsidRDefault="00F27334" w:rsidP="00D55ABF">
            <w:pPr>
              <w:rPr>
                <w:rFonts w:ascii="Arial" w:hAnsi="Arial" w:cs="Arial"/>
                <w:sz w:val="20"/>
                <w:szCs w:val="20"/>
                <w:lang w:val="en-US"/>
              </w:rPr>
            </w:pPr>
            <w:r>
              <w:rPr>
                <w:rFonts w:ascii="Arial" w:hAnsi="Arial" w:cs="Arial"/>
                <w:sz w:val="20"/>
                <w:szCs w:val="20"/>
                <w:lang w:val="en-US"/>
              </w:rPr>
              <w:t>donor age &gt;65y</w:t>
            </w:r>
          </w:p>
        </w:tc>
        <w:tc>
          <w:tcPr>
            <w:tcW w:w="2288" w:type="dxa"/>
          </w:tcPr>
          <w:p w14:paraId="471D0257" w14:textId="77777777" w:rsidR="00F27334" w:rsidRDefault="00F27334" w:rsidP="00D55ABF">
            <w:pPr>
              <w:rPr>
                <w:rFonts w:ascii="Arial" w:hAnsi="Arial" w:cs="Arial"/>
                <w:sz w:val="20"/>
                <w:szCs w:val="20"/>
                <w:lang w:val="en-US"/>
              </w:rPr>
            </w:pPr>
            <w:r>
              <w:rPr>
                <w:rFonts w:ascii="Arial" w:hAnsi="Arial" w:cs="Arial"/>
                <w:sz w:val="20"/>
                <w:szCs w:val="20"/>
                <w:lang w:val="en-US"/>
              </w:rPr>
              <w:t>3.537</w:t>
            </w:r>
          </w:p>
        </w:tc>
        <w:tc>
          <w:tcPr>
            <w:tcW w:w="2362" w:type="dxa"/>
          </w:tcPr>
          <w:p w14:paraId="3EEF9BDF" w14:textId="77777777" w:rsidR="00F27334" w:rsidRDefault="00F27334" w:rsidP="00D55ABF">
            <w:pPr>
              <w:rPr>
                <w:rFonts w:ascii="Arial" w:hAnsi="Arial" w:cs="Arial"/>
                <w:sz w:val="20"/>
                <w:szCs w:val="20"/>
                <w:lang w:val="en-US"/>
              </w:rPr>
            </w:pPr>
            <w:r>
              <w:rPr>
                <w:rFonts w:ascii="Arial" w:hAnsi="Arial" w:cs="Arial"/>
                <w:sz w:val="20"/>
                <w:szCs w:val="20"/>
                <w:lang w:val="en-US"/>
              </w:rPr>
              <w:t>1.867;6.721</w:t>
            </w:r>
          </w:p>
        </w:tc>
        <w:tc>
          <w:tcPr>
            <w:tcW w:w="1928" w:type="dxa"/>
          </w:tcPr>
          <w:p w14:paraId="093B92CE"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&lt;0.001</w:t>
            </w:r>
          </w:p>
        </w:tc>
      </w:tr>
      <w:tr w:rsidR="00F27334" w14:paraId="47E7F63E" w14:textId="77777777" w:rsidTr="00D55ABF">
        <w:tc>
          <w:tcPr>
            <w:tcW w:w="2484" w:type="dxa"/>
          </w:tcPr>
          <w:p w14:paraId="1B8FCA92" w14:textId="77777777" w:rsidR="00F27334" w:rsidRDefault="00F27334" w:rsidP="00D55ABF">
            <w:pPr>
              <w:rPr>
                <w:rFonts w:ascii="Arial" w:hAnsi="Arial" w:cs="Arial"/>
                <w:sz w:val="20"/>
                <w:szCs w:val="20"/>
                <w:lang w:val="en-US"/>
              </w:rPr>
            </w:pPr>
            <w:r>
              <w:rPr>
                <w:rFonts w:ascii="Arial" w:hAnsi="Arial" w:cs="Arial"/>
                <w:sz w:val="20"/>
                <w:szCs w:val="20"/>
                <w:lang w:val="en-US"/>
              </w:rPr>
              <w:t>deceased donation</w:t>
            </w:r>
          </w:p>
        </w:tc>
        <w:tc>
          <w:tcPr>
            <w:tcW w:w="2288" w:type="dxa"/>
          </w:tcPr>
          <w:p w14:paraId="765B0C04" w14:textId="77777777" w:rsidR="00F27334" w:rsidRDefault="00F27334" w:rsidP="00D55ABF">
            <w:pPr>
              <w:rPr>
                <w:rFonts w:ascii="Arial" w:hAnsi="Arial" w:cs="Arial"/>
                <w:sz w:val="20"/>
                <w:szCs w:val="20"/>
                <w:lang w:val="en-US"/>
              </w:rPr>
            </w:pPr>
            <w:r>
              <w:rPr>
                <w:rFonts w:ascii="Arial" w:hAnsi="Arial" w:cs="Arial"/>
                <w:sz w:val="20"/>
                <w:szCs w:val="20"/>
                <w:lang w:val="en-US"/>
              </w:rPr>
              <w:t>3.051</w:t>
            </w:r>
          </w:p>
        </w:tc>
        <w:tc>
          <w:tcPr>
            <w:tcW w:w="2362" w:type="dxa"/>
          </w:tcPr>
          <w:p w14:paraId="1DE8F283" w14:textId="77777777" w:rsidR="00F27334" w:rsidRDefault="00F27334" w:rsidP="00D55ABF">
            <w:pPr>
              <w:rPr>
                <w:rFonts w:ascii="Arial" w:hAnsi="Arial" w:cs="Arial"/>
                <w:sz w:val="20"/>
                <w:szCs w:val="20"/>
                <w:lang w:val="en-US"/>
              </w:rPr>
            </w:pPr>
            <w:r>
              <w:rPr>
                <w:rFonts w:ascii="Arial" w:hAnsi="Arial" w:cs="Arial"/>
                <w:sz w:val="20"/>
                <w:szCs w:val="20"/>
                <w:lang w:val="en-US"/>
              </w:rPr>
              <w:t>1.093;8.519</w:t>
            </w:r>
          </w:p>
        </w:tc>
        <w:tc>
          <w:tcPr>
            <w:tcW w:w="1928" w:type="dxa"/>
          </w:tcPr>
          <w:p w14:paraId="0CAC4537"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0.033</w:t>
            </w:r>
          </w:p>
        </w:tc>
      </w:tr>
      <w:tr w:rsidR="00F27334" w14:paraId="18606D72" w14:textId="77777777" w:rsidTr="00D55ABF">
        <w:tc>
          <w:tcPr>
            <w:tcW w:w="2484" w:type="dxa"/>
          </w:tcPr>
          <w:p w14:paraId="28DE8942" w14:textId="77777777" w:rsidR="00F27334" w:rsidRDefault="00F27334" w:rsidP="00D55ABF">
            <w:pPr>
              <w:rPr>
                <w:rFonts w:ascii="Arial" w:hAnsi="Arial" w:cs="Arial"/>
                <w:sz w:val="20"/>
                <w:szCs w:val="20"/>
                <w:lang w:val="en-US"/>
              </w:rPr>
            </w:pPr>
            <w:r>
              <w:rPr>
                <w:rFonts w:ascii="Arial" w:hAnsi="Arial" w:cs="Arial"/>
                <w:sz w:val="20"/>
                <w:szCs w:val="20"/>
                <w:lang w:val="en-US"/>
              </w:rPr>
              <w:t>ESP</w:t>
            </w:r>
          </w:p>
        </w:tc>
        <w:tc>
          <w:tcPr>
            <w:tcW w:w="2288" w:type="dxa"/>
          </w:tcPr>
          <w:p w14:paraId="7C446F8E" w14:textId="77777777" w:rsidR="00F27334" w:rsidRDefault="00F27334" w:rsidP="00D55ABF">
            <w:pPr>
              <w:rPr>
                <w:rFonts w:ascii="Arial" w:hAnsi="Arial" w:cs="Arial"/>
                <w:sz w:val="20"/>
                <w:szCs w:val="20"/>
                <w:lang w:val="en-US"/>
              </w:rPr>
            </w:pPr>
            <w:r>
              <w:rPr>
                <w:rFonts w:ascii="Arial" w:hAnsi="Arial" w:cs="Arial"/>
                <w:sz w:val="20"/>
                <w:szCs w:val="20"/>
                <w:lang w:val="en-US"/>
              </w:rPr>
              <w:t>3.420</w:t>
            </w:r>
          </w:p>
        </w:tc>
        <w:tc>
          <w:tcPr>
            <w:tcW w:w="2362" w:type="dxa"/>
          </w:tcPr>
          <w:p w14:paraId="68789ED5" w14:textId="77777777" w:rsidR="00F27334" w:rsidRDefault="00F27334" w:rsidP="00D55ABF">
            <w:pPr>
              <w:rPr>
                <w:rFonts w:ascii="Arial" w:hAnsi="Arial" w:cs="Arial"/>
                <w:sz w:val="20"/>
                <w:szCs w:val="20"/>
                <w:lang w:val="en-US"/>
              </w:rPr>
            </w:pPr>
            <w:r>
              <w:rPr>
                <w:rFonts w:ascii="Arial" w:hAnsi="Arial" w:cs="Arial"/>
                <w:sz w:val="20"/>
                <w:szCs w:val="20"/>
                <w:lang w:val="en-US"/>
              </w:rPr>
              <w:t>1.893;6.176</w:t>
            </w:r>
          </w:p>
        </w:tc>
        <w:tc>
          <w:tcPr>
            <w:tcW w:w="1928" w:type="dxa"/>
          </w:tcPr>
          <w:p w14:paraId="76724225"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&lt;0.001</w:t>
            </w:r>
          </w:p>
        </w:tc>
      </w:tr>
      <w:tr w:rsidR="00F27334" w14:paraId="32FC6FFB" w14:textId="77777777" w:rsidTr="00D55ABF">
        <w:tc>
          <w:tcPr>
            <w:tcW w:w="2484" w:type="dxa"/>
          </w:tcPr>
          <w:p w14:paraId="46536663" w14:textId="77777777" w:rsidR="00F27334" w:rsidRDefault="00F27334" w:rsidP="00D55ABF">
            <w:pPr>
              <w:rPr>
                <w:rFonts w:ascii="Arial" w:hAnsi="Arial" w:cs="Arial"/>
                <w:sz w:val="20"/>
                <w:szCs w:val="20"/>
                <w:lang w:val="en-US"/>
              </w:rPr>
            </w:pPr>
            <w:r>
              <w:rPr>
                <w:rFonts w:ascii="Arial" w:hAnsi="Arial" w:cs="Arial"/>
                <w:sz w:val="20"/>
                <w:szCs w:val="20"/>
                <w:lang w:val="en-US"/>
              </w:rPr>
              <w:t>diabetic nephropathy</w:t>
            </w:r>
          </w:p>
        </w:tc>
        <w:tc>
          <w:tcPr>
            <w:tcW w:w="2288" w:type="dxa"/>
          </w:tcPr>
          <w:p w14:paraId="088BB1BE" w14:textId="77777777" w:rsidR="00F27334" w:rsidRDefault="00F27334" w:rsidP="00D55ABF">
            <w:pPr>
              <w:rPr>
                <w:rFonts w:ascii="Arial" w:hAnsi="Arial" w:cs="Arial"/>
                <w:sz w:val="20"/>
                <w:szCs w:val="20"/>
                <w:lang w:val="en-US"/>
              </w:rPr>
            </w:pPr>
            <w:r>
              <w:rPr>
                <w:rFonts w:ascii="Arial" w:hAnsi="Arial" w:cs="Arial"/>
                <w:sz w:val="20"/>
                <w:szCs w:val="20"/>
                <w:lang w:val="en-US"/>
              </w:rPr>
              <w:t>1.248</w:t>
            </w:r>
          </w:p>
        </w:tc>
        <w:tc>
          <w:tcPr>
            <w:tcW w:w="2362" w:type="dxa"/>
          </w:tcPr>
          <w:p w14:paraId="722E8E54" w14:textId="77777777" w:rsidR="00F27334" w:rsidRDefault="00F27334" w:rsidP="00D55ABF">
            <w:pPr>
              <w:rPr>
                <w:rFonts w:ascii="Arial" w:hAnsi="Arial" w:cs="Arial"/>
                <w:sz w:val="20"/>
                <w:szCs w:val="20"/>
                <w:lang w:val="en-US"/>
              </w:rPr>
            </w:pPr>
            <w:r>
              <w:rPr>
                <w:rFonts w:ascii="Arial" w:hAnsi="Arial" w:cs="Arial"/>
                <w:sz w:val="20"/>
                <w:szCs w:val="20"/>
                <w:lang w:val="en-US"/>
              </w:rPr>
              <w:t>0.646;2.412</w:t>
            </w:r>
          </w:p>
        </w:tc>
        <w:tc>
          <w:tcPr>
            <w:tcW w:w="1928" w:type="dxa"/>
          </w:tcPr>
          <w:p w14:paraId="7F171137" w14:textId="77777777" w:rsidR="00F27334" w:rsidRDefault="00F27334" w:rsidP="00D55ABF">
            <w:pPr>
              <w:rPr>
                <w:rFonts w:ascii="Arial" w:hAnsi="Arial" w:cs="Arial"/>
                <w:sz w:val="20"/>
                <w:szCs w:val="20"/>
                <w:lang w:val="en-US"/>
              </w:rPr>
            </w:pPr>
            <w:r>
              <w:rPr>
                <w:rFonts w:ascii="Arial" w:hAnsi="Arial" w:cs="Arial"/>
                <w:sz w:val="20"/>
                <w:szCs w:val="20"/>
                <w:lang w:val="en-US"/>
              </w:rPr>
              <w:t>0.510</w:t>
            </w:r>
          </w:p>
        </w:tc>
      </w:tr>
      <w:tr w:rsidR="00F27334" w14:paraId="58E544E5" w14:textId="77777777" w:rsidTr="00D55ABF">
        <w:tc>
          <w:tcPr>
            <w:tcW w:w="2484" w:type="dxa"/>
          </w:tcPr>
          <w:p w14:paraId="1960B38C" w14:textId="77777777" w:rsidR="00F27334" w:rsidRDefault="00F27334" w:rsidP="00D55ABF">
            <w:pPr>
              <w:rPr>
                <w:rFonts w:ascii="Arial" w:hAnsi="Arial" w:cs="Arial"/>
                <w:sz w:val="20"/>
                <w:szCs w:val="20"/>
                <w:lang w:val="en-US"/>
              </w:rPr>
            </w:pPr>
            <w:r>
              <w:rPr>
                <w:rFonts w:ascii="Arial" w:hAnsi="Arial" w:cs="Arial"/>
                <w:sz w:val="20"/>
                <w:szCs w:val="20"/>
                <w:lang w:val="en-US"/>
              </w:rPr>
              <w:t>in-patient days &gt; 20</w:t>
            </w:r>
          </w:p>
        </w:tc>
        <w:tc>
          <w:tcPr>
            <w:tcW w:w="2288" w:type="dxa"/>
          </w:tcPr>
          <w:p w14:paraId="2DD4C0A7" w14:textId="77777777" w:rsidR="00F27334" w:rsidRDefault="00F27334" w:rsidP="00D55ABF">
            <w:pPr>
              <w:rPr>
                <w:rFonts w:ascii="Arial" w:hAnsi="Arial" w:cs="Arial"/>
                <w:sz w:val="20"/>
                <w:szCs w:val="20"/>
                <w:lang w:val="en-US"/>
              </w:rPr>
            </w:pPr>
            <w:r>
              <w:rPr>
                <w:rFonts w:ascii="Arial" w:hAnsi="Arial" w:cs="Arial"/>
                <w:sz w:val="20"/>
                <w:szCs w:val="20"/>
                <w:lang w:val="en-US"/>
              </w:rPr>
              <w:t>4.027</w:t>
            </w:r>
          </w:p>
        </w:tc>
        <w:tc>
          <w:tcPr>
            <w:tcW w:w="2362" w:type="dxa"/>
          </w:tcPr>
          <w:p w14:paraId="55EF8263" w14:textId="77777777" w:rsidR="00F27334" w:rsidRDefault="00F27334" w:rsidP="00D55ABF">
            <w:pPr>
              <w:rPr>
                <w:rFonts w:ascii="Arial" w:hAnsi="Arial" w:cs="Arial"/>
                <w:sz w:val="20"/>
                <w:szCs w:val="20"/>
                <w:lang w:val="en-US"/>
              </w:rPr>
            </w:pPr>
            <w:r>
              <w:rPr>
                <w:rFonts w:ascii="Arial" w:hAnsi="Arial" w:cs="Arial"/>
                <w:sz w:val="20"/>
                <w:szCs w:val="20"/>
                <w:lang w:val="en-US"/>
              </w:rPr>
              <w:t>2.110;7.685</w:t>
            </w:r>
          </w:p>
        </w:tc>
        <w:tc>
          <w:tcPr>
            <w:tcW w:w="1928" w:type="dxa"/>
          </w:tcPr>
          <w:p w14:paraId="6069E0E3"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&lt;0.001</w:t>
            </w:r>
          </w:p>
        </w:tc>
      </w:tr>
      <w:tr w:rsidR="00F27334" w14:paraId="7BC954DF" w14:textId="77777777" w:rsidTr="00D55ABF">
        <w:tc>
          <w:tcPr>
            <w:tcW w:w="2484" w:type="dxa"/>
          </w:tcPr>
          <w:p w14:paraId="6E90FCA0" w14:textId="77777777" w:rsidR="00F27334" w:rsidRDefault="00F27334" w:rsidP="00D55ABF">
            <w:pPr>
              <w:rPr>
                <w:rFonts w:ascii="Arial" w:hAnsi="Arial" w:cs="Arial"/>
                <w:sz w:val="20"/>
                <w:szCs w:val="20"/>
                <w:lang w:val="en-US"/>
              </w:rPr>
            </w:pPr>
            <w:r>
              <w:rPr>
                <w:rFonts w:ascii="Arial" w:hAnsi="Arial" w:cs="Arial"/>
                <w:sz w:val="20"/>
                <w:szCs w:val="20"/>
                <w:lang w:val="en-US"/>
              </w:rPr>
              <w:t>delayed graft function</w:t>
            </w:r>
          </w:p>
        </w:tc>
        <w:tc>
          <w:tcPr>
            <w:tcW w:w="2288" w:type="dxa"/>
          </w:tcPr>
          <w:p w14:paraId="4B38747E" w14:textId="77777777" w:rsidR="00F27334" w:rsidRDefault="00F27334" w:rsidP="00D55ABF">
            <w:pPr>
              <w:rPr>
                <w:rFonts w:ascii="Arial" w:hAnsi="Arial" w:cs="Arial"/>
                <w:sz w:val="20"/>
                <w:szCs w:val="20"/>
                <w:lang w:val="en-US"/>
              </w:rPr>
            </w:pPr>
            <w:r>
              <w:rPr>
                <w:rFonts w:ascii="Arial" w:hAnsi="Arial" w:cs="Arial"/>
                <w:sz w:val="20"/>
                <w:szCs w:val="20"/>
                <w:lang w:val="en-US"/>
              </w:rPr>
              <w:t>1.834</w:t>
            </w:r>
          </w:p>
        </w:tc>
        <w:tc>
          <w:tcPr>
            <w:tcW w:w="2362" w:type="dxa"/>
          </w:tcPr>
          <w:p w14:paraId="4FD9F50B" w14:textId="77777777" w:rsidR="00F27334" w:rsidRDefault="00F27334" w:rsidP="00D55ABF">
            <w:pPr>
              <w:rPr>
                <w:rFonts w:ascii="Arial" w:hAnsi="Arial" w:cs="Arial"/>
                <w:sz w:val="20"/>
                <w:szCs w:val="20"/>
                <w:lang w:val="en-US"/>
              </w:rPr>
            </w:pPr>
            <w:r>
              <w:rPr>
                <w:rFonts w:ascii="Arial" w:hAnsi="Arial" w:cs="Arial"/>
                <w:sz w:val="20"/>
                <w:szCs w:val="20"/>
                <w:lang w:val="en-US"/>
              </w:rPr>
              <w:t>1.002;3.356</w:t>
            </w:r>
          </w:p>
        </w:tc>
        <w:tc>
          <w:tcPr>
            <w:tcW w:w="1928" w:type="dxa"/>
          </w:tcPr>
          <w:p w14:paraId="779A76B7"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0.049</w:t>
            </w:r>
          </w:p>
        </w:tc>
      </w:tr>
      <w:tr w:rsidR="00F27334" w14:paraId="6A07B9E7" w14:textId="77777777" w:rsidTr="00D55ABF">
        <w:tc>
          <w:tcPr>
            <w:tcW w:w="2484" w:type="dxa"/>
          </w:tcPr>
          <w:p w14:paraId="75C9DBBB" w14:textId="77777777" w:rsidR="00F27334" w:rsidRDefault="00F27334" w:rsidP="00D55ABF">
            <w:pPr>
              <w:rPr>
                <w:rFonts w:ascii="Arial" w:hAnsi="Arial" w:cs="Arial"/>
                <w:sz w:val="20"/>
                <w:szCs w:val="20"/>
                <w:lang w:val="en-US"/>
              </w:rPr>
            </w:pPr>
            <w:r>
              <w:rPr>
                <w:rFonts w:ascii="Arial" w:hAnsi="Arial" w:cs="Arial"/>
                <w:sz w:val="20"/>
                <w:szCs w:val="20"/>
                <w:lang w:val="en-US"/>
              </w:rPr>
              <w:t>antibacterial therapy</w:t>
            </w:r>
          </w:p>
        </w:tc>
        <w:tc>
          <w:tcPr>
            <w:tcW w:w="2288" w:type="dxa"/>
          </w:tcPr>
          <w:p w14:paraId="5BFF845A" w14:textId="77777777" w:rsidR="00F27334" w:rsidRDefault="00F27334" w:rsidP="00D55ABF">
            <w:pPr>
              <w:rPr>
                <w:rFonts w:ascii="Arial" w:hAnsi="Arial" w:cs="Arial"/>
                <w:sz w:val="20"/>
                <w:szCs w:val="20"/>
                <w:lang w:val="en-US"/>
              </w:rPr>
            </w:pPr>
            <w:r>
              <w:rPr>
                <w:rFonts w:ascii="Arial" w:hAnsi="Arial" w:cs="Arial"/>
                <w:sz w:val="20"/>
                <w:szCs w:val="20"/>
                <w:lang w:val="en-US"/>
              </w:rPr>
              <w:t>0.653</w:t>
            </w:r>
          </w:p>
        </w:tc>
        <w:tc>
          <w:tcPr>
            <w:tcW w:w="2362" w:type="dxa"/>
          </w:tcPr>
          <w:p w14:paraId="74854E6D" w14:textId="77777777" w:rsidR="00F27334" w:rsidRDefault="00F27334" w:rsidP="00D55ABF">
            <w:pPr>
              <w:rPr>
                <w:rFonts w:ascii="Arial" w:hAnsi="Arial" w:cs="Arial"/>
                <w:sz w:val="20"/>
                <w:szCs w:val="20"/>
                <w:lang w:val="en-US"/>
              </w:rPr>
            </w:pPr>
            <w:r>
              <w:rPr>
                <w:rFonts w:ascii="Arial" w:hAnsi="Arial" w:cs="Arial"/>
                <w:sz w:val="20"/>
                <w:szCs w:val="20"/>
                <w:lang w:val="en-US"/>
              </w:rPr>
              <w:t>0.360;1.184</w:t>
            </w:r>
          </w:p>
        </w:tc>
        <w:tc>
          <w:tcPr>
            <w:tcW w:w="1928" w:type="dxa"/>
          </w:tcPr>
          <w:p w14:paraId="391EB4B8" w14:textId="77777777" w:rsidR="00F27334" w:rsidRDefault="00F27334" w:rsidP="00D55ABF">
            <w:pPr>
              <w:rPr>
                <w:rFonts w:ascii="Arial" w:hAnsi="Arial" w:cs="Arial"/>
                <w:sz w:val="20"/>
                <w:szCs w:val="20"/>
                <w:lang w:val="en-US"/>
              </w:rPr>
            </w:pPr>
            <w:r>
              <w:rPr>
                <w:rFonts w:ascii="Arial" w:hAnsi="Arial" w:cs="Arial"/>
                <w:sz w:val="20"/>
                <w:szCs w:val="20"/>
                <w:lang w:val="en-US"/>
              </w:rPr>
              <w:t>0.161</w:t>
            </w:r>
          </w:p>
        </w:tc>
      </w:tr>
      <w:tr w:rsidR="00F27334" w14:paraId="105B3776" w14:textId="77777777" w:rsidTr="00D55ABF">
        <w:tc>
          <w:tcPr>
            <w:tcW w:w="2484" w:type="dxa"/>
          </w:tcPr>
          <w:p w14:paraId="4573C290" w14:textId="77777777" w:rsidR="00F27334" w:rsidRDefault="00F27334" w:rsidP="00D55ABF">
            <w:pPr>
              <w:rPr>
                <w:rFonts w:ascii="Arial" w:hAnsi="Arial" w:cs="Arial"/>
                <w:sz w:val="20"/>
                <w:szCs w:val="20"/>
                <w:lang w:val="en-US"/>
              </w:rPr>
            </w:pPr>
            <w:r>
              <w:rPr>
                <w:rFonts w:ascii="Arial" w:hAnsi="Arial" w:cs="Arial"/>
                <w:sz w:val="20"/>
                <w:szCs w:val="20"/>
                <w:lang w:val="en-US"/>
              </w:rPr>
              <w:t>ICU admission due to bacterial infection</w:t>
            </w:r>
          </w:p>
        </w:tc>
        <w:tc>
          <w:tcPr>
            <w:tcW w:w="2288" w:type="dxa"/>
          </w:tcPr>
          <w:p w14:paraId="04FBDA85" w14:textId="77777777" w:rsidR="00F27334" w:rsidRDefault="00F27334" w:rsidP="00D55ABF">
            <w:pPr>
              <w:rPr>
                <w:rFonts w:ascii="Arial" w:hAnsi="Arial" w:cs="Arial"/>
                <w:sz w:val="20"/>
                <w:szCs w:val="20"/>
                <w:lang w:val="en-US"/>
              </w:rPr>
            </w:pPr>
            <w:r>
              <w:rPr>
                <w:rFonts w:ascii="Arial" w:hAnsi="Arial" w:cs="Arial"/>
                <w:sz w:val="20"/>
                <w:szCs w:val="20"/>
                <w:lang w:val="en-US"/>
              </w:rPr>
              <w:t>6.019</w:t>
            </w:r>
          </w:p>
        </w:tc>
        <w:tc>
          <w:tcPr>
            <w:tcW w:w="2362" w:type="dxa"/>
          </w:tcPr>
          <w:p w14:paraId="4CFAC960" w14:textId="77777777" w:rsidR="00F27334" w:rsidRDefault="00F27334" w:rsidP="00D55ABF">
            <w:pPr>
              <w:rPr>
                <w:rFonts w:ascii="Arial" w:hAnsi="Arial" w:cs="Arial"/>
                <w:sz w:val="20"/>
                <w:szCs w:val="20"/>
                <w:lang w:val="en-US"/>
              </w:rPr>
            </w:pPr>
            <w:r>
              <w:rPr>
                <w:rFonts w:ascii="Arial" w:hAnsi="Arial" w:cs="Arial"/>
                <w:sz w:val="20"/>
                <w:szCs w:val="20"/>
                <w:lang w:val="en-US"/>
              </w:rPr>
              <w:t>2.921;12.402</w:t>
            </w:r>
          </w:p>
        </w:tc>
        <w:tc>
          <w:tcPr>
            <w:tcW w:w="1928" w:type="dxa"/>
          </w:tcPr>
          <w:p w14:paraId="4C0C5665"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&lt;0.001</w:t>
            </w:r>
          </w:p>
        </w:tc>
      </w:tr>
      <w:tr w:rsidR="00F27334" w14:paraId="38DC4DBF" w14:textId="77777777" w:rsidTr="00D55ABF">
        <w:tc>
          <w:tcPr>
            <w:tcW w:w="2484" w:type="dxa"/>
          </w:tcPr>
          <w:p w14:paraId="166B6A62" w14:textId="77777777" w:rsidR="00F27334" w:rsidRDefault="00F27334" w:rsidP="00D55ABF">
            <w:pPr>
              <w:rPr>
                <w:rFonts w:ascii="Arial" w:hAnsi="Arial" w:cs="Arial"/>
                <w:sz w:val="20"/>
                <w:szCs w:val="20"/>
                <w:lang w:val="en-US"/>
              </w:rPr>
            </w:pPr>
            <w:r>
              <w:rPr>
                <w:rFonts w:ascii="Arial" w:hAnsi="Arial" w:cs="Arial"/>
                <w:sz w:val="20"/>
                <w:szCs w:val="20"/>
                <w:lang w:val="en-US"/>
              </w:rPr>
              <w:t>fungal infection</w:t>
            </w:r>
          </w:p>
        </w:tc>
        <w:tc>
          <w:tcPr>
            <w:tcW w:w="2288" w:type="dxa"/>
          </w:tcPr>
          <w:p w14:paraId="31DCF424" w14:textId="77777777" w:rsidR="00F27334" w:rsidRDefault="00F27334" w:rsidP="00D55ABF">
            <w:pPr>
              <w:rPr>
                <w:rFonts w:ascii="Arial" w:hAnsi="Arial" w:cs="Arial"/>
                <w:sz w:val="20"/>
                <w:szCs w:val="20"/>
                <w:lang w:val="en-US"/>
              </w:rPr>
            </w:pPr>
            <w:r>
              <w:rPr>
                <w:rFonts w:ascii="Arial" w:hAnsi="Arial" w:cs="Arial"/>
                <w:sz w:val="20"/>
                <w:szCs w:val="20"/>
                <w:lang w:val="en-US"/>
              </w:rPr>
              <w:t>2.793</w:t>
            </w:r>
          </w:p>
        </w:tc>
        <w:tc>
          <w:tcPr>
            <w:tcW w:w="2362" w:type="dxa"/>
          </w:tcPr>
          <w:p w14:paraId="048EC7F2" w14:textId="77777777" w:rsidR="00F27334" w:rsidRDefault="00F27334" w:rsidP="00D55ABF">
            <w:pPr>
              <w:rPr>
                <w:rFonts w:ascii="Arial" w:hAnsi="Arial" w:cs="Arial"/>
                <w:sz w:val="20"/>
                <w:szCs w:val="20"/>
                <w:lang w:val="en-US"/>
              </w:rPr>
            </w:pPr>
            <w:r>
              <w:rPr>
                <w:rFonts w:ascii="Arial" w:hAnsi="Arial" w:cs="Arial"/>
                <w:sz w:val="20"/>
                <w:szCs w:val="20"/>
                <w:lang w:val="en-US"/>
              </w:rPr>
              <w:t>1.511;5.164</w:t>
            </w:r>
          </w:p>
        </w:tc>
        <w:tc>
          <w:tcPr>
            <w:tcW w:w="1928" w:type="dxa"/>
          </w:tcPr>
          <w:p w14:paraId="74995199"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0.001</w:t>
            </w:r>
          </w:p>
        </w:tc>
      </w:tr>
      <w:tr w:rsidR="00F27334" w14:paraId="62C4FABC" w14:textId="77777777" w:rsidTr="00D55ABF">
        <w:tc>
          <w:tcPr>
            <w:tcW w:w="2484" w:type="dxa"/>
          </w:tcPr>
          <w:p w14:paraId="769F7944" w14:textId="77777777" w:rsidR="00F27334" w:rsidRDefault="00F27334" w:rsidP="00D55ABF">
            <w:pPr>
              <w:rPr>
                <w:rFonts w:ascii="Arial" w:hAnsi="Arial" w:cs="Arial"/>
                <w:sz w:val="20"/>
                <w:szCs w:val="20"/>
                <w:lang w:val="en-US"/>
              </w:rPr>
            </w:pPr>
            <w:r>
              <w:rPr>
                <w:rFonts w:ascii="Arial" w:hAnsi="Arial" w:cs="Arial"/>
                <w:sz w:val="20"/>
                <w:szCs w:val="20"/>
                <w:lang w:val="en-US"/>
              </w:rPr>
              <w:t>Candida albicans</w:t>
            </w:r>
          </w:p>
        </w:tc>
        <w:tc>
          <w:tcPr>
            <w:tcW w:w="2288" w:type="dxa"/>
          </w:tcPr>
          <w:p w14:paraId="5EFC2095" w14:textId="77777777" w:rsidR="00F27334" w:rsidRDefault="00F27334" w:rsidP="00D55ABF">
            <w:pPr>
              <w:rPr>
                <w:rFonts w:ascii="Arial" w:hAnsi="Arial" w:cs="Arial"/>
                <w:sz w:val="20"/>
                <w:szCs w:val="20"/>
                <w:lang w:val="en-US"/>
              </w:rPr>
            </w:pPr>
            <w:r>
              <w:rPr>
                <w:rFonts w:ascii="Arial" w:hAnsi="Arial" w:cs="Arial"/>
                <w:sz w:val="20"/>
                <w:szCs w:val="20"/>
                <w:lang w:val="en-US"/>
              </w:rPr>
              <w:t>1.822</w:t>
            </w:r>
          </w:p>
        </w:tc>
        <w:tc>
          <w:tcPr>
            <w:tcW w:w="2362" w:type="dxa"/>
          </w:tcPr>
          <w:p w14:paraId="097AF024" w14:textId="77777777" w:rsidR="00F27334" w:rsidRDefault="00F27334" w:rsidP="00D55ABF">
            <w:pPr>
              <w:rPr>
                <w:rFonts w:ascii="Arial" w:hAnsi="Arial" w:cs="Arial"/>
                <w:sz w:val="20"/>
                <w:szCs w:val="20"/>
                <w:lang w:val="en-US"/>
              </w:rPr>
            </w:pPr>
            <w:r>
              <w:rPr>
                <w:rFonts w:ascii="Arial" w:hAnsi="Arial" w:cs="Arial"/>
                <w:sz w:val="20"/>
                <w:szCs w:val="20"/>
                <w:lang w:val="en-US"/>
              </w:rPr>
              <w:t>0.562;5.908</w:t>
            </w:r>
          </w:p>
        </w:tc>
        <w:tc>
          <w:tcPr>
            <w:tcW w:w="1928" w:type="dxa"/>
          </w:tcPr>
          <w:p w14:paraId="4C5B39CB" w14:textId="77777777" w:rsidR="00F27334" w:rsidRDefault="00F27334" w:rsidP="00D55ABF">
            <w:pPr>
              <w:rPr>
                <w:rFonts w:ascii="Arial" w:hAnsi="Arial" w:cs="Arial"/>
                <w:sz w:val="20"/>
                <w:szCs w:val="20"/>
                <w:lang w:val="en-US"/>
              </w:rPr>
            </w:pPr>
            <w:r>
              <w:rPr>
                <w:rFonts w:ascii="Arial" w:hAnsi="Arial" w:cs="Arial"/>
                <w:sz w:val="20"/>
                <w:szCs w:val="20"/>
                <w:lang w:val="en-US"/>
              </w:rPr>
              <w:t>0.317</w:t>
            </w:r>
          </w:p>
        </w:tc>
      </w:tr>
      <w:tr w:rsidR="00F27334" w14:paraId="6E7E9FAF" w14:textId="77777777" w:rsidTr="00D55ABF">
        <w:tc>
          <w:tcPr>
            <w:tcW w:w="2484" w:type="dxa"/>
          </w:tcPr>
          <w:p w14:paraId="39D3DDE8" w14:textId="77777777" w:rsidR="00F27334" w:rsidRDefault="00F27334" w:rsidP="00D55ABF">
            <w:pPr>
              <w:rPr>
                <w:rFonts w:ascii="Arial" w:hAnsi="Arial" w:cs="Arial"/>
                <w:sz w:val="20"/>
                <w:szCs w:val="20"/>
                <w:lang w:val="en-US"/>
              </w:rPr>
            </w:pPr>
            <w:r>
              <w:rPr>
                <w:rFonts w:ascii="Arial" w:hAnsi="Arial" w:cs="Arial"/>
                <w:sz w:val="20"/>
                <w:szCs w:val="20"/>
                <w:lang w:val="en-US"/>
              </w:rPr>
              <w:t>Candida non albicans</w:t>
            </w:r>
          </w:p>
        </w:tc>
        <w:tc>
          <w:tcPr>
            <w:tcW w:w="2288" w:type="dxa"/>
          </w:tcPr>
          <w:p w14:paraId="0FF4DE6F" w14:textId="77777777" w:rsidR="00F27334" w:rsidRDefault="00F27334" w:rsidP="00D55ABF">
            <w:pPr>
              <w:rPr>
                <w:rFonts w:ascii="Arial" w:hAnsi="Arial" w:cs="Arial"/>
                <w:sz w:val="20"/>
                <w:szCs w:val="20"/>
                <w:lang w:val="en-US"/>
              </w:rPr>
            </w:pPr>
            <w:r>
              <w:rPr>
                <w:rFonts w:ascii="Arial" w:hAnsi="Arial" w:cs="Arial"/>
                <w:sz w:val="20"/>
                <w:szCs w:val="20"/>
                <w:lang w:val="en-US"/>
              </w:rPr>
              <w:t>1.440</w:t>
            </w:r>
          </w:p>
        </w:tc>
        <w:tc>
          <w:tcPr>
            <w:tcW w:w="2362" w:type="dxa"/>
          </w:tcPr>
          <w:p w14:paraId="4005F0F0" w14:textId="77777777" w:rsidR="00F27334" w:rsidRDefault="00F27334" w:rsidP="00D55ABF">
            <w:pPr>
              <w:rPr>
                <w:rFonts w:ascii="Arial" w:hAnsi="Arial" w:cs="Arial"/>
                <w:sz w:val="20"/>
                <w:szCs w:val="20"/>
                <w:lang w:val="en-US"/>
              </w:rPr>
            </w:pPr>
            <w:r>
              <w:rPr>
                <w:rFonts w:ascii="Arial" w:hAnsi="Arial" w:cs="Arial"/>
                <w:sz w:val="20"/>
                <w:szCs w:val="20"/>
                <w:lang w:val="en-US"/>
              </w:rPr>
              <w:t>0.347;5.975</w:t>
            </w:r>
          </w:p>
        </w:tc>
        <w:tc>
          <w:tcPr>
            <w:tcW w:w="1928" w:type="dxa"/>
          </w:tcPr>
          <w:p w14:paraId="3EF8EBE6" w14:textId="77777777" w:rsidR="00F27334" w:rsidRDefault="00F27334" w:rsidP="00D55ABF">
            <w:pPr>
              <w:rPr>
                <w:rFonts w:ascii="Arial" w:hAnsi="Arial" w:cs="Arial"/>
                <w:sz w:val="20"/>
                <w:szCs w:val="20"/>
                <w:lang w:val="en-US"/>
              </w:rPr>
            </w:pPr>
            <w:r>
              <w:rPr>
                <w:rFonts w:ascii="Arial" w:hAnsi="Arial" w:cs="Arial"/>
                <w:sz w:val="20"/>
                <w:szCs w:val="20"/>
                <w:lang w:val="en-US"/>
              </w:rPr>
              <w:t>0.616</w:t>
            </w:r>
          </w:p>
        </w:tc>
      </w:tr>
      <w:tr w:rsidR="00F27334" w14:paraId="2E0D7694" w14:textId="77777777" w:rsidTr="00D55ABF">
        <w:tc>
          <w:tcPr>
            <w:tcW w:w="2484" w:type="dxa"/>
          </w:tcPr>
          <w:p w14:paraId="0AC0E135" w14:textId="77777777" w:rsidR="00F27334" w:rsidRDefault="00F27334" w:rsidP="00D55ABF">
            <w:pPr>
              <w:rPr>
                <w:rFonts w:ascii="Arial" w:hAnsi="Arial" w:cs="Arial"/>
                <w:sz w:val="20"/>
                <w:szCs w:val="20"/>
                <w:lang w:val="en-US"/>
              </w:rPr>
            </w:pPr>
            <w:r>
              <w:rPr>
                <w:rFonts w:ascii="Arial" w:hAnsi="Arial" w:cs="Arial"/>
                <w:sz w:val="20"/>
                <w:szCs w:val="20"/>
                <w:lang w:val="en-US"/>
              </w:rPr>
              <w:t>Aspergillus fumigatus</w:t>
            </w:r>
          </w:p>
        </w:tc>
        <w:tc>
          <w:tcPr>
            <w:tcW w:w="2288" w:type="dxa"/>
          </w:tcPr>
          <w:p w14:paraId="248C5FA2" w14:textId="77777777" w:rsidR="00F27334" w:rsidRDefault="00F27334" w:rsidP="00D55ABF">
            <w:pPr>
              <w:rPr>
                <w:rFonts w:ascii="Arial" w:hAnsi="Arial" w:cs="Arial"/>
                <w:sz w:val="20"/>
                <w:szCs w:val="20"/>
                <w:lang w:val="en-US"/>
              </w:rPr>
            </w:pPr>
            <w:r>
              <w:rPr>
                <w:rFonts w:ascii="Arial" w:hAnsi="Arial" w:cs="Arial"/>
                <w:sz w:val="20"/>
                <w:szCs w:val="20"/>
                <w:lang w:val="en-US"/>
              </w:rPr>
              <w:t>4.896</w:t>
            </w:r>
          </w:p>
        </w:tc>
        <w:tc>
          <w:tcPr>
            <w:tcW w:w="2362" w:type="dxa"/>
          </w:tcPr>
          <w:p w14:paraId="383D983A" w14:textId="77777777" w:rsidR="00F27334" w:rsidRDefault="00F27334" w:rsidP="00D55ABF">
            <w:pPr>
              <w:rPr>
                <w:rFonts w:ascii="Arial" w:hAnsi="Arial" w:cs="Arial"/>
                <w:sz w:val="20"/>
                <w:szCs w:val="20"/>
                <w:lang w:val="en-US"/>
              </w:rPr>
            </w:pPr>
            <w:r>
              <w:rPr>
                <w:rFonts w:ascii="Arial" w:hAnsi="Arial" w:cs="Arial"/>
                <w:sz w:val="20"/>
                <w:szCs w:val="20"/>
                <w:lang w:val="en-US"/>
              </w:rPr>
              <w:t>2.050;11.693</w:t>
            </w:r>
          </w:p>
        </w:tc>
        <w:tc>
          <w:tcPr>
            <w:tcW w:w="1928" w:type="dxa"/>
          </w:tcPr>
          <w:p w14:paraId="2E05C2C3" w14:textId="77777777" w:rsidR="00F27334" w:rsidRDefault="00F27334" w:rsidP="00D55ABF">
            <w:pPr>
              <w:rPr>
                <w:rFonts w:ascii="Arial" w:hAnsi="Arial" w:cs="Arial"/>
                <w:b/>
                <w:bCs/>
                <w:sz w:val="20"/>
                <w:szCs w:val="20"/>
                <w:lang w:val="en-US"/>
              </w:rPr>
            </w:pPr>
            <w:r>
              <w:rPr>
                <w:rFonts w:ascii="Arial" w:hAnsi="Arial" w:cs="Arial"/>
                <w:b/>
                <w:bCs/>
                <w:sz w:val="20"/>
                <w:szCs w:val="20"/>
                <w:lang w:val="en-US"/>
              </w:rPr>
              <w:t>0.049</w:t>
            </w:r>
          </w:p>
        </w:tc>
      </w:tr>
      <w:tr w:rsidR="00F27334" w14:paraId="51A3E0B1" w14:textId="77777777" w:rsidTr="00D55ABF">
        <w:tc>
          <w:tcPr>
            <w:tcW w:w="2484" w:type="dxa"/>
          </w:tcPr>
          <w:p w14:paraId="558AC708" w14:textId="77777777" w:rsidR="00F27334" w:rsidRDefault="00F27334" w:rsidP="00D55ABF">
            <w:pPr>
              <w:rPr>
                <w:rFonts w:ascii="Arial" w:hAnsi="Arial" w:cs="Arial"/>
                <w:sz w:val="20"/>
                <w:szCs w:val="20"/>
                <w:lang w:val="en-US"/>
              </w:rPr>
            </w:pPr>
            <w:r>
              <w:rPr>
                <w:rFonts w:ascii="Arial" w:hAnsi="Arial" w:cs="Arial"/>
                <w:sz w:val="20"/>
                <w:szCs w:val="20"/>
                <w:lang w:val="en-US"/>
              </w:rPr>
              <w:t>Pneumocystis jirovecii</w:t>
            </w:r>
          </w:p>
        </w:tc>
        <w:tc>
          <w:tcPr>
            <w:tcW w:w="2288" w:type="dxa"/>
          </w:tcPr>
          <w:p w14:paraId="480271BF" w14:textId="77777777" w:rsidR="00F27334" w:rsidRDefault="00F27334" w:rsidP="00D55ABF">
            <w:pPr>
              <w:rPr>
                <w:rFonts w:ascii="Arial" w:hAnsi="Arial" w:cs="Arial"/>
                <w:sz w:val="20"/>
                <w:szCs w:val="20"/>
                <w:lang w:val="en-US"/>
              </w:rPr>
            </w:pPr>
            <w:r>
              <w:rPr>
                <w:rFonts w:ascii="Arial" w:hAnsi="Arial" w:cs="Arial"/>
                <w:sz w:val="20"/>
                <w:szCs w:val="20"/>
                <w:lang w:val="en-US"/>
              </w:rPr>
              <w:t>1.706</w:t>
            </w:r>
          </w:p>
        </w:tc>
        <w:tc>
          <w:tcPr>
            <w:tcW w:w="2362" w:type="dxa"/>
          </w:tcPr>
          <w:p w14:paraId="20D27F2F" w14:textId="77777777" w:rsidR="00F27334" w:rsidRDefault="00F27334" w:rsidP="00D55ABF">
            <w:pPr>
              <w:rPr>
                <w:rFonts w:ascii="Arial" w:hAnsi="Arial" w:cs="Arial"/>
                <w:sz w:val="20"/>
                <w:szCs w:val="20"/>
                <w:lang w:val="en-US"/>
              </w:rPr>
            </w:pPr>
            <w:r>
              <w:rPr>
                <w:rFonts w:ascii="Arial" w:hAnsi="Arial" w:cs="Arial"/>
                <w:sz w:val="20"/>
                <w:szCs w:val="20"/>
                <w:lang w:val="en-US"/>
              </w:rPr>
              <w:t>0.409;7.117</w:t>
            </w:r>
          </w:p>
        </w:tc>
        <w:tc>
          <w:tcPr>
            <w:tcW w:w="1928" w:type="dxa"/>
          </w:tcPr>
          <w:p w14:paraId="4665FCE6" w14:textId="77777777" w:rsidR="00F27334" w:rsidRDefault="00F27334" w:rsidP="00D55ABF">
            <w:pPr>
              <w:rPr>
                <w:rFonts w:ascii="Arial" w:hAnsi="Arial" w:cs="Arial"/>
                <w:sz w:val="20"/>
                <w:szCs w:val="20"/>
                <w:lang w:val="en-US"/>
              </w:rPr>
            </w:pPr>
            <w:r>
              <w:rPr>
                <w:rFonts w:ascii="Arial" w:hAnsi="Arial" w:cs="Arial"/>
                <w:sz w:val="20"/>
                <w:szCs w:val="20"/>
                <w:lang w:val="en-US"/>
              </w:rPr>
              <w:t>0.463</w:t>
            </w:r>
          </w:p>
        </w:tc>
      </w:tr>
      <w:tr w:rsidR="00F27334" w:rsidRPr="00180D45" w14:paraId="59DF9764" w14:textId="77777777" w:rsidTr="00D55ABF">
        <w:tc>
          <w:tcPr>
            <w:tcW w:w="9062" w:type="dxa"/>
            <w:gridSpan w:val="4"/>
          </w:tcPr>
          <w:p w14:paraId="16EFB7AD" w14:textId="77777777" w:rsidR="00F27334" w:rsidRPr="00F27334" w:rsidRDefault="00F27334" w:rsidP="00D55ABF">
            <w:pPr>
              <w:rPr>
                <w:rFonts w:ascii="Arial" w:hAnsi="Arial" w:cs="Arial"/>
                <w:sz w:val="16"/>
                <w:szCs w:val="16"/>
              </w:rPr>
            </w:pPr>
            <w:r w:rsidRPr="00F27334">
              <w:rPr>
                <w:rFonts w:ascii="Arial" w:hAnsi="Arial" w:cs="Arial"/>
                <w:sz w:val="16"/>
                <w:szCs w:val="16"/>
              </w:rPr>
              <w:t>Univariate Cox proportional hazards models assessing associations between recipient and donor characteristics, perioperative factors, infectious complications, and all-cause mortality.</w:t>
            </w:r>
          </w:p>
          <w:p w14:paraId="3AB43F7F" w14:textId="15BE120C" w:rsidR="00F27334" w:rsidRPr="00F27334" w:rsidRDefault="00F27334" w:rsidP="00D55ABF">
            <w:pPr>
              <w:rPr>
                <w:rFonts w:ascii="Arial" w:hAnsi="Arial" w:cs="Arial"/>
                <w:sz w:val="16"/>
                <w:szCs w:val="16"/>
              </w:rPr>
            </w:pPr>
            <w:r w:rsidRPr="00F27334">
              <w:rPr>
                <w:rFonts w:ascii="Arial" w:hAnsi="Arial" w:cs="Arial"/>
                <w:sz w:val="16"/>
                <w:szCs w:val="16"/>
              </w:rPr>
              <w:t>Hazard ratios (HRs) with 95% confidence intervals (CI) and corresponding p values are shown.</w:t>
            </w:r>
          </w:p>
          <w:p w14:paraId="2FF4B564" w14:textId="77777777" w:rsidR="00F27334" w:rsidRPr="00F27334" w:rsidRDefault="00F27334" w:rsidP="00D55ABF">
            <w:pPr>
              <w:rPr>
                <w:rFonts w:ascii="Arial" w:hAnsi="Arial" w:cs="Arial"/>
                <w:sz w:val="16"/>
                <w:szCs w:val="16"/>
                <w:lang w:val="en-US"/>
              </w:rPr>
            </w:pPr>
            <w:r w:rsidRPr="00F27334">
              <w:rPr>
                <w:rFonts w:ascii="Arial" w:hAnsi="Arial" w:cs="Arial"/>
                <w:sz w:val="16"/>
                <w:szCs w:val="16"/>
                <w:lang w:val="en-US"/>
              </w:rPr>
              <w:t>Abbreviations: HR = Hazard ratio, 95%-CI = 95% confidence interval, ESP = Eurotransplant Senior Program, ICU = intensive care unit</w:t>
            </w:r>
            <w:r w:rsidRPr="00F27334">
              <w:rPr>
                <w:rFonts w:ascii="Arial" w:hAnsi="Arial" w:cs="Arial"/>
                <w:sz w:val="16"/>
                <w:szCs w:val="16"/>
                <w:highlight w:val="yellow"/>
                <w:lang w:val="en-US"/>
              </w:rPr>
              <w:t xml:space="preserve"> </w:t>
            </w:r>
          </w:p>
        </w:tc>
      </w:tr>
    </w:tbl>
    <w:p w14:paraId="3C80751F" w14:textId="77777777" w:rsidR="004C49E2" w:rsidRDefault="004C49E2" w:rsidP="00C602E3">
      <w:pPr>
        <w:spacing w:line="480" w:lineRule="auto"/>
        <w:jc w:val="both"/>
        <w:rPr>
          <w:rFonts w:ascii="Arial" w:hAnsi="Arial" w:cs="Arial"/>
          <w:b/>
          <w:bCs/>
          <w:iCs/>
          <w:lang w:val="en-US"/>
        </w:rPr>
      </w:pPr>
    </w:p>
    <w:p w14:paraId="4574D2BB" w14:textId="77777777" w:rsidR="00F27334" w:rsidRDefault="00F27334" w:rsidP="00C602E3">
      <w:pPr>
        <w:spacing w:line="480" w:lineRule="auto"/>
        <w:jc w:val="both"/>
        <w:rPr>
          <w:rFonts w:ascii="Arial" w:hAnsi="Arial" w:cs="Arial"/>
          <w:b/>
          <w:bCs/>
          <w:iCs/>
          <w:lang w:val="en-US"/>
        </w:rPr>
      </w:pPr>
    </w:p>
    <w:p w14:paraId="010E3507" w14:textId="77777777" w:rsidR="00F27334" w:rsidRDefault="00F27334" w:rsidP="00C602E3">
      <w:pPr>
        <w:spacing w:line="480" w:lineRule="auto"/>
        <w:jc w:val="both"/>
        <w:rPr>
          <w:rFonts w:ascii="Arial" w:hAnsi="Arial" w:cs="Arial"/>
          <w:b/>
          <w:bCs/>
          <w:iCs/>
          <w:lang w:val="en-US"/>
        </w:rPr>
      </w:pPr>
    </w:p>
    <w:p w14:paraId="3663D139" w14:textId="77777777" w:rsidR="00F27334" w:rsidRDefault="00F27334" w:rsidP="00C602E3">
      <w:pPr>
        <w:spacing w:line="480" w:lineRule="auto"/>
        <w:jc w:val="both"/>
        <w:rPr>
          <w:rFonts w:ascii="Arial" w:hAnsi="Arial" w:cs="Arial"/>
          <w:b/>
          <w:bCs/>
          <w:iCs/>
          <w:lang w:val="en-US"/>
        </w:rPr>
      </w:pPr>
    </w:p>
    <w:p w14:paraId="74E3C896" w14:textId="77777777" w:rsidR="00F27334" w:rsidRDefault="00F27334" w:rsidP="00C602E3">
      <w:pPr>
        <w:spacing w:line="480" w:lineRule="auto"/>
        <w:jc w:val="both"/>
        <w:rPr>
          <w:rFonts w:ascii="Arial" w:hAnsi="Arial" w:cs="Arial"/>
          <w:b/>
          <w:bCs/>
          <w:iCs/>
          <w:lang w:val="en-US"/>
        </w:rPr>
      </w:pPr>
    </w:p>
    <w:p w14:paraId="642B3DE5" w14:textId="77777777" w:rsidR="00F27334" w:rsidRDefault="00F27334" w:rsidP="00C602E3">
      <w:pPr>
        <w:spacing w:line="480" w:lineRule="auto"/>
        <w:jc w:val="both"/>
        <w:rPr>
          <w:rFonts w:ascii="Arial" w:hAnsi="Arial" w:cs="Arial"/>
          <w:b/>
          <w:bCs/>
          <w:iCs/>
          <w:lang w:val="en-US"/>
        </w:rPr>
      </w:pPr>
    </w:p>
    <w:p w14:paraId="140C805C" w14:textId="77777777" w:rsidR="00F27334" w:rsidRDefault="00F27334" w:rsidP="00C602E3">
      <w:pPr>
        <w:spacing w:line="480" w:lineRule="auto"/>
        <w:jc w:val="both"/>
        <w:rPr>
          <w:rFonts w:ascii="Arial" w:hAnsi="Arial" w:cs="Arial"/>
          <w:b/>
          <w:bCs/>
          <w:iCs/>
          <w:lang w:val="en-US"/>
        </w:rPr>
      </w:pPr>
    </w:p>
    <w:p w14:paraId="5DDC8ED1" w14:textId="77777777" w:rsidR="00F27334" w:rsidRDefault="00F27334" w:rsidP="00C602E3">
      <w:pPr>
        <w:spacing w:line="480" w:lineRule="auto"/>
        <w:jc w:val="both"/>
        <w:rPr>
          <w:rFonts w:ascii="Arial" w:hAnsi="Arial" w:cs="Arial"/>
          <w:b/>
          <w:bCs/>
          <w:iCs/>
          <w:lang w:val="en-US"/>
        </w:rPr>
      </w:pPr>
    </w:p>
    <w:p w14:paraId="0429DD5D" w14:textId="57238C96" w:rsidR="00F27334" w:rsidRDefault="00F27334" w:rsidP="00F27334">
      <w:pPr>
        <w:spacing w:line="480" w:lineRule="auto"/>
        <w:jc w:val="both"/>
        <w:rPr>
          <w:rFonts w:ascii="Arial" w:hAnsi="Arial" w:cs="Arial"/>
          <w:b/>
          <w:bCs/>
          <w:iCs/>
          <w:lang w:val="en-US"/>
        </w:rPr>
      </w:pPr>
      <w:r>
        <w:rPr>
          <w:noProof/>
          <w:lang w:eastAsia="de-DE"/>
        </w:rPr>
        <w:lastRenderedPageBreak/>
        <w:drawing>
          <wp:inline distT="0" distB="0" distL="0" distR="0" wp14:anchorId="6DAA6F27" wp14:editId="3E772574">
            <wp:extent cx="5760642" cy="3796030"/>
            <wp:effectExtent l="0" t="0" r="5715" b="1270"/>
            <wp:docPr id="9" name="Grafik 8">
              <a:extLst xmlns:a="http://schemas.openxmlformats.org/drawingml/2006/main">
                <a:ext uri="{FF2B5EF4-FFF2-40B4-BE49-F238E27FC236}">
                  <a16:creationId xmlns:a16="http://schemas.microsoft.com/office/drawing/2014/main" id="{5E6B0007-7A14-574E-D199-C0171EBD19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5E6B0007-7A14-574E-D199-C0171EBD1933}"/>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760642" cy="3796030"/>
                    </a:xfrm>
                    <a:prstGeom prst="rect">
                      <a:avLst/>
                    </a:prstGeom>
                  </pic:spPr>
                </pic:pic>
              </a:graphicData>
            </a:graphic>
          </wp:inline>
        </w:drawing>
      </w:r>
    </w:p>
    <w:p w14:paraId="6C9CDB14" w14:textId="358D2DFC" w:rsidR="00F27334" w:rsidRDefault="00F27334" w:rsidP="00F27334">
      <w:pPr>
        <w:spacing w:line="480" w:lineRule="auto"/>
        <w:jc w:val="both"/>
        <w:rPr>
          <w:rFonts w:ascii="Arial" w:hAnsi="Arial" w:cs="Arial"/>
          <w:b/>
          <w:bCs/>
          <w:iCs/>
          <w:lang w:val="en-US"/>
        </w:rPr>
      </w:pPr>
      <w:r>
        <w:rPr>
          <w:rFonts w:ascii="Arial" w:hAnsi="Arial" w:cs="Arial"/>
          <w:b/>
          <w:bCs/>
          <w:iCs/>
          <w:lang w:val="en-US"/>
        </w:rPr>
        <w:t>Figure 1</w:t>
      </w:r>
    </w:p>
    <w:p w14:paraId="588D83C1" w14:textId="77777777" w:rsidR="00F27334" w:rsidRDefault="00F27334" w:rsidP="00F27334">
      <w:pPr>
        <w:spacing w:line="480" w:lineRule="auto"/>
        <w:jc w:val="both"/>
        <w:rPr>
          <w:rFonts w:ascii="Arial" w:hAnsi="Arial" w:cs="Arial"/>
          <w:iCs/>
        </w:rPr>
      </w:pPr>
      <w:r w:rsidRPr="00196CC8">
        <w:rPr>
          <w:rFonts w:ascii="Arial" w:hAnsi="Arial" w:cs="Arial"/>
          <w:iCs/>
        </w:rPr>
        <w:t xml:space="preserve">Most frequently administered antibacterial agents prior to fungal infection, stratified by fungal pathogen. Bars indicate the proportion of patients receiving specific antibiotic classes before the diagnosis of </w:t>
      </w:r>
      <w:r w:rsidRPr="00196CC8">
        <w:rPr>
          <w:rFonts w:ascii="Arial" w:hAnsi="Arial" w:cs="Arial"/>
        </w:rPr>
        <w:t>Candida albicans</w:t>
      </w:r>
      <w:r w:rsidRPr="00196CC8">
        <w:rPr>
          <w:rFonts w:ascii="Arial" w:hAnsi="Arial" w:cs="Arial"/>
          <w:iCs/>
        </w:rPr>
        <w:t xml:space="preserve">, non-albicans </w:t>
      </w:r>
      <w:r w:rsidRPr="00196CC8">
        <w:rPr>
          <w:rFonts w:ascii="Arial" w:hAnsi="Arial" w:cs="Arial"/>
        </w:rPr>
        <w:t>Candida, Aspergillus fumigatus</w:t>
      </w:r>
      <w:r w:rsidRPr="00196CC8">
        <w:rPr>
          <w:rFonts w:ascii="Arial" w:hAnsi="Arial" w:cs="Arial"/>
          <w:iCs/>
        </w:rPr>
        <w:t xml:space="preserve">, or </w:t>
      </w:r>
      <w:r w:rsidRPr="00196CC8">
        <w:rPr>
          <w:rFonts w:ascii="Arial" w:hAnsi="Arial" w:cs="Arial"/>
        </w:rPr>
        <w:t>Pneumocystis jirovecii</w:t>
      </w:r>
      <w:r w:rsidRPr="00196CC8">
        <w:rPr>
          <w:rFonts w:ascii="Arial" w:hAnsi="Arial" w:cs="Arial"/>
          <w:iCs/>
        </w:rPr>
        <w:t xml:space="preserve"> infection. Percentages above each group indicate the proportion of patients exposed to any antibacterial therapy prior to fungal infection.</w:t>
      </w:r>
    </w:p>
    <w:p w14:paraId="5428A1C2" w14:textId="77777777" w:rsidR="00F27334" w:rsidRDefault="00F27334" w:rsidP="00C602E3">
      <w:pPr>
        <w:spacing w:line="480" w:lineRule="auto"/>
        <w:jc w:val="both"/>
        <w:rPr>
          <w:rFonts w:ascii="Arial" w:hAnsi="Arial" w:cs="Arial"/>
          <w:b/>
          <w:bCs/>
          <w:iCs/>
          <w:lang w:val="en-US"/>
        </w:rPr>
      </w:pPr>
    </w:p>
    <w:p w14:paraId="65CFB698" w14:textId="77777777" w:rsidR="00F27334" w:rsidRDefault="00F27334" w:rsidP="00C602E3">
      <w:pPr>
        <w:spacing w:line="480" w:lineRule="auto"/>
        <w:jc w:val="both"/>
        <w:rPr>
          <w:rFonts w:ascii="Arial" w:hAnsi="Arial" w:cs="Arial"/>
          <w:b/>
          <w:bCs/>
          <w:iCs/>
          <w:lang w:val="en-US"/>
        </w:rPr>
      </w:pPr>
    </w:p>
    <w:p w14:paraId="39281BF4" w14:textId="77777777" w:rsidR="00F27334" w:rsidRDefault="00F27334" w:rsidP="00C602E3">
      <w:pPr>
        <w:spacing w:line="480" w:lineRule="auto"/>
        <w:jc w:val="both"/>
        <w:rPr>
          <w:rFonts w:ascii="Arial" w:hAnsi="Arial" w:cs="Arial"/>
          <w:b/>
          <w:bCs/>
          <w:iCs/>
          <w:lang w:val="en-US"/>
        </w:rPr>
      </w:pPr>
    </w:p>
    <w:p w14:paraId="7160AAB1" w14:textId="77777777" w:rsidR="00F27334" w:rsidRDefault="00F27334" w:rsidP="00C602E3">
      <w:pPr>
        <w:spacing w:line="480" w:lineRule="auto"/>
        <w:jc w:val="both"/>
        <w:rPr>
          <w:rFonts w:ascii="Arial" w:hAnsi="Arial" w:cs="Arial"/>
          <w:b/>
          <w:bCs/>
          <w:iCs/>
          <w:lang w:val="en-US"/>
        </w:rPr>
      </w:pPr>
    </w:p>
    <w:p w14:paraId="0D20C18D" w14:textId="77777777" w:rsidR="00F27334" w:rsidRDefault="00F27334" w:rsidP="00C602E3">
      <w:pPr>
        <w:spacing w:line="480" w:lineRule="auto"/>
        <w:jc w:val="both"/>
        <w:rPr>
          <w:rFonts w:ascii="Arial" w:hAnsi="Arial" w:cs="Arial"/>
          <w:b/>
          <w:bCs/>
          <w:iCs/>
          <w:lang w:val="en-US"/>
        </w:rPr>
      </w:pPr>
    </w:p>
    <w:p w14:paraId="76D9604F" w14:textId="77777777" w:rsidR="00F27334" w:rsidRDefault="00F27334" w:rsidP="00C602E3">
      <w:pPr>
        <w:spacing w:line="480" w:lineRule="auto"/>
        <w:jc w:val="both"/>
        <w:rPr>
          <w:rFonts w:ascii="Arial" w:hAnsi="Arial" w:cs="Arial"/>
          <w:b/>
          <w:bCs/>
          <w:iCs/>
          <w:lang w:val="en-US"/>
        </w:rPr>
      </w:pPr>
    </w:p>
    <w:p w14:paraId="10406530" w14:textId="77777777" w:rsidR="00F27334" w:rsidRDefault="00F27334" w:rsidP="00C602E3">
      <w:pPr>
        <w:spacing w:line="480" w:lineRule="auto"/>
        <w:jc w:val="both"/>
        <w:rPr>
          <w:rFonts w:ascii="Arial" w:hAnsi="Arial" w:cs="Arial"/>
          <w:b/>
          <w:bCs/>
          <w:iCs/>
          <w:lang w:val="en-US"/>
        </w:rPr>
      </w:pPr>
    </w:p>
    <w:p w14:paraId="0D6AA34C" w14:textId="77777777" w:rsidR="00F27334" w:rsidRDefault="00F27334" w:rsidP="00C602E3">
      <w:pPr>
        <w:spacing w:line="480" w:lineRule="auto"/>
        <w:jc w:val="both"/>
        <w:rPr>
          <w:rFonts w:ascii="Arial" w:hAnsi="Arial" w:cs="Arial"/>
          <w:b/>
          <w:bCs/>
          <w:iCs/>
          <w:lang w:val="en-US"/>
        </w:rPr>
      </w:pPr>
    </w:p>
    <w:p w14:paraId="2719EE32" w14:textId="77777777" w:rsidR="004C49E2" w:rsidRDefault="004C49E2" w:rsidP="00C602E3">
      <w:pPr>
        <w:spacing w:line="480" w:lineRule="auto"/>
        <w:jc w:val="both"/>
        <w:rPr>
          <w:rFonts w:ascii="Arial" w:hAnsi="Arial" w:cs="Arial"/>
          <w:b/>
          <w:bCs/>
          <w:iCs/>
          <w:lang w:val="en-US"/>
        </w:rPr>
      </w:pPr>
    </w:p>
    <w:p w14:paraId="28D3B607" w14:textId="77777777" w:rsidR="00C602E3" w:rsidRDefault="00C602E3" w:rsidP="00C602E3">
      <w:pPr>
        <w:spacing w:line="480" w:lineRule="auto"/>
        <w:jc w:val="both"/>
        <w:rPr>
          <w:rFonts w:ascii="Arial" w:hAnsi="Arial" w:cs="Arial"/>
          <w:b/>
          <w:bCs/>
          <w:iCs/>
          <w:lang w:val="en-US"/>
        </w:rPr>
      </w:pPr>
      <w:r>
        <w:rPr>
          <w:rFonts w:ascii="Arial" w:hAnsi="Arial" w:cs="Arial"/>
          <w:b/>
          <w:bCs/>
          <w:iCs/>
          <w:noProof/>
          <w:lang w:val="en-US"/>
          <w14:ligatures w14:val="standardContextual"/>
        </w:rPr>
        <w:lastRenderedPageBreak/>
        <w:drawing>
          <wp:inline distT="0" distB="0" distL="0" distR="0" wp14:anchorId="0F2C54ED" wp14:editId="32C2CA7C">
            <wp:extent cx="5760720" cy="2639060"/>
            <wp:effectExtent l="0" t="0" r="5080" b="2540"/>
            <wp:docPr id="15232643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64398" name="Grafik 1523264398"/>
                    <pic:cNvPicPr/>
                  </pic:nvPicPr>
                  <pic:blipFill>
                    <a:blip r:embed="rId5">
                      <a:extLst>
                        <a:ext uri="{28A0092B-C50C-407E-A947-70E740481C1C}">
                          <a14:useLocalDpi xmlns:a14="http://schemas.microsoft.com/office/drawing/2010/main" val="0"/>
                        </a:ext>
                      </a:extLst>
                    </a:blip>
                    <a:stretch>
                      <a:fillRect/>
                    </a:stretch>
                  </pic:blipFill>
                  <pic:spPr>
                    <a:xfrm>
                      <a:off x="0" y="0"/>
                      <a:ext cx="5760720" cy="2639060"/>
                    </a:xfrm>
                    <a:prstGeom prst="rect">
                      <a:avLst/>
                    </a:prstGeom>
                  </pic:spPr>
                </pic:pic>
              </a:graphicData>
            </a:graphic>
          </wp:inline>
        </w:drawing>
      </w:r>
    </w:p>
    <w:p w14:paraId="76F421D0" w14:textId="77777777" w:rsidR="005171FB" w:rsidRPr="005171FB" w:rsidRDefault="00C602E3" w:rsidP="00C602E3">
      <w:pPr>
        <w:spacing w:line="480" w:lineRule="auto"/>
        <w:jc w:val="both"/>
        <w:rPr>
          <w:rFonts w:ascii="Arial" w:hAnsi="Arial" w:cs="Arial"/>
          <w:b/>
          <w:bCs/>
          <w:i/>
          <w:iCs/>
        </w:rPr>
      </w:pPr>
      <w:r w:rsidRPr="005171FB">
        <w:rPr>
          <w:rFonts w:ascii="Arial" w:hAnsi="Arial" w:cs="Arial"/>
          <w:b/>
          <w:bCs/>
          <w:iCs/>
          <w:lang w:val="en-US"/>
        </w:rPr>
        <w:t xml:space="preserve">Figure </w:t>
      </w:r>
      <w:r w:rsidR="00F27334" w:rsidRPr="005171FB">
        <w:rPr>
          <w:rFonts w:ascii="Arial" w:hAnsi="Arial" w:cs="Arial"/>
          <w:b/>
          <w:bCs/>
          <w:iCs/>
          <w:lang w:val="en-US"/>
        </w:rPr>
        <w:t>2</w:t>
      </w:r>
      <w:r w:rsidRPr="005171FB">
        <w:rPr>
          <w:rFonts w:ascii="Arial" w:hAnsi="Arial" w:cs="Arial"/>
          <w:b/>
          <w:bCs/>
          <w:iCs/>
        </w:rPr>
        <w:t>a.</w:t>
      </w:r>
      <w:r w:rsidRPr="005171FB">
        <w:rPr>
          <w:rFonts w:ascii="Arial" w:hAnsi="Arial" w:cs="Arial"/>
          <w:iCs/>
        </w:rPr>
        <w:t xml:space="preserve"> </w:t>
      </w:r>
      <w:r w:rsidR="005171FB" w:rsidRPr="005171FB">
        <w:rPr>
          <w:rStyle w:val="Hervorhebung"/>
          <w:rFonts w:ascii="Arial" w:hAnsi="Arial" w:cs="Arial"/>
          <w:b/>
          <w:bCs/>
          <w:i w:val="0"/>
          <w:iCs w:val="0"/>
        </w:rPr>
        <w:t>Clinical presentation and laboratory abnormalities at diagnosis in renal transplant recipients with invasive aspergillosis (iA) and Pneumocystis jirovecii pneumonia (PjP) within the Heidelberg subcohort (n = 495).</w:t>
      </w:r>
      <w:r w:rsidR="005171FB" w:rsidRPr="005171FB">
        <w:rPr>
          <w:rFonts w:ascii="Arial" w:hAnsi="Arial" w:cs="Arial"/>
          <w:b/>
          <w:bCs/>
          <w:i/>
          <w:iCs/>
        </w:rPr>
        <w:t xml:space="preserve"> </w:t>
      </w:r>
    </w:p>
    <w:p w14:paraId="5CFAF76B" w14:textId="1586FF12" w:rsidR="00C602E3" w:rsidRPr="005171FB" w:rsidRDefault="005171FB" w:rsidP="00C602E3">
      <w:pPr>
        <w:spacing w:line="480" w:lineRule="auto"/>
        <w:jc w:val="both"/>
        <w:rPr>
          <w:rFonts w:ascii="Arial" w:hAnsi="Arial" w:cs="Arial"/>
          <w:iCs/>
        </w:rPr>
      </w:pPr>
      <w:r w:rsidRPr="005171FB">
        <w:rPr>
          <w:rFonts w:ascii="Arial" w:hAnsi="Arial" w:cs="Arial"/>
        </w:rPr>
        <w:t>Bars represent the proportion of patients presenting with individual symptoms or laboratory findings. Light gray bars indicate iA patients, and dark gray bars indicate PjP patients. CRP, C-reactive protein; LDH, lactate dehydrogenase.</w:t>
      </w:r>
    </w:p>
    <w:p w14:paraId="22F2ABA6" w14:textId="77777777" w:rsidR="00C602E3" w:rsidRDefault="00C602E3" w:rsidP="00C602E3">
      <w:pPr>
        <w:spacing w:line="480" w:lineRule="auto"/>
        <w:jc w:val="both"/>
        <w:rPr>
          <w:rFonts w:ascii="Arial" w:hAnsi="Arial" w:cs="Arial"/>
          <w:iCs/>
        </w:rPr>
      </w:pPr>
    </w:p>
    <w:p w14:paraId="52AFC8BC" w14:textId="77777777" w:rsidR="00C602E3" w:rsidRDefault="00C602E3" w:rsidP="00C602E3">
      <w:pPr>
        <w:spacing w:line="480" w:lineRule="auto"/>
        <w:jc w:val="both"/>
        <w:rPr>
          <w:rFonts w:ascii="Arial" w:hAnsi="Arial" w:cs="Arial"/>
          <w:iCs/>
        </w:rPr>
      </w:pPr>
    </w:p>
    <w:p w14:paraId="3CB4AE70" w14:textId="77777777" w:rsidR="00C602E3" w:rsidRDefault="00C602E3" w:rsidP="00C602E3">
      <w:pPr>
        <w:spacing w:line="480" w:lineRule="auto"/>
        <w:jc w:val="both"/>
        <w:rPr>
          <w:rFonts w:ascii="Arial" w:hAnsi="Arial" w:cs="Arial"/>
          <w:iCs/>
        </w:rPr>
      </w:pPr>
    </w:p>
    <w:p w14:paraId="7A94C5DE" w14:textId="77777777" w:rsidR="004C49E2" w:rsidRDefault="004C49E2" w:rsidP="00C602E3">
      <w:pPr>
        <w:spacing w:line="480" w:lineRule="auto"/>
        <w:jc w:val="both"/>
        <w:rPr>
          <w:rFonts w:ascii="Arial" w:hAnsi="Arial" w:cs="Arial"/>
          <w:iCs/>
        </w:rPr>
      </w:pPr>
    </w:p>
    <w:p w14:paraId="3877C4EB" w14:textId="77777777" w:rsidR="00C602E3" w:rsidRDefault="004C49E2" w:rsidP="00C602E3">
      <w:pPr>
        <w:spacing w:line="480" w:lineRule="auto"/>
        <w:jc w:val="both"/>
        <w:rPr>
          <w:rFonts w:ascii="Arial" w:hAnsi="Arial" w:cs="Arial"/>
          <w:b/>
          <w:bCs/>
          <w:iCs/>
        </w:rPr>
      </w:pPr>
      <w:r>
        <w:rPr>
          <w:rFonts w:ascii="Arial" w:hAnsi="Arial" w:cs="Arial"/>
          <w:b/>
          <w:bCs/>
          <w:iCs/>
          <w:noProof/>
          <w14:ligatures w14:val="standardContextual"/>
        </w:rPr>
        <w:lastRenderedPageBreak/>
        <w:drawing>
          <wp:inline distT="0" distB="0" distL="0" distR="0" wp14:anchorId="75DECE56" wp14:editId="7F9EAA88">
            <wp:extent cx="5118100" cy="3429000"/>
            <wp:effectExtent l="0" t="0" r="0" b="0"/>
            <wp:docPr id="1243729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988" name="Grafik 124372988"/>
                    <pic:cNvPicPr/>
                  </pic:nvPicPr>
                  <pic:blipFill>
                    <a:blip r:embed="rId6">
                      <a:extLst>
                        <a:ext uri="{28A0092B-C50C-407E-A947-70E740481C1C}">
                          <a14:useLocalDpi xmlns:a14="http://schemas.microsoft.com/office/drawing/2010/main" val="0"/>
                        </a:ext>
                      </a:extLst>
                    </a:blip>
                    <a:stretch>
                      <a:fillRect/>
                    </a:stretch>
                  </pic:blipFill>
                  <pic:spPr>
                    <a:xfrm>
                      <a:off x="0" y="0"/>
                      <a:ext cx="5118100" cy="3429000"/>
                    </a:xfrm>
                    <a:prstGeom prst="rect">
                      <a:avLst/>
                    </a:prstGeom>
                  </pic:spPr>
                </pic:pic>
              </a:graphicData>
            </a:graphic>
          </wp:inline>
        </w:drawing>
      </w:r>
      <w:r w:rsidR="00C602E3" w:rsidRPr="00196CC8">
        <w:rPr>
          <w:rFonts w:ascii="Arial" w:hAnsi="Arial" w:cs="Arial"/>
          <w:iCs/>
        </w:rPr>
        <w:br/>
      </w:r>
    </w:p>
    <w:p w14:paraId="688BD981" w14:textId="77777777" w:rsidR="005171FB" w:rsidRDefault="00C602E3" w:rsidP="00C602E3">
      <w:pPr>
        <w:spacing w:line="480" w:lineRule="auto"/>
        <w:jc w:val="both"/>
        <w:rPr>
          <w:rFonts w:ascii="Arial" w:hAnsi="Arial" w:cs="Arial"/>
          <w:b/>
          <w:bCs/>
          <w:iCs/>
        </w:rPr>
      </w:pPr>
      <w:r>
        <w:rPr>
          <w:rFonts w:ascii="Arial" w:hAnsi="Arial" w:cs="Arial"/>
          <w:b/>
          <w:bCs/>
          <w:iCs/>
        </w:rPr>
        <w:t xml:space="preserve">Figure </w:t>
      </w:r>
      <w:r w:rsidR="00F27334">
        <w:rPr>
          <w:rFonts w:ascii="Arial" w:hAnsi="Arial" w:cs="Arial"/>
          <w:b/>
          <w:bCs/>
          <w:iCs/>
        </w:rPr>
        <w:t>2</w:t>
      </w:r>
      <w:r w:rsidRPr="00196CC8">
        <w:rPr>
          <w:rFonts w:ascii="Arial" w:hAnsi="Arial" w:cs="Arial"/>
          <w:b/>
          <w:bCs/>
          <w:iCs/>
        </w:rPr>
        <w:t>b.</w:t>
      </w:r>
      <w:r w:rsidRPr="00196CC8">
        <w:rPr>
          <w:rFonts w:ascii="Arial" w:hAnsi="Arial" w:cs="Arial"/>
          <w:iCs/>
        </w:rPr>
        <w:t xml:space="preserve"> </w:t>
      </w:r>
      <w:r w:rsidR="005171FB" w:rsidRPr="005171FB">
        <w:rPr>
          <w:rFonts w:ascii="Arial" w:hAnsi="Arial" w:cs="Arial"/>
          <w:b/>
          <w:bCs/>
          <w:iCs/>
        </w:rPr>
        <w:t xml:space="preserve">Clinical outcomes in renal transplant recipients with invasive aspergillosis (iA) and Pneumocystis jirovecii pneumonia (PjP) within the Heidelberg subcohort (n = 495). </w:t>
      </w:r>
    </w:p>
    <w:p w14:paraId="65CA3B2B" w14:textId="5BC67BE5" w:rsidR="00C602E3" w:rsidRPr="00C602E3" w:rsidRDefault="005171FB" w:rsidP="00C602E3">
      <w:pPr>
        <w:spacing w:line="480" w:lineRule="auto"/>
        <w:jc w:val="both"/>
        <w:rPr>
          <w:rFonts w:ascii="Arial" w:hAnsi="Arial" w:cs="Arial"/>
          <w:b/>
          <w:bCs/>
          <w:iCs/>
          <w:lang w:val="en-US"/>
        </w:rPr>
      </w:pPr>
      <w:r w:rsidRPr="005171FB">
        <w:rPr>
          <w:rFonts w:ascii="Arial" w:hAnsi="Arial" w:cs="Arial"/>
          <w:iCs/>
        </w:rPr>
        <w:t>Bars represent the proportion of patients with individual outcomes, including graft function decline, death, sepsis, respiratory failure, liver failure, and graft failure. Light gray bars indicate iA patients, and dark gray bars indicate PjP patients.</w:t>
      </w:r>
    </w:p>
    <w:p w14:paraId="1A4CCB9F" w14:textId="77777777" w:rsidR="0028739A" w:rsidRDefault="0028739A"/>
    <w:sectPr w:rsidR="002873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E3"/>
    <w:rsid w:val="00071F98"/>
    <w:rsid w:val="000853BE"/>
    <w:rsid w:val="00094519"/>
    <w:rsid w:val="000F0B87"/>
    <w:rsid w:val="000F1B21"/>
    <w:rsid w:val="000F5B9D"/>
    <w:rsid w:val="00131C2A"/>
    <w:rsid w:val="00143E68"/>
    <w:rsid w:val="00187BF8"/>
    <w:rsid w:val="001C3CFB"/>
    <w:rsid w:val="0020172A"/>
    <w:rsid w:val="0022502C"/>
    <w:rsid w:val="0023652C"/>
    <w:rsid w:val="00242D45"/>
    <w:rsid w:val="00250164"/>
    <w:rsid w:val="002814ED"/>
    <w:rsid w:val="00284891"/>
    <w:rsid w:val="002856A1"/>
    <w:rsid w:val="0028739A"/>
    <w:rsid w:val="002B7AD4"/>
    <w:rsid w:val="002C3141"/>
    <w:rsid w:val="002E765C"/>
    <w:rsid w:val="002F5806"/>
    <w:rsid w:val="002F7B31"/>
    <w:rsid w:val="0031263F"/>
    <w:rsid w:val="0036034D"/>
    <w:rsid w:val="00382BD8"/>
    <w:rsid w:val="00394EF5"/>
    <w:rsid w:val="003D6E9D"/>
    <w:rsid w:val="003F10E0"/>
    <w:rsid w:val="003F746D"/>
    <w:rsid w:val="004024E2"/>
    <w:rsid w:val="00443631"/>
    <w:rsid w:val="00456D12"/>
    <w:rsid w:val="004644BD"/>
    <w:rsid w:val="004A6EC1"/>
    <w:rsid w:val="004C49E2"/>
    <w:rsid w:val="004C5ED2"/>
    <w:rsid w:val="004D0BED"/>
    <w:rsid w:val="00516176"/>
    <w:rsid w:val="005171FB"/>
    <w:rsid w:val="005368D2"/>
    <w:rsid w:val="005702D9"/>
    <w:rsid w:val="0058402B"/>
    <w:rsid w:val="00585DF3"/>
    <w:rsid w:val="005E5A86"/>
    <w:rsid w:val="00610EA0"/>
    <w:rsid w:val="006648DA"/>
    <w:rsid w:val="006B65A0"/>
    <w:rsid w:val="006D61D7"/>
    <w:rsid w:val="006D7B1E"/>
    <w:rsid w:val="006F6BDC"/>
    <w:rsid w:val="007262F6"/>
    <w:rsid w:val="007819DC"/>
    <w:rsid w:val="007A3323"/>
    <w:rsid w:val="007A6270"/>
    <w:rsid w:val="007B6C69"/>
    <w:rsid w:val="007F7F14"/>
    <w:rsid w:val="00855DAE"/>
    <w:rsid w:val="00865404"/>
    <w:rsid w:val="00870FFC"/>
    <w:rsid w:val="008820C3"/>
    <w:rsid w:val="008A0F1A"/>
    <w:rsid w:val="008C4E70"/>
    <w:rsid w:val="008D0622"/>
    <w:rsid w:val="00912F12"/>
    <w:rsid w:val="00914A85"/>
    <w:rsid w:val="009210D7"/>
    <w:rsid w:val="00921DFF"/>
    <w:rsid w:val="009675E6"/>
    <w:rsid w:val="00987C62"/>
    <w:rsid w:val="00991EBB"/>
    <w:rsid w:val="009B3AAF"/>
    <w:rsid w:val="009C6C3C"/>
    <w:rsid w:val="009C79E8"/>
    <w:rsid w:val="009E370D"/>
    <w:rsid w:val="009E47E3"/>
    <w:rsid w:val="00A2110B"/>
    <w:rsid w:val="00A24DBB"/>
    <w:rsid w:val="00A40CE4"/>
    <w:rsid w:val="00A55CC4"/>
    <w:rsid w:val="00AC38A3"/>
    <w:rsid w:val="00AD2396"/>
    <w:rsid w:val="00AE3C70"/>
    <w:rsid w:val="00AF4A08"/>
    <w:rsid w:val="00B06D8D"/>
    <w:rsid w:val="00B104E4"/>
    <w:rsid w:val="00B711F8"/>
    <w:rsid w:val="00B95F48"/>
    <w:rsid w:val="00BA036A"/>
    <w:rsid w:val="00BA1312"/>
    <w:rsid w:val="00BC5227"/>
    <w:rsid w:val="00BD1B2B"/>
    <w:rsid w:val="00BE69D4"/>
    <w:rsid w:val="00BF15A4"/>
    <w:rsid w:val="00C11286"/>
    <w:rsid w:val="00C3276D"/>
    <w:rsid w:val="00C44000"/>
    <w:rsid w:val="00C44750"/>
    <w:rsid w:val="00C526DB"/>
    <w:rsid w:val="00C5454D"/>
    <w:rsid w:val="00C602E3"/>
    <w:rsid w:val="00C67565"/>
    <w:rsid w:val="00CB0F48"/>
    <w:rsid w:val="00CD49C6"/>
    <w:rsid w:val="00CE0902"/>
    <w:rsid w:val="00D47E02"/>
    <w:rsid w:val="00D60431"/>
    <w:rsid w:val="00DF4F1E"/>
    <w:rsid w:val="00E228D2"/>
    <w:rsid w:val="00E30D08"/>
    <w:rsid w:val="00E40F6B"/>
    <w:rsid w:val="00E74EB8"/>
    <w:rsid w:val="00EA0C5F"/>
    <w:rsid w:val="00EA1748"/>
    <w:rsid w:val="00EA72CC"/>
    <w:rsid w:val="00EB47B8"/>
    <w:rsid w:val="00ED4026"/>
    <w:rsid w:val="00F27334"/>
    <w:rsid w:val="00F72929"/>
    <w:rsid w:val="00F97A30"/>
    <w:rsid w:val="00FB4709"/>
    <w:rsid w:val="00FC1ABD"/>
    <w:rsid w:val="00FF14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923B"/>
  <w15:chartTrackingRefBased/>
  <w15:docId w15:val="{039CAE82-1D1B-794C-AB49-C2630816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02E3"/>
    <w:rPr>
      <w:kern w:val="0"/>
      <w14:ligatures w14:val="none"/>
    </w:rPr>
  </w:style>
  <w:style w:type="paragraph" w:styleId="berschrift1">
    <w:name w:val="heading 1"/>
    <w:basedOn w:val="Standard"/>
    <w:next w:val="Standard"/>
    <w:link w:val="berschrift1Zchn"/>
    <w:uiPriority w:val="9"/>
    <w:qFormat/>
    <w:rsid w:val="00C602E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C602E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C602E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C602E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C602E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C602E3"/>
    <w:pPr>
      <w:keepNext/>
      <w:keepLines/>
      <w:spacing w:before="4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C602E3"/>
    <w:pPr>
      <w:keepNext/>
      <w:keepLines/>
      <w:spacing w:before="4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C602E3"/>
    <w:pPr>
      <w:keepNext/>
      <w:keepLines/>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C602E3"/>
    <w:pPr>
      <w:keepNext/>
      <w:keepLines/>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02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02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02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02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02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02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02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02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02E3"/>
    <w:rPr>
      <w:rFonts w:eastAsiaTheme="majorEastAsia" w:cstheme="majorBidi"/>
      <w:color w:val="272727" w:themeColor="text1" w:themeTint="D8"/>
    </w:rPr>
  </w:style>
  <w:style w:type="paragraph" w:styleId="Titel">
    <w:name w:val="Title"/>
    <w:basedOn w:val="Standard"/>
    <w:next w:val="Standard"/>
    <w:link w:val="TitelZchn"/>
    <w:uiPriority w:val="10"/>
    <w:qFormat/>
    <w:rsid w:val="00C602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C602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02E3"/>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C602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02E3"/>
    <w:pPr>
      <w:spacing w:before="160" w:after="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C602E3"/>
    <w:rPr>
      <w:i/>
      <w:iCs/>
      <w:color w:val="404040" w:themeColor="text1" w:themeTint="BF"/>
    </w:rPr>
  </w:style>
  <w:style w:type="paragraph" w:styleId="Listenabsatz">
    <w:name w:val="List Paragraph"/>
    <w:basedOn w:val="Standard"/>
    <w:uiPriority w:val="34"/>
    <w:qFormat/>
    <w:rsid w:val="00C602E3"/>
    <w:pPr>
      <w:ind w:left="720"/>
      <w:contextualSpacing/>
    </w:pPr>
    <w:rPr>
      <w:kern w:val="2"/>
      <w14:ligatures w14:val="standardContextual"/>
    </w:rPr>
  </w:style>
  <w:style w:type="character" w:styleId="IntensiveHervorhebung">
    <w:name w:val="Intense Emphasis"/>
    <w:basedOn w:val="Absatz-Standardschriftart"/>
    <w:uiPriority w:val="21"/>
    <w:qFormat/>
    <w:rsid w:val="00C602E3"/>
    <w:rPr>
      <w:i/>
      <w:iCs/>
      <w:color w:val="0F4761" w:themeColor="accent1" w:themeShade="BF"/>
    </w:rPr>
  </w:style>
  <w:style w:type="paragraph" w:styleId="IntensivesZitat">
    <w:name w:val="Intense Quote"/>
    <w:basedOn w:val="Standard"/>
    <w:next w:val="Standard"/>
    <w:link w:val="IntensivesZitatZchn"/>
    <w:uiPriority w:val="30"/>
    <w:qFormat/>
    <w:rsid w:val="00C60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C602E3"/>
    <w:rPr>
      <w:i/>
      <w:iCs/>
      <w:color w:val="0F4761" w:themeColor="accent1" w:themeShade="BF"/>
    </w:rPr>
  </w:style>
  <w:style w:type="character" w:styleId="IntensiverVerweis">
    <w:name w:val="Intense Reference"/>
    <w:basedOn w:val="Absatz-Standardschriftart"/>
    <w:uiPriority w:val="32"/>
    <w:qFormat/>
    <w:rsid w:val="00C602E3"/>
    <w:rPr>
      <w:b/>
      <w:bCs/>
      <w:smallCaps/>
      <w:color w:val="0F4761" w:themeColor="accent1" w:themeShade="BF"/>
      <w:spacing w:val="5"/>
    </w:rPr>
  </w:style>
  <w:style w:type="table" w:customStyle="1" w:styleId="TabellemithellemGitternetz1">
    <w:name w:val="Tabelle mit hellem Gitternetz1"/>
    <w:basedOn w:val="NormaleTabelle"/>
    <w:uiPriority w:val="40"/>
    <w:rsid w:val="004C49E2"/>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ervorhebung">
    <w:name w:val="Emphasis"/>
    <w:basedOn w:val="Absatz-Standardschriftart"/>
    <w:uiPriority w:val="20"/>
    <w:qFormat/>
    <w:rsid w:val="00517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291</Words>
  <Characters>2257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Schröter</dc:creator>
  <cp:keywords/>
  <dc:description/>
  <cp:lastModifiedBy>Iris Schröter</cp:lastModifiedBy>
  <cp:revision>3</cp:revision>
  <dcterms:created xsi:type="dcterms:W3CDTF">2026-03-22T21:18:00Z</dcterms:created>
  <dcterms:modified xsi:type="dcterms:W3CDTF">2026-03-25T04:27:00Z</dcterms:modified>
</cp:coreProperties>
</file>