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F3E0" w14:textId="77777777" w:rsidR="00AD6DC4" w:rsidRPr="0045336C" w:rsidRDefault="00AD6DC4" w:rsidP="00AD6DC4">
      <w:pPr>
        <w:pStyle w:val="NormalWeb"/>
        <w:spacing w:before="240" w:beforeAutospacing="0" w:after="0" w:afterAutospacing="0" w:line="480" w:lineRule="auto"/>
        <w:jc w:val="both"/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</w:pPr>
      <w:r w:rsidRPr="005641DA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 xml:space="preserve">Table </w:t>
      </w:r>
      <w:r w:rsidRPr="005641DA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fldChar w:fldCharType="begin"/>
      </w:r>
      <w:r w:rsidRPr="005641DA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instrText xml:space="preserve"> SEQ Table \* ARABIC </w:instrText>
      </w:r>
      <w:r w:rsidRPr="005641DA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fldChar w:fldCharType="separate"/>
      </w:r>
      <w:r w:rsidRPr="005641DA">
        <w:rPr>
          <w:rFonts w:ascii="Cambria" w:hAnsi="Cambria"/>
          <w:b/>
          <w:bCs/>
          <w:noProof/>
          <w:color w:val="000000"/>
          <w:sz w:val="22"/>
          <w:szCs w:val="22"/>
          <w:shd w:val="clear" w:color="auto" w:fill="FFFFFF"/>
        </w:rPr>
        <w:t>1</w:t>
      </w:r>
      <w:r w:rsidRPr="005641DA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fldChar w:fldCharType="end"/>
      </w:r>
      <w:r w:rsidRPr="005641DA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>: Sociodemographic and clinical characteristics of participants (N = 445)</w:t>
      </w:r>
    </w:p>
    <w:tbl>
      <w:tblPr>
        <w:tblStyle w:val="ListTable3-Accent3"/>
        <w:tblW w:w="862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69"/>
        <w:gridCol w:w="1350"/>
        <w:gridCol w:w="1903"/>
      </w:tblGrid>
      <w:tr w:rsidR="00AD6DC4" w:rsidRPr="00735992" w14:paraId="2108FC77" w14:textId="77777777" w:rsidTr="00BB5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hideMark/>
          </w:tcPr>
          <w:p w14:paraId="1667B750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Characteristics (N = 445)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F030DC" w14:textId="77777777" w:rsidR="00AD6DC4" w:rsidRPr="00303691" w:rsidRDefault="00AD6DC4" w:rsidP="00BB5DFA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Frequency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8F359F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%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(95% CI)</w:t>
            </w:r>
          </w:p>
        </w:tc>
      </w:tr>
      <w:tr w:rsidR="00AD6DC4" w:rsidRPr="00735992" w14:paraId="0B20736F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70CA23B0" w14:textId="77777777" w:rsidR="00AD6DC4" w:rsidRPr="00303691" w:rsidRDefault="00AD6DC4" w:rsidP="00BB5DFA">
            <w:pPr>
              <w:pStyle w:val="NoSpacing"/>
              <w:spacing w:before="120" w:after="120"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Socio-demographic Characteristics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C81B90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D62A45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037359B1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right w:val="none" w:sz="0" w:space="0" w:color="auto"/>
            </w:tcBorders>
            <w:hideMark/>
          </w:tcPr>
          <w:p w14:paraId="76F91F0B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Age (Mean = 33.2 years, SD = 9.91)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E28F244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3E2EB8E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039910EB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B448A21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Age Group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0F7401FC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707CECE5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39EC0BE7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14:paraId="222AC770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Young adults (18–24)</w:t>
            </w:r>
          </w:p>
        </w:tc>
        <w:tc>
          <w:tcPr>
            <w:tcW w:w="0" w:type="auto"/>
          </w:tcPr>
          <w:p w14:paraId="5E31D2C7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14:paraId="386FF3E3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20.0 (16.5–24.0)</w:t>
            </w:r>
          </w:p>
        </w:tc>
      </w:tr>
      <w:tr w:rsidR="00AD6DC4" w:rsidRPr="00735992" w14:paraId="46E3F35D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F917EDA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Early adulthood (25–34)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7BBC342E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7E2AB162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43.1 (38.6–47.8)</w:t>
            </w:r>
          </w:p>
        </w:tc>
      </w:tr>
      <w:tr w:rsidR="00AD6DC4" w:rsidRPr="00735992" w14:paraId="4C0EE496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14:paraId="31FC0CE1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Midlife adulthood (35–44)</w:t>
            </w:r>
          </w:p>
        </w:tc>
        <w:tc>
          <w:tcPr>
            <w:tcW w:w="0" w:type="auto"/>
            <w:hideMark/>
          </w:tcPr>
          <w:p w14:paraId="2D86E244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14:paraId="2AA30BF8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23.4 (19.7–27.5)</w:t>
            </w:r>
          </w:p>
        </w:tc>
      </w:tr>
      <w:tr w:rsidR="00AD6DC4" w:rsidRPr="00735992" w14:paraId="03AF2461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26430DF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Late adulthood (</w:t>
            </w:r>
            <w:r w:rsidRPr="00303691">
              <w:rPr>
                <w:rFonts w:ascii="Cambria" w:hAnsi="Cambria" w:cs="Cambria Math"/>
                <w:b w:val="0"/>
                <w:bCs w:val="0"/>
                <w:color w:val="000000" w:themeColor="text1"/>
                <w:sz w:val="20"/>
                <w:szCs w:val="20"/>
              </w:rPr>
              <w:t>≥</w:t>
            </w: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45)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08B3C7D0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74052025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13.5 (10.6–17.0)</w:t>
            </w:r>
          </w:p>
        </w:tc>
      </w:tr>
      <w:tr w:rsidR="00AD6DC4" w:rsidRPr="00735992" w14:paraId="5FB318C2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14:paraId="7113574E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0" w:type="auto"/>
            <w:hideMark/>
          </w:tcPr>
          <w:p w14:paraId="0E0942C6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4536E17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1F1E3C8A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4C9B15A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78A5B297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07C15673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17.8 (14.5–21.6)</w:t>
            </w:r>
          </w:p>
        </w:tc>
      </w:tr>
      <w:tr w:rsidR="00AD6DC4" w:rsidRPr="00735992" w14:paraId="54F8070A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14:paraId="66054DE7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0" w:type="auto"/>
            <w:hideMark/>
          </w:tcPr>
          <w:p w14:paraId="748A739A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14:paraId="7E81CF3B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82.2 (78.4–85.5)</w:t>
            </w:r>
          </w:p>
        </w:tc>
      </w:tr>
      <w:tr w:rsidR="00AD6DC4" w:rsidRPr="00735992" w14:paraId="7E208142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A32E72B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1DDB42FA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7FA528F0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3E98FD74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14:paraId="400BCDC4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Single/never married</w:t>
            </w:r>
          </w:p>
        </w:tc>
        <w:tc>
          <w:tcPr>
            <w:tcW w:w="0" w:type="auto"/>
            <w:hideMark/>
          </w:tcPr>
          <w:p w14:paraId="1FE1BDBC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253 </w:t>
            </w:r>
          </w:p>
        </w:tc>
        <w:tc>
          <w:tcPr>
            <w:tcW w:w="0" w:type="auto"/>
            <w:hideMark/>
          </w:tcPr>
          <w:p w14:paraId="32388D7F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56.8 (52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.1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–61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.5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AD6DC4" w:rsidRPr="00735992" w14:paraId="6DE2736A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E402D73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Married/cohabiting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4F1C543E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124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0CD8A299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27.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9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(2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3.7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–32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.3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AD6DC4" w:rsidRPr="00735992" w14:paraId="2307FF75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14:paraId="23728D50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Divorced/separated</w:t>
            </w:r>
            <w:r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/widowed</w:t>
            </w:r>
          </w:p>
        </w:tc>
        <w:tc>
          <w:tcPr>
            <w:tcW w:w="0" w:type="auto"/>
            <w:hideMark/>
          </w:tcPr>
          <w:p w14:paraId="7CA40DCD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8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3CB26636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2.1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–1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9.0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AD6DC4" w:rsidRPr="00735992" w14:paraId="12C3F038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4DFFD2E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Employment Status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200080BD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4E57A0E2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304A3C00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14:paraId="01E36053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Unemployed</w:t>
            </w:r>
          </w:p>
        </w:tc>
        <w:tc>
          <w:tcPr>
            <w:tcW w:w="0" w:type="auto"/>
            <w:hideMark/>
          </w:tcPr>
          <w:p w14:paraId="0AF30AAD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14:paraId="28ED3D02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30.3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26.2–34.8)</w:t>
            </w:r>
          </w:p>
        </w:tc>
      </w:tr>
      <w:tr w:rsidR="00AD6DC4" w:rsidRPr="00735992" w14:paraId="733C76D5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AECA521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Pupil/student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5387AC01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16DE8FB9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9.9 (7.4–13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.0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AD6DC4" w:rsidRPr="00735992" w14:paraId="22EB145A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14:paraId="71A7C648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Casual labourers</w:t>
            </w:r>
          </w:p>
        </w:tc>
        <w:tc>
          <w:tcPr>
            <w:tcW w:w="0" w:type="auto"/>
            <w:hideMark/>
          </w:tcPr>
          <w:p w14:paraId="4C6EB091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14:paraId="4D78809E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24.7 (20.9–28.9)</w:t>
            </w:r>
          </w:p>
        </w:tc>
      </w:tr>
      <w:tr w:rsidR="00AD6DC4" w:rsidRPr="00735992" w14:paraId="7831FC12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F788A34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Self-employed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3E5AA7A3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36DDDB47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21.3 (17.8–25.4)</w:t>
            </w:r>
          </w:p>
        </w:tc>
      </w:tr>
      <w:tr w:rsidR="00AD6DC4" w:rsidRPr="00735992" w14:paraId="2EF24A4D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14:paraId="30A0311B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Official employment</w:t>
            </w:r>
          </w:p>
        </w:tc>
        <w:tc>
          <w:tcPr>
            <w:tcW w:w="0" w:type="auto"/>
            <w:hideMark/>
          </w:tcPr>
          <w:p w14:paraId="0C88A850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14:paraId="71ADADD2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13.7 (10.8–17.2)</w:t>
            </w:r>
          </w:p>
        </w:tc>
      </w:tr>
      <w:tr w:rsidR="00AD6DC4" w:rsidRPr="00735992" w14:paraId="38AE1559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0192CF0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Education level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00DDB92D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5515997C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20D5C406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0975BA79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No formal school</w:t>
            </w:r>
          </w:p>
        </w:tc>
        <w:tc>
          <w:tcPr>
            <w:tcW w:w="0" w:type="auto"/>
          </w:tcPr>
          <w:p w14:paraId="047F5DD9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253FEF8D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5.8 (4</w:t>
            </w:r>
            <w:r>
              <w:rPr>
                <w:rFonts w:ascii="Cambria" w:hAnsi="Cambria" w:cs="Calibri"/>
                <w:color w:val="000000" w:themeColor="text1"/>
                <w:sz w:val="20"/>
                <w:szCs w:val="20"/>
              </w:rPr>
              <w:t xml:space="preserve">.0 </w:t>
            </w: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–8.4)</w:t>
            </w:r>
          </w:p>
        </w:tc>
      </w:tr>
      <w:tr w:rsidR="00AD6DC4" w:rsidRPr="00735992" w14:paraId="46993E51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3CDDED0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Primary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4BE9BA16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6094C6BE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36.0 (31.6–40.5)</w:t>
            </w:r>
          </w:p>
        </w:tc>
      </w:tr>
      <w:tr w:rsidR="00AD6DC4" w:rsidRPr="00735992" w14:paraId="4D517386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7FF8745A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Secondary</w:t>
            </w:r>
          </w:p>
        </w:tc>
        <w:tc>
          <w:tcPr>
            <w:tcW w:w="0" w:type="auto"/>
          </w:tcPr>
          <w:p w14:paraId="7994931C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14:paraId="53DC8119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21.6 (18</w:t>
            </w:r>
            <w:r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.3</w:t>
            </w: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–25.6)</w:t>
            </w:r>
          </w:p>
        </w:tc>
      </w:tr>
      <w:tr w:rsidR="00AD6DC4" w:rsidRPr="00735992" w14:paraId="05AC9C91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8C9B48B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Tertiary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7D2022AB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54DEE2B8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36.6 (32.3–41.2)</w:t>
            </w:r>
          </w:p>
        </w:tc>
      </w:tr>
      <w:tr w:rsidR="00AD6DC4" w:rsidRPr="00735992" w14:paraId="51345451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49FF137C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 w:cs="Calibri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Religion</w:t>
            </w:r>
          </w:p>
        </w:tc>
        <w:tc>
          <w:tcPr>
            <w:tcW w:w="0" w:type="auto"/>
          </w:tcPr>
          <w:p w14:paraId="599B4759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50D103A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5EFC3D73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F9379B2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Anglican/protestant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37B08C70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0B087850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34.6 (30.3–39.1)</w:t>
            </w:r>
          </w:p>
        </w:tc>
      </w:tr>
      <w:tr w:rsidR="00AD6DC4" w:rsidRPr="00735992" w14:paraId="1EBE8AC1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0DCE3AF3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Catholic</w:t>
            </w:r>
          </w:p>
        </w:tc>
        <w:tc>
          <w:tcPr>
            <w:tcW w:w="0" w:type="auto"/>
          </w:tcPr>
          <w:p w14:paraId="3BB82B68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0" w:type="auto"/>
          </w:tcPr>
          <w:p w14:paraId="2366184A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40 (35.6–44.6)</w:t>
            </w:r>
          </w:p>
        </w:tc>
      </w:tr>
      <w:tr w:rsidR="00AD6DC4" w:rsidRPr="00735992" w14:paraId="602DF922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DDC69D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Muslim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6D1926DC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78F4BE1B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14.2 (11.2–17.7)</w:t>
            </w:r>
          </w:p>
        </w:tc>
      </w:tr>
      <w:tr w:rsidR="00AD6DC4" w:rsidRPr="00735992" w14:paraId="23C539D8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5EBB79C5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Pentecostal</w:t>
            </w:r>
          </w:p>
        </w:tc>
        <w:tc>
          <w:tcPr>
            <w:tcW w:w="0" w:type="auto"/>
          </w:tcPr>
          <w:p w14:paraId="593B7466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14:paraId="58ED543B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8.5 (6.3–11.5)</w:t>
            </w:r>
          </w:p>
        </w:tc>
      </w:tr>
      <w:tr w:rsidR="00AD6DC4" w:rsidRPr="00735992" w14:paraId="1CD7485C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048E836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Others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68014A2A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14871257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2.7 (1.5–4.7)</w:t>
            </w:r>
          </w:p>
        </w:tc>
      </w:tr>
      <w:tr w:rsidR="00AD6DC4" w:rsidRPr="00735992" w14:paraId="1F7D171E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14:paraId="09FFA01B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Residence</w:t>
            </w:r>
          </w:p>
        </w:tc>
        <w:tc>
          <w:tcPr>
            <w:tcW w:w="0" w:type="auto"/>
            <w:hideMark/>
          </w:tcPr>
          <w:p w14:paraId="2EADE581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4A5A75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14E07333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CECA0DC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Rural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3CE3CBEC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0A12F8D3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20.7 (17.2–24.7)</w:t>
            </w:r>
          </w:p>
        </w:tc>
      </w:tr>
      <w:tr w:rsidR="00AD6DC4" w:rsidRPr="00735992" w14:paraId="04E41D4B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  <w:hideMark/>
          </w:tcPr>
          <w:p w14:paraId="01B01604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Semi-urban</w:t>
            </w:r>
          </w:p>
        </w:tc>
        <w:tc>
          <w:tcPr>
            <w:tcW w:w="0" w:type="auto"/>
            <w:hideMark/>
          </w:tcPr>
          <w:p w14:paraId="5B494A8E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14:paraId="25BDFEC9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29 (25</w:t>
            </w:r>
            <w:r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.0</w:t>
            </w: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–33.4)</w:t>
            </w:r>
          </w:p>
        </w:tc>
      </w:tr>
      <w:tr w:rsidR="00AD6DC4" w:rsidRPr="00735992" w14:paraId="43FD3EFF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E448988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Urban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665D0497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1985FB0F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50.3 (45.7–55.1)</w:t>
            </w:r>
          </w:p>
        </w:tc>
      </w:tr>
      <w:tr w:rsidR="00AD6DC4" w:rsidRPr="00735992" w14:paraId="7289C75B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6566A097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Stable housing</w:t>
            </w:r>
          </w:p>
        </w:tc>
        <w:tc>
          <w:tcPr>
            <w:tcW w:w="0" w:type="auto"/>
          </w:tcPr>
          <w:p w14:paraId="2D2BA689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EA09BE6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21A11621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il"/>
              <w:right w:val="none" w:sz="0" w:space="0" w:color="auto"/>
            </w:tcBorders>
          </w:tcPr>
          <w:p w14:paraId="2AB1D131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one" w:sz="0" w:space="0" w:color="auto"/>
              <w:bottom w:val="nil"/>
            </w:tcBorders>
          </w:tcPr>
          <w:p w14:paraId="02B30445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one" w:sz="0" w:space="0" w:color="auto"/>
              <w:bottom w:val="nil"/>
            </w:tcBorders>
          </w:tcPr>
          <w:p w14:paraId="28B778C6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14.8 (11.8–18.4)</w:t>
            </w:r>
          </w:p>
        </w:tc>
      </w:tr>
      <w:tr w:rsidR="00AD6DC4" w:rsidRPr="00735992" w14:paraId="4B663E24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  <w:right w:val="none" w:sz="0" w:space="0" w:color="auto"/>
            </w:tcBorders>
          </w:tcPr>
          <w:p w14:paraId="3BDAC46F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2AEA500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0FCC034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85.2 (81.6–88.2)</w:t>
            </w:r>
          </w:p>
        </w:tc>
      </w:tr>
      <w:tr w:rsidR="00AD6DC4" w:rsidRPr="00735992" w14:paraId="08C28556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C6ACE36" w14:textId="77777777" w:rsidR="00AD6DC4" w:rsidRPr="00303691" w:rsidRDefault="00AD6DC4" w:rsidP="00BB5DFA">
            <w:pPr>
              <w:pStyle w:val="NoSpacing"/>
              <w:spacing w:before="120" w:after="120"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Substance Use and Clinical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Characteristics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75AD02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7AF2D3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658E9C39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right w:val="none" w:sz="0" w:space="0" w:color="auto"/>
            </w:tcBorders>
          </w:tcPr>
          <w:p w14:paraId="2981F14F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Primary Substance Used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133EF5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634658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3DDD953B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0C1318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Alcohol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09455823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265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4452F714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59.6 (55.1–64.0)</w:t>
            </w:r>
          </w:p>
        </w:tc>
      </w:tr>
      <w:tr w:rsidR="00AD6DC4" w:rsidRPr="00735992" w14:paraId="451DB45A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78B2BF8A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Cannabis</w:t>
            </w:r>
          </w:p>
        </w:tc>
        <w:tc>
          <w:tcPr>
            <w:tcW w:w="0" w:type="auto"/>
          </w:tcPr>
          <w:p w14:paraId="7C6AF96E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14:paraId="2EEFEB2C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19.6 (15.9–23.3)</w:t>
            </w:r>
          </w:p>
        </w:tc>
      </w:tr>
      <w:tr w:rsidR="00AD6DC4" w:rsidRPr="00735992" w14:paraId="01D0FFBF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9CB178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Sedative-hypnotics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59511B17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17891AAC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7.0 (4.7–9.4)</w:t>
            </w:r>
          </w:p>
        </w:tc>
      </w:tr>
      <w:tr w:rsidR="00AD6DC4" w:rsidRPr="00735992" w14:paraId="0DE57E40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49EFEBE6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Illegal opioids</w:t>
            </w:r>
          </w:p>
        </w:tc>
        <w:tc>
          <w:tcPr>
            <w:tcW w:w="0" w:type="auto"/>
          </w:tcPr>
          <w:p w14:paraId="1439A22A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14:paraId="020ED3F1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6.5 (4.3–9.0)</w:t>
            </w:r>
          </w:p>
        </w:tc>
      </w:tr>
      <w:tr w:rsidR="00AD6DC4" w:rsidRPr="00735992" w14:paraId="5CECED79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8290B7C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Legal opioids (e.g., pethidine, tramadol)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19AA614D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386384DD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5.2 (3.1–7.4)</w:t>
            </w:r>
          </w:p>
        </w:tc>
      </w:tr>
      <w:tr w:rsidR="00AD6DC4" w:rsidRPr="00735992" w14:paraId="5C111977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085F16F9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Cocaine/Crack cocaine</w:t>
            </w:r>
          </w:p>
        </w:tc>
        <w:tc>
          <w:tcPr>
            <w:tcW w:w="0" w:type="auto"/>
          </w:tcPr>
          <w:p w14:paraId="43010408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9047BE1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1.3 (0.4–2.5)</w:t>
            </w:r>
          </w:p>
        </w:tc>
      </w:tr>
      <w:tr w:rsidR="00AD6DC4" w:rsidRPr="00735992" w14:paraId="73EE6CE8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0AC2F3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Khat (Mairungi)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12E59A27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0D5794A6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0.4 (0.01–1.6)</w:t>
            </w:r>
          </w:p>
        </w:tc>
      </w:tr>
      <w:tr w:rsidR="00AD6DC4" w:rsidRPr="00735992" w14:paraId="1568AF0A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1CD500DC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Anticholinergic</w:t>
            </w:r>
          </w:p>
        </w:tc>
        <w:tc>
          <w:tcPr>
            <w:tcW w:w="0" w:type="auto"/>
          </w:tcPr>
          <w:p w14:paraId="328EC613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A518BB0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0.4 (0.01–1.6)</w:t>
            </w:r>
          </w:p>
        </w:tc>
      </w:tr>
      <w:tr w:rsidR="00AD6DC4" w:rsidRPr="00735992" w14:paraId="03E0BC11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0FCCC6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Ever Injected Drugs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352FC656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04D89535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003772D8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5F9B9949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Ever injected</w:t>
            </w:r>
          </w:p>
        </w:tc>
        <w:tc>
          <w:tcPr>
            <w:tcW w:w="0" w:type="auto"/>
          </w:tcPr>
          <w:p w14:paraId="6F547FCD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14:paraId="17B7C619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13.9 (11</w:t>
            </w:r>
            <w:r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.0</w:t>
            </w: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–17.5)</w:t>
            </w:r>
          </w:p>
        </w:tc>
      </w:tr>
      <w:tr w:rsidR="00AD6DC4" w:rsidRPr="00735992" w14:paraId="2A38D9A6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A3D8010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Never injected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5466DD79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094B5642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86.1 (82.5–89)</w:t>
            </w:r>
          </w:p>
        </w:tc>
      </w:tr>
      <w:tr w:rsidR="00AD6DC4" w:rsidRPr="00735992" w14:paraId="324B5B11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62028D92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Previously treated for SUD</w:t>
            </w:r>
          </w:p>
        </w:tc>
        <w:tc>
          <w:tcPr>
            <w:tcW w:w="0" w:type="auto"/>
          </w:tcPr>
          <w:p w14:paraId="16FDF2D5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7599239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0589270F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F16429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3A9C2939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13E64F9E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50.6</w:t>
            </w: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 xml:space="preserve"> (4</w:t>
            </w:r>
            <w:r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5.8</w:t>
            </w: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–5</w:t>
            </w:r>
            <w:r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5</w:t>
            </w: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3</w:t>
            </w: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AD6DC4" w:rsidRPr="00735992" w14:paraId="5916E6E8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79AC28F0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5CAB6BC2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22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751D2F6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libri"/>
                <w:color w:val="000000" w:themeColor="text1"/>
                <w:sz w:val="20"/>
                <w:szCs w:val="20"/>
              </w:rPr>
              <w:t xml:space="preserve">49.4 </w:t>
            </w: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(4</w:t>
            </w:r>
            <w:r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4</w:t>
            </w: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7</w:t>
            </w: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–5</w:t>
            </w:r>
            <w:r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4</w:t>
            </w: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.2)</w:t>
            </w:r>
          </w:p>
        </w:tc>
      </w:tr>
      <w:tr w:rsidR="00AD6DC4" w:rsidRPr="00735992" w14:paraId="40315374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EA52D51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2B2262">
              <w:rPr>
                <w:rFonts w:ascii="Cambria" w:hAnsi="Cambria"/>
                <w:color w:val="000000" w:themeColor="text1"/>
                <w:sz w:val="20"/>
                <w:szCs w:val="20"/>
                <w:lang/>
              </w:rPr>
              <w:t>Acute psychosis at treatment entry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01C870DE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019EB278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5D2217D4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3F5B59E8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Not psychotic</w:t>
            </w:r>
          </w:p>
        </w:tc>
        <w:tc>
          <w:tcPr>
            <w:tcW w:w="0" w:type="auto"/>
          </w:tcPr>
          <w:p w14:paraId="2E94FF09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307</w:t>
            </w:r>
          </w:p>
        </w:tc>
        <w:tc>
          <w:tcPr>
            <w:tcW w:w="0" w:type="auto"/>
          </w:tcPr>
          <w:p w14:paraId="2508C95F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69 (64.5–73.1)</w:t>
            </w:r>
          </w:p>
        </w:tc>
      </w:tr>
      <w:tr w:rsidR="00AD6DC4" w:rsidRPr="00735992" w14:paraId="32EC0E93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90371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Psychotic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0F0607AE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75615AFA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31 (26.9–35.5)</w:t>
            </w:r>
          </w:p>
        </w:tc>
      </w:tr>
      <w:tr w:rsidR="00AD6DC4" w:rsidRPr="00735992" w14:paraId="4E32DDBF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24F7EAA8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ADHD Screen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1514B8">
              <w:rPr>
                <w:rFonts w:ascii="Cambria" w:hAnsi="Cambria"/>
                <w:color w:val="000000" w:themeColor="text1"/>
                <w:sz w:val="20"/>
                <w:szCs w:val="20"/>
                <w:lang/>
              </w:rPr>
              <w:t>(ASRS-v1.1)</w:t>
            </w:r>
          </w:p>
        </w:tc>
        <w:tc>
          <w:tcPr>
            <w:tcW w:w="0" w:type="auto"/>
          </w:tcPr>
          <w:p w14:paraId="55F1ECEC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D1AF4EC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324A1C7D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71C454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7785791E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403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5684735A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90.6 (87.9–93.3)</w:t>
            </w:r>
          </w:p>
        </w:tc>
      </w:tr>
      <w:tr w:rsidR="00AD6DC4" w:rsidRPr="00735992" w14:paraId="718CC360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6033A440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Positive</w:t>
            </w:r>
          </w:p>
        </w:tc>
        <w:tc>
          <w:tcPr>
            <w:tcW w:w="0" w:type="auto"/>
          </w:tcPr>
          <w:p w14:paraId="383117F9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14:paraId="4E717470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9.4 (6.7–12.1)</w:t>
            </w:r>
          </w:p>
        </w:tc>
      </w:tr>
      <w:tr w:rsidR="00AD6DC4" w:rsidRPr="00735992" w14:paraId="1E1F5E6B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304026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Depression Screen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1514B8">
              <w:rPr>
                <w:rFonts w:ascii="Cambria" w:hAnsi="Cambria"/>
                <w:color w:val="000000" w:themeColor="text1"/>
                <w:sz w:val="20"/>
                <w:szCs w:val="20"/>
                <w:lang/>
              </w:rPr>
              <w:t>(DASS-21)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1619B877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73C66BB8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01132406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3475E9FE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</w:tcPr>
          <w:p w14:paraId="2A9E74D0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0" w:type="auto"/>
          </w:tcPr>
          <w:p w14:paraId="1BF42A9A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29.4 (25.4–33.8)</w:t>
            </w:r>
          </w:p>
        </w:tc>
      </w:tr>
      <w:tr w:rsidR="00AD6DC4" w:rsidRPr="00735992" w14:paraId="5FEBE813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59B7FF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Positive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4AF485DB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21C00E28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70.6 (66.2–74.6)</w:t>
            </w:r>
          </w:p>
        </w:tc>
      </w:tr>
      <w:tr w:rsidR="00AD6DC4" w:rsidRPr="00735992" w14:paraId="13765822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78330F0B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Anxiety Screen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1514B8">
              <w:rPr>
                <w:rFonts w:ascii="Cambria" w:hAnsi="Cambria"/>
                <w:color w:val="000000" w:themeColor="text1"/>
                <w:sz w:val="20"/>
                <w:szCs w:val="20"/>
                <w:lang/>
              </w:rPr>
              <w:t>(DASS-21)</w:t>
            </w:r>
          </w:p>
        </w:tc>
        <w:tc>
          <w:tcPr>
            <w:tcW w:w="0" w:type="auto"/>
          </w:tcPr>
          <w:p w14:paraId="59D519A6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F45CA7F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7C7DB20E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1FDCB4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6762C2C0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52D62607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48.1 (43.5–52.7)</w:t>
            </w:r>
          </w:p>
        </w:tc>
      </w:tr>
      <w:tr w:rsidR="00AD6DC4" w:rsidRPr="00735992" w14:paraId="64973607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7D24C947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Positive</w:t>
            </w:r>
          </w:p>
        </w:tc>
        <w:tc>
          <w:tcPr>
            <w:tcW w:w="0" w:type="auto"/>
          </w:tcPr>
          <w:p w14:paraId="074AB54A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0" w:type="auto"/>
          </w:tcPr>
          <w:p w14:paraId="58197B2C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51.9 (47.3–56.5)</w:t>
            </w:r>
          </w:p>
        </w:tc>
      </w:tr>
      <w:tr w:rsidR="00AD6DC4" w:rsidRPr="00735992" w14:paraId="2D991563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008BBA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Stress Screen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1514B8">
              <w:rPr>
                <w:rFonts w:ascii="Cambria" w:hAnsi="Cambria"/>
                <w:color w:val="000000" w:themeColor="text1"/>
                <w:sz w:val="20"/>
                <w:szCs w:val="20"/>
                <w:lang/>
              </w:rPr>
              <w:t>(DASS-21)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67FD2899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760B611A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206E1A51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one" w:sz="0" w:space="0" w:color="auto"/>
            </w:tcBorders>
          </w:tcPr>
          <w:p w14:paraId="64D64304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</w:tcPr>
          <w:p w14:paraId="0AD5D84F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0" w:type="auto"/>
          </w:tcPr>
          <w:p w14:paraId="48D7F8BC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68.5 (64.1–72.7)</w:t>
            </w:r>
          </w:p>
        </w:tc>
      </w:tr>
      <w:tr w:rsidR="00AD6DC4" w:rsidRPr="00735992" w14:paraId="34301674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il"/>
              <w:right w:val="none" w:sz="0" w:space="0" w:color="auto"/>
            </w:tcBorders>
          </w:tcPr>
          <w:p w14:paraId="3AF45CFC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Positive</w:t>
            </w:r>
          </w:p>
        </w:tc>
        <w:tc>
          <w:tcPr>
            <w:tcW w:w="0" w:type="auto"/>
            <w:tcBorders>
              <w:top w:val="none" w:sz="0" w:space="0" w:color="auto"/>
              <w:bottom w:val="nil"/>
            </w:tcBorders>
          </w:tcPr>
          <w:p w14:paraId="4B9FF4EE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one" w:sz="0" w:space="0" w:color="auto"/>
              <w:bottom w:val="nil"/>
            </w:tcBorders>
          </w:tcPr>
          <w:p w14:paraId="52842FF1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31.5 (27.3–35.9)</w:t>
            </w:r>
          </w:p>
        </w:tc>
      </w:tr>
      <w:tr w:rsidR="00AD6DC4" w:rsidRPr="00735992" w14:paraId="196278C0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one" w:sz="0" w:space="0" w:color="auto"/>
            </w:tcBorders>
          </w:tcPr>
          <w:p w14:paraId="33DA3B2E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WHODAS Disability Categories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1D21C9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A60033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543BF281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71BF1784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4CD8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No disability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F624E1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F1A460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14.4 (11.4–17.9)</w:t>
            </w:r>
          </w:p>
        </w:tc>
      </w:tr>
      <w:tr w:rsidR="00AD6DC4" w:rsidRPr="00735992" w14:paraId="3DDEC085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1AD333D4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4CD8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Mild disability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78143F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AD92A0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49.9 (45.3–54.5)</w:t>
            </w:r>
          </w:p>
        </w:tc>
      </w:tr>
      <w:tr w:rsidR="00AD6DC4" w:rsidRPr="00735992" w14:paraId="040B4657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258C713B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4CD8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Moderate disability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E09FC8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5E69BD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28.5 (24.5–32.9)</w:t>
            </w:r>
          </w:p>
        </w:tc>
      </w:tr>
      <w:tr w:rsidR="00AD6DC4" w:rsidRPr="00735992" w14:paraId="0FBEFE4C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3F962071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4CD8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Severe disability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6768A9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2724E4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7.19 (5.1–9.9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AD6DC4" w:rsidRPr="00735992" w14:paraId="726D19D9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2D2E5752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Quality of Life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1514B8">
              <w:rPr>
                <w:rFonts w:ascii="Cambria" w:hAnsi="Cambria"/>
                <w:color w:val="000000" w:themeColor="text1"/>
                <w:sz w:val="20"/>
                <w:szCs w:val="20"/>
                <w:lang/>
              </w:rPr>
              <w:t>(WHOQOL-BREF)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D8A7A0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A37FDD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62E97070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one" w:sz="0" w:space="0" w:color="auto"/>
            </w:tcBorders>
          </w:tcPr>
          <w:p w14:paraId="5E858E7E" w14:textId="77777777" w:rsidR="00AD6DC4" w:rsidRPr="0097077C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7077C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Physical Health (</w:t>
            </w:r>
            <w:r w:rsidRPr="0097077C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  <w:lang/>
              </w:rPr>
              <w:t>Mean = 58.6, SD = 17.2)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B870EF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D14FA5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21E1A16C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one" w:sz="0" w:space="0" w:color="auto"/>
            </w:tcBorders>
          </w:tcPr>
          <w:p w14:paraId="308B7080" w14:textId="77777777" w:rsidR="00AD6DC4" w:rsidRPr="0097077C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7077C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Psychological (Mean = 57.8, SD = 18.2)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67A2FB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E47822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0574A418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one" w:sz="0" w:space="0" w:color="auto"/>
            </w:tcBorders>
          </w:tcPr>
          <w:p w14:paraId="67FA6361" w14:textId="77777777" w:rsidR="00AD6DC4" w:rsidRPr="0097077C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7077C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Social relationships (Mean = 57.5, SD = 23.5)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C37475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57556A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04034A92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one" w:sz="0" w:space="0" w:color="auto"/>
            </w:tcBorders>
          </w:tcPr>
          <w:p w14:paraId="66C7E55D" w14:textId="77777777" w:rsidR="00AD6DC4" w:rsidRPr="0097077C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7077C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Environment (Mean = 51.7, SD = 17.7)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B706EA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910897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4CBE9B33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one" w:sz="0" w:space="0" w:color="auto"/>
            </w:tcBorders>
          </w:tcPr>
          <w:p w14:paraId="0D5081FB" w14:textId="77777777" w:rsidR="00AD6DC4" w:rsidRPr="0097077C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7077C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Overall QoL (Mean = 59.0, SD = 21.5)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9743D6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1257CA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087AFB79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one" w:sz="0" w:space="0" w:color="auto"/>
            </w:tcBorders>
          </w:tcPr>
          <w:p w14:paraId="4754E3EB" w14:textId="77777777" w:rsidR="00AD6DC4" w:rsidRPr="00B04CD8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Global </w:t>
            </w: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Quality of Life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7077C">
              <w:rPr>
                <w:rFonts w:ascii="Cambria" w:hAnsi="Cambria"/>
                <w:color w:val="000000" w:themeColor="text1"/>
                <w:sz w:val="20"/>
                <w:szCs w:val="20"/>
              </w:rPr>
              <w:t>(WHOQOL-BREF)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B899E5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F4B2C5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  <w:sz w:val="20"/>
                <w:szCs w:val="20"/>
              </w:rPr>
            </w:pPr>
          </w:p>
        </w:tc>
      </w:tr>
      <w:tr w:rsidR="00AD6DC4" w:rsidRPr="00735992" w14:paraId="5DB639D7" w14:textId="77777777" w:rsidTr="00BB5DF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14:paraId="710E0481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4CD8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Good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CFC7DE" w14:textId="77777777" w:rsidR="00AD6DC4" w:rsidRPr="00303691" w:rsidRDefault="00AD6DC4" w:rsidP="00BB5DF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3364FE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43.8 (39.3–48.5)</w:t>
            </w:r>
          </w:p>
        </w:tc>
      </w:tr>
      <w:tr w:rsidR="00AD6DC4" w:rsidRPr="00735992" w14:paraId="056ABB58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14:paraId="32D5D794" w14:textId="77777777" w:rsidR="00AD6DC4" w:rsidRPr="00303691" w:rsidRDefault="00AD6DC4" w:rsidP="00BB5DFA">
            <w:pPr>
              <w:pStyle w:val="NoSpacing"/>
              <w:spacing w:line="276" w:lineRule="auto"/>
              <w:ind w:left="720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04CD8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Not good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0BC26E0" w14:textId="77777777" w:rsidR="00AD6DC4" w:rsidRPr="00303691" w:rsidRDefault="00AD6DC4" w:rsidP="00BB5DF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D2C3E9B" w14:textId="77777777" w:rsidR="00AD6DC4" w:rsidRPr="00303691" w:rsidRDefault="00AD6DC4" w:rsidP="00BB5DFA">
            <w:pPr>
              <w:pStyle w:val="NoSpacing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3691">
              <w:rPr>
                <w:rFonts w:ascii="Cambria" w:hAnsi="Cambria" w:cs="Calibri"/>
                <w:color w:val="000000" w:themeColor="text1"/>
                <w:sz w:val="20"/>
                <w:szCs w:val="20"/>
              </w:rPr>
              <w:t>56.2 (51.5–60.7)</w:t>
            </w:r>
          </w:p>
        </w:tc>
      </w:tr>
    </w:tbl>
    <w:p w14:paraId="6AA1DC2F" w14:textId="77777777" w:rsidR="00AD6DC4" w:rsidRDefault="00AD6DC4" w:rsidP="00AD6DC4">
      <w:pPr>
        <w:rPr>
          <w:lang w:val="en-GB"/>
        </w:rPr>
      </w:pPr>
    </w:p>
    <w:p w14:paraId="70FC1985" w14:textId="77777777" w:rsidR="00AD6DC4" w:rsidRDefault="00AD6DC4" w:rsidP="00AD6DC4">
      <w:pPr>
        <w:pStyle w:val="NormalWeb"/>
        <w:spacing w:before="240" w:beforeAutospacing="0" w:after="0" w:afterAutospacing="0" w:line="276" w:lineRule="auto"/>
        <w:jc w:val="both"/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</w:pPr>
    </w:p>
    <w:p w14:paraId="50D644D8" w14:textId="77777777" w:rsidR="00AD6DC4" w:rsidRDefault="00AD6DC4" w:rsidP="00AD6DC4">
      <w:pPr>
        <w:pStyle w:val="NormalWeb"/>
        <w:spacing w:before="240" w:beforeAutospacing="0" w:after="0" w:afterAutospacing="0" w:line="276" w:lineRule="auto"/>
        <w:jc w:val="both"/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</w:pPr>
    </w:p>
    <w:p w14:paraId="0D88DA3A" w14:textId="126BE8FF" w:rsidR="00AD6DC4" w:rsidRPr="00A712F8" w:rsidRDefault="00AD6DC4" w:rsidP="00AD6DC4">
      <w:pPr>
        <w:pStyle w:val="NormalWeb"/>
        <w:spacing w:before="240" w:beforeAutospacing="0" w:after="0" w:afterAutospacing="0" w:line="276" w:lineRule="auto"/>
        <w:jc w:val="both"/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</w:pPr>
      <w:r w:rsidRPr="00A712F8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 xml:space="preserve">Table </w:t>
      </w:r>
      <w:r w:rsidRPr="00A712F8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fldChar w:fldCharType="begin"/>
      </w:r>
      <w:r w:rsidRPr="00A712F8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instrText xml:space="preserve"> SEQ Table \* ARABIC </w:instrText>
      </w:r>
      <w:r w:rsidRPr="00A712F8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fldChar w:fldCharType="separate"/>
      </w:r>
      <w:r>
        <w:rPr>
          <w:rFonts w:ascii="Cambria" w:hAnsi="Cambria"/>
          <w:b/>
          <w:bCs/>
          <w:noProof/>
          <w:color w:val="000000"/>
          <w:sz w:val="22"/>
          <w:szCs w:val="22"/>
          <w:shd w:val="clear" w:color="auto" w:fill="FFFFFF"/>
        </w:rPr>
        <w:t>2</w:t>
      </w:r>
      <w:r w:rsidRPr="00A712F8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fldChar w:fldCharType="end"/>
      </w:r>
      <w:r w:rsidRPr="00A712F8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>: Model selection indices for latent class analysis</w:t>
      </w:r>
    </w:p>
    <w:tbl>
      <w:tblPr>
        <w:tblStyle w:val="ListTable3-Accent3"/>
        <w:tblW w:w="89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3"/>
        <w:gridCol w:w="1360"/>
        <w:gridCol w:w="940"/>
        <w:gridCol w:w="940"/>
        <w:gridCol w:w="1216"/>
        <w:gridCol w:w="1302"/>
        <w:gridCol w:w="1161"/>
        <w:gridCol w:w="970"/>
      </w:tblGrid>
      <w:tr w:rsidR="00AD6DC4" w:rsidRPr="00B04CD8" w14:paraId="7ED56B8D" w14:textId="77777777" w:rsidTr="00BB5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3" w:type="dxa"/>
            <w:hideMark/>
          </w:tcPr>
          <w:p w14:paraId="5628896F" w14:textId="77777777" w:rsidR="00AD6DC4" w:rsidRPr="00B04CD8" w:rsidRDefault="00AD6DC4" w:rsidP="00BB5DFA">
            <w:pPr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  <w:t>Classes</w:t>
            </w:r>
          </w:p>
        </w:tc>
        <w:tc>
          <w:tcPr>
            <w:tcW w:w="1360" w:type="dxa"/>
            <w:hideMark/>
          </w:tcPr>
          <w:p w14:paraId="6C2D4129" w14:textId="77777777" w:rsidR="00AD6DC4" w:rsidRPr="00B04CD8" w:rsidRDefault="00AD6DC4" w:rsidP="00BB5DF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  <w:t>Log-likelihood</w:t>
            </w:r>
          </w:p>
        </w:tc>
        <w:tc>
          <w:tcPr>
            <w:tcW w:w="940" w:type="dxa"/>
            <w:hideMark/>
          </w:tcPr>
          <w:p w14:paraId="1F29B9EF" w14:textId="77777777" w:rsidR="00AD6DC4" w:rsidRPr="00B04CD8" w:rsidRDefault="00AD6DC4" w:rsidP="00BB5DF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  <w:t>AIC</w:t>
            </w:r>
          </w:p>
        </w:tc>
        <w:tc>
          <w:tcPr>
            <w:tcW w:w="940" w:type="dxa"/>
            <w:hideMark/>
          </w:tcPr>
          <w:p w14:paraId="1ECEB901" w14:textId="77777777" w:rsidR="00AD6DC4" w:rsidRPr="00B04CD8" w:rsidRDefault="00AD6DC4" w:rsidP="00BB5DF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  <w:t>BIC</w:t>
            </w:r>
          </w:p>
        </w:tc>
        <w:tc>
          <w:tcPr>
            <w:tcW w:w="1216" w:type="dxa"/>
            <w:hideMark/>
          </w:tcPr>
          <w:p w14:paraId="7B9C1129" w14:textId="77777777" w:rsidR="00AD6DC4" w:rsidRPr="00B04CD8" w:rsidRDefault="00AD6DC4" w:rsidP="00BB5DF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  <w:t>Smallest class (n)</w:t>
            </w:r>
          </w:p>
        </w:tc>
        <w:tc>
          <w:tcPr>
            <w:tcW w:w="1302" w:type="dxa"/>
            <w:hideMark/>
          </w:tcPr>
          <w:p w14:paraId="2D4B3BC5" w14:textId="77777777" w:rsidR="00AD6DC4" w:rsidRPr="00B04CD8" w:rsidRDefault="00AD6DC4" w:rsidP="00BB5DF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  <w:t>Smallest class (%)</w:t>
            </w:r>
          </w:p>
        </w:tc>
        <w:tc>
          <w:tcPr>
            <w:tcW w:w="1161" w:type="dxa"/>
            <w:hideMark/>
          </w:tcPr>
          <w:p w14:paraId="3A40C15E" w14:textId="77777777" w:rsidR="00AD6DC4" w:rsidRPr="00B04CD8" w:rsidRDefault="00AD6DC4" w:rsidP="00BB5DF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  <w:t>Entropy</w:t>
            </w:r>
          </w:p>
        </w:tc>
        <w:tc>
          <w:tcPr>
            <w:tcW w:w="970" w:type="dxa"/>
            <w:hideMark/>
          </w:tcPr>
          <w:p w14:paraId="614713F4" w14:textId="77777777" w:rsidR="00AD6DC4" w:rsidRPr="00B04CD8" w:rsidRDefault="00AD6DC4" w:rsidP="00BB5DF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  <w:lang w:eastAsia="nl-NL"/>
              </w:rPr>
              <w:t xml:space="preserve">ALCPP </w:t>
            </w:r>
          </w:p>
        </w:tc>
      </w:tr>
      <w:tr w:rsidR="00AD6DC4" w:rsidRPr="00B04CD8" w14:paraId="68898F16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hideMark/>
          </w:tcPr>
          <w:p w14:paraId="5C8C0059" w14:textId="77777777" w:rsidR="00AD6DC4" w:rsidRPr="00B04CD8" w:rsidRDefault="00AD6DC4" w:rsidP="00BB5DFA">
            <w:pPr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1-class</w:t>
            </w:r>
          </w:p>
        </w:tc>
        <w:tc>
          <w:tcPr>
            <w:tcW w:w="1360" w:type="dxa"/>
            <w:hideMark/>
          </w:tcPr>
          <w:p w14:paraId="01F6478E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 w:cs="Cambria Math"/>
                <w:color w:val="0D0D0D" w:themeColor="text1" w:themeTint="F2"/>
                <w:sz w:val="20"/>
                <w:szCs w:val="20"/>
              </w:rPr>
              <w:t>−</w:t>
            </w: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2312.9</w:t>
            </w:r>
          </w:p>
        </w:tc>
        <w:tc>
          <w:tcPr>
            <w:tcW w:w="940" w:type="dxa"/>
            <w:hideMark/>
          </w:tcPr>
          <w:p w14:paraId="6023B14E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4641.8</w:t>
            </w:r>
          </w:p>
        </w:tc>
        <w:tc>
          <w:tcPr>
            <w:tcW w:w="940" w:type="dxa"/>
            <w:hideMark/>
          </w:tcPr>
          <w:p w14:paraId="5455E94F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4682.6</w:t>
            </w:r>
          </w:p>
        </w:tc>
        <w:tc>
          <w:tcPr>
            <w:tcW w:w="1216" w:type="dxa"/>
            <w:hideMark/>
          </w:tcPr>
          <w:p w14:paraId="7EE462B9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451</w:t>
            </w:r>
          </w:p>
        </w:tc>
        <w:tc>
          <w:tcPr>
            <w:tcW w:w="1302" w:type="dxa"/>
            <w:hideMark/>
          </w:tcPr>
          <w:p w14:paraId="1AAC4A0C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161" w:type="dxa"/>
            <w:hideMark/>
          </w:tcPr>
          <w:p w14:paraId="5EA16521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—</w:t>
            </w:r>
          </w:p>
        </w:tc>
        <w:tc>
          <w:tcPr>
            <w:tcW w:w="970" w:type="dxa"/>
            <w:hideMark/>
          </w:tcPr>
          <w:p w14:paraId="70B19AB9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—</w:t>
            </w:r>
          </w:p>
        </w:tc>
      </w:tr>
      <w:tr w:rsidR="00AD6DC4" w:rsidRPr="00B04CD8" w14:paraId="36E38713" w14:textId="77777777" w:rsidTr="00BB5DF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hideMark/>
          </w:tcPr>
          <w:p w14:paraId="00431DC8" w14:textId="77777777" w:rsidR="00AD6DC4" w:rsidRPr="00B04CD8" w:rsidRDefault="00AD6DC4" w:rsidP="00BB5DFA">
            <w:pPr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2-class</w:t>
            </w:r>
          </w:p>
        </w:tc>
        <w:tc>
          <w:tcPr>
            <w:tcW w:w="1360" w:type="dxa"/>
            <w:hideMark/>
          </w:tcPr>
          <w:p w14:paraId="29DA2C84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 w:cs="Cambria Math"/>
                <w:color w:val="0D0D0D" w:themeColor="text1" w:themeTint="F2"/>
                <w:sz w:val="20"/>
                <w:szCs w:val="20"/>
              </w:rPr>
              <w:t>−</w:t>
            </w: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2023.7</w:t>
            </w:r>
          </w:p>
        </w:tc>
        <w:tc>
          <w:tcPr>
            <w:tcW w:w="940" w:type="dxa"/>
            <w:hideMark/>
          </w:tcPr>
          <w:p w14:paraId="31EA99E6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4063.4</w:t>
            </w:r>
          </w:p>
        </w:tc>
        <w:tc>
          <w:tcPr>
            <w:tcW w:w="940" w:type="dxa"/>
            <w:hideMark/>
          </w:tcPr>
          <w:p w14:paraId="101EDB88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4131.9</w:t>
            </w:r>
          </w:p>
        </w:tc>
        <w:tc>
          <w:tcPr>
            <w:tcW w:w="1216" w:type="dxa"/>
            <w:hideMark/>
          </w:tcPr>
          <w:p w14:paraId="0AD8B51E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128</w:t>
            </w:r>
          </w:p>
        </w:tc>
        <w:tc>
          <w:tcPr>
            <w:tcW w:w="1302" w:type="dxa"/>
            <w:hideMark/>
          </w:tcPr>
          <w:p w14:paraId="36A90908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28.7</w:t>
            </w:r>
          </w:p>
        </w:tc>
        <w:tc>
          <w:tcPr>
            <w:tcW w:w="1161" w:type="dxa"/>
            <w:hideMark/>
          </w:tcPr>
          <w:p w14:paraId="0DCC362D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0.82</w:t>
            </w:r>
          </w:p>
        </w:tc>
        <w:tc>
          <w:tcPr>
            <w:tcW w:w="970" w:type="dxa"/>
            <w:hideMark/>
          </w:tcPr>
          <w:p w14:paraId="6E470DA6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0.896</w:t>
            </w:r>
          </w:p>
        </w:tc>
      </w:tr>
      <w:tr w:rsidR="00AD6DC4" w:rsidRPr="00B04CD8" w14:paraId="6DA1E1FF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hideMark/>
          </w:tcPr>
          <w:p w14:paraId="51C1C1C9" w14:textId="77777777" w:rsidR="00AD6DC4" w:rsidRPr="00B04CD8" w:rsidRDefault="00AD6DC4" w:rsidP="00BB5DFA">
            <w:pPr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3-class</w:t>
            </w:r>
          </w:p>
        </w:tc>
        <w:tc>
          <w:tcPr>
            <w:tcW w:w="1360" w:type="dxa"/>
            <w:hideMark/>
          </w:tcPr>
          <w:p w14:paraId="11342CB7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 w:cs="Cambria Math"/>
                <w:color w:val="0D0D0D" w:themeColor="text1" w:themeTint="F2"/>
                <w:sz w:val="20"/>
                <w:szCs w:val="20"/>
              </w:rPr>
              <w:t>−</w:t>
            </w: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1921.6</w:t>
            </w:r>
          </w:p>
        </w:tc>
        <w:tc>
          <w:tcPr>
            <w:tcW w:w="940" w:type="dxa"/>
            <w:hideMark/>
          </w:tcPr>
          <w:p w14:paraId="19A42327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3867.2</w:t>
            </w:r>
          </w:p>
        </w:tc>
        <w:tc>
          <w:tcPr>
            <w:tcW w:w="940" w:type="dxa"/>
            <w:hideMark/>
          </w:tcPr>
          <w:p w14:paraId="48E54B43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3968.9</w:t>
            </w:r>
          </w:p>
        </w:tc>
        <w:tc>
          <w:tcPr>
            <w:tcW w:w="1216" w:type="dxa"/>
            <w:hideMark/>
          </w:tcPr>
          <w:p w14:paraId="1F8516BE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49</w:t>
            </w:r>
          </w:p>
        </w:tc>
        <w:tc>
          <w:tcPr>
            <w:tcW w:w="1302" w:type="dxa"/>
            <w:hideMark/>
          </w:tcPr>
          <w:p w14:paraId="4FC642DA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11.0</w:t>
            </w:r>
          </w:p>
        </w:tc>
        <w:tc>
          <w:tcPr>
            <w:tcW w:w="1161" w:type="dxa"/>
            <w:hideMark/>
          </w:tcPr>
          <w:p w14:paraId="03FF7825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0.88</w:t>
            </w:r>
          </w:p>
        </w:tc>
        <w:tc>
          <w:tcPr>
            <w:tcW w:w="970" w:type="dxa"/>
            <w:hideMark/>
          </w:tcPr>
          <w:p w14:paraId="7AB0D9D6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0.909</w:t>
            </w:r>
          </w:p>
        </w:tc>
      </w:tr>
      <w:tr w:rsidR="00AD6DC4" w:rsidRPr="00B04CD8" w14:paraId="57953845" w14:textId="77777777" w:rsidTr="00BB5DF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hideMark/>
          </w:tcPr>
          <w:p w14:paraId="7667EC31" w14:textId="77777777" w:rsidR="00AD6DC4" w:rsidRPr="00B04CD8" w:rsidRDefault="00AD6DC4" w:rsidP="00BB5DFA">
            <w:pPr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4-class*</w:t>
            </w:r>
          </w:p>
        </w:tc>
        <w:tc>
          <w:tcPr>
            <w:tcW w:w="1360" w:type="dxa"/>
            <w:hideMark/>
          </w:tcPr>
          <w:p w14:paraId="0BDD1E0C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 w:cs="Cambria Math"/>
                <w:b/>
                <w:bCs/>
                <w:color w:val="0D0D0D" w:themeColor="text1" w:themeTint="F2"/>
                <w:sz w:val="20"/>
                <w:szCs w:val="20"/>
              </w:rPr>
              <w:t>−</w:t>
            </w:r>
            <w:r w:rsidRPr="00B04CD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1856.4</w:t>
            </w:r>
          </w:p>
        </w:tc>
        <w:tc>
          <w:tcPr>
            <w:tcW w:w="940" w:type="dxa"/>
            <w:hideMark/>
          </w:tcPr>
          <w:p w14:paraId="3CD66AC8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3744.8</w:t>
            </w:r>
          </w:p>
        </w:tc>
        <w:tc>
          <w:tcPr>
            <w:tcW w:w="940" w:type="dxa"/>
            <w:hideMark/>
          </w:tcPr>
          <w:p w14:paraId="08CB4BE2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3879.8</w:t>
            </w:r>
          </w:p>
        </w:tc>
        <w:tc>
          <w:tcPr>
            <w:tcW w:w="1216" w:type="dxa"/>
            <w:hideMark/>
          </w:tcPr>
          <w:p w14:paraId="7A2ACCAE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  <w:tc>
          <w:tcPr>
            <w:tcW w:w="1302" w:type="dxa"/>
            <w:hideMark/>
          </w:tcPr>
          <w:p w14:paraId="56FB1629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8.5</w:t>
            </w:r>
          </w:p>
        </w:tc>
        <w:tc>
          <w:tcPr>
            <w:tcW w:w="1161" w:type="dxa"/>
            <w:hideMark/>
          </w:tcPr>
          <w:p w14:paraId="798E12E9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0.92</w:t>
            </w:r>
          </w:p>
        </w:tc>
        <w:tc>
          <w:tcPr>
            <w:tcW w:w="970" w:type="dxa"/>
            <w:hideMark/>
          </w:tcPr>
          <w:p w14:paraId="5A7863B0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0.914</w:t>
            </w:r>
          </w:p>
        </w:tc>
      </w:tr>
      <w:tr w:rsidR="00AD6DC4" w:rsidRPr="00B04CD8" w14:paraId="68C6B867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hideMark/>
          </w:tcPr>
          <w:p w14:paraId="129C8709" w14:textId="77777777" w:rsidR="00AD6DC4" w:rsidRPr="00B04CD8" w:rsidRDefault="00AD6DC4" w:rsidP="00BB5DFA">
            <w:pPr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5-class</w:t>
            </w:r>
          </w:p>
        </w:tc>
        <w:tc>
          <w:tcPr>
            <w:tcW w:w="1360" w:type="dxa"/>
            <w:hideMark/>
          </w:tcPr>
          <w:p w14:paraId="19F52130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 w:cs="Cambria Math"/>
                <w:color w:val="0D0D0D" w:themeColor="text1" w:themeTint="F2"/>
                <w:sz w:val="20"/>
                <w:szCs w:val="20"/>
              </w:rPr>
              <w:t>−</w:t>
            </w: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1840.1</w:t>
            </w:r>
          </w:p>
        </w:tc>
        <w:tc>
          <w:tcPr>
            <w:tcW w:w="940" w:type="dxa"/>
            <w:hideMark/>
          </w:tcPr>
          <w:p w14:paraId="6C06FBC3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3720.2</w:t>
            </w:r>
          </w:p>
        </w:tc>
        <w:tc>
          <w:tcPr>
            <w:tcW w:w="940" w:type="dxa"/>
            <w:hideMark/>
          </w:tcPr>
          <w:p w14:paraId="62F5530F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3888.5</w:t>
            </w:r>
          </w:p>
        </w:tc>
        <w:tc>
          <w:tcPr>
            <w:tcW w:w="1216" w:type="dxa"/>
            <w:hideMark/>
          </w:tcPr>
          <w:p w14:paraId="788063F3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24</w:t>
            </w:r>
          </w:p>
        </w:tc>
        <w:tc>
          <w:tcPr>
            <w:tcW w:w="1302" w:type="dxa"/>
            <w:hideMark/>
          </w:tcPr>
          <w:p w14:paraId="70876AFE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5.3</w:t>
            </w:r>
          </w:p>
        </w:tc>
        <w:tc>
          <w:tcPr>
            <w:tcW w:w="1161" w:type="dxa"/>
            <w:hideMark/>
          </w:tcPr>
          <w:p w14:paraId="16208D15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0.89</w:t>
            </w:r>
          </w:p>
        </w:tc>
        <w:tc>
          <w:tcPr>
            <w:tcW w:w="970" w:type="dxa"/>
            <w:hideMark/>
          </w:tcPr>
          <w:p w14:paraId="79D12D60" w14:textId="77777777" w:rsidR="00AD6DC4" w:rsidRPr="00B04CD8" w:rsidRDefault="00AD6DC4" w:rsidP="00BB5D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0.747</w:t>
            </w:r>
          </w:p>
        </w:tc>
      </w:tr>
      <w:tr w:rsidR="00AD6DC4" w:rsidRPr="00B04CD8" w14:paraId="0AC3B565" w14:textId="77777777" w:rsidTr="00BB5DFA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tcBorders>
              <w:top w:val="single" w:sz="4" w:space="0" w:color="196B24" w:themeColor="accent3"/>
              <w:bottom w:val="single" w:sz="4" w:space="0" w:color="auto"/>
            </w:tcBorders>
            <w:hideMark/>
          </w:tcPr>
          <w:p w14:paraId="2A9D436D" w14:textId="77777777" w:rsidR="00AD6DC4" w:rsidRPr="00B04CD8" w:rsidRDefault="00AD6DC4" w:rsidP="00BB5DFA">
            <w:pPr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6-class</w:t>
            </w:r>
          </w:p>
        </w:tc>
        <w:tc>
          <w:tcPr>
            <w:tcW w:w="1360" w:type="dxa"/>
            <w:tcBorders>
              <w:top w:val="single" w:sz="4" w:space="0" w:color="196B24" w:themeColor="accent3"/>
              <w:bottom w:val="single" w:sz="4" w:space="0" w:color="auto"/>
            </w:tcBorders>
            <w:hideMark/>
          </w:tcPr>
          <w:p w14:paraId="6E3077AC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 w:cs="Cambria Math"/>
                <w:color w:val="0D0D0D" w:themeColor="text1" w:themeTint="F2"/>
                <w:sz w:val="20"/>
                <w:szCs w:val="20"/>
              </w:rPr>
              <w:t>−</w:t>
            </w: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1832.7</w:t>
            </w:r>
          </w:p>
        </w:tc>
        <w:tc>
          <w:tcPr>
            <w:tcW w:w="940" w:type="dxa"/>
            <w:tcBorders>
              <w:top w:val="single" w:sz="4" w:space="0" w:color="196B24" w:themeColor="accent3"/>
              <w:bottom w:val="single" w:sz="4" w:space="0" w:color="auto"/>
            </w:tcBorders>
            <w:hideMark/>
          </w:tcPr>
          <w:p w14:paraId="546C01D6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3713.4</w:t>
            </w:r>
          </w:p>
        </w:tc>
        <w:tc>
          <w:tcPr>
            <w:tcW w:w="940" w:type="dxa"/>
            <w:tcBorders>
              <w:top w:val="single" w:sz="4" w:space="0" w:color="196B24" w:themeColor="accent3"/>
              <w:bottom w:val="single" w:sz="4" w:space="0" w:color="auto"/>
            </w:tcBorders>
            <w:hideMark/>
          </w:tcPr>
          <w:p w14:paraId="4E8F4E6D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3914.9</w:t>
            </w:r>
          </w:p>
        </w:tc>
        <w:tc>
          <w:tcPr>
            <w:tcW w:w="1216" w:type="dxa"/>
            <w:tcBorders>
              <w:top w:val="single" w:sz="4" w:space="0" w:color="196B24" w:themeColor="accent3"/>
              <w:bottom w:val="single" w:sz="4" w:space="0" w:color="auto"/>
            </w:tcBorders>
            <w:hideMark/>
          </w:tcPr>
          <w:p w14:paraId="6AC083B6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17</w:t>
            </w:r>
          </w:p>
        </w:tc>
        <w:tc>
          <w:tcPr>
            <w:tcW w:w="1302" w:type="dxa"/>
            <w:tcBorders>
              <w:top w:val="single" w:sz="4" w:space="0" w:color="196B24" w:themeColor="accent3"/>
              <w:bottom w:val="single" w:sz="4" w:space="0" w:color="auto"/>
            </w:tcBorders>
            <w:hideMark/>
          </w:tcPr>
          <w:p w14:paraId="7689CE55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3.8</w:t>
            </w:r>
          </w:p>
        </w:tc>
        <w:tc>
          <w:tcPr>
            <w:tcW w:w="1161" w:type="dxa"/>
            <w:tcBorders>
              <w:top w:val="single" w:sz="4" w:space="0" w:color="196B24" w:themeColor="accent3"/>
              <w:bottom w:val="single" w:sz="4" w:space="0" w:color="auto"/>
            </w:tcBorders>
            <w:hideMark/>
          </w:tcPr>
          <w:p w14:paraId="1FBD7E54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0.86</w:t>
            </w:r>
          </w:p>
        </w:tc>
        <w:tc>
          <w:tcPr>
            <w:tcW w:w="970" w:type="dxa"/>
            <w:tcBorders>
              <w:top w:val="single" w:sz="4" w:space="0" w:color="196B24" w:themeColor="accent3"/>
              <w:bottom w:val="single" w:sz="4" w:space="0" w:color="auto"/>
            </w:tcBorders>
            <w:hideMark/>
          </w:tcPr>
          <w:p w14:paraId="43A42246" w14:textId="77777777" w:rsidR="00AD6DC4" w:rsidRPr="00B04CD8" w:rsidRDefault="00AD6DC4" w:rsidP="00BB5D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04CD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0.749</w:t>
            </w:r>
          </w:p>
        </w:tc>
      </w:tr>
      <w:tr w:rsidR="00AD6DC4" w:rsidRPr="00B04CD8" w14:paraId="0FF66D0A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2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14:paraId="11128EA1" w14:textId="77777777" w:rsidR="00AD6DC4" w:rsidRPr="00B04CD8" w:rsidRDefault="00AD6DC4" w:rsidP="00BB5DFA">
            <w:pPr>
              <w:spacing w:line="276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97077C">
              <w:rPr>
                <w:rFonts w:ascii="Cambria" w:hAnsi="Cambria"/>
                <w:b w:val="0"/>
                <w:bCs w:val="0"/>
                <w:i/>
                <w:iCs/>
                <w:color w:val="000000"/>
                <w:sz w:val="18"/>
                <w:szCs w:val="18"/>
                <w:shd w:val="clear" w:color="auto" w:fill="FFFFFF"/>
                <w:lang w:val="en-GB"/>
              </w:rPr>
              <w:t>AIC = Akaike Information Criterion; BIC = Bayesian Information Criterion; ALCPP = Average Latent Class Posterior Probability. The four-class solution comprised the alcohol-dominant (ALC-dom), cannabis–alcohol (CAN-ALC), prescription drug (PRES), and high-risk illicit (HR-ILL) profiles. The five- and six-class solutions are retained in Table 2 for transparency but were not interpreted further.</w:t>
            </w:r>
          </w:p>
        </w:tc>
      </w:tr>
    </w:tbl>
    <w:p w14:paraId="6F35CDDE" w14:textId="77777777" w:rsidR="00AD6DC4" w:rsidRPr="0097077C" w:rsidRDefault="00AD6DC4" w:rsidP="00AD6DC4">
      <w:pPr>
        <w:pStyle w:val="NormalWeb"/>
        <w:spacing w:before="240" w:beforeAutospacing="0" w:after="0" w:afterAutospacing="0" w:line="276" w:lineRule="auto"/>
        <w:jc w:val="both"/>
        <w:rPr>
          <w:rFonts w:ascii="Cambria" w:hAnsi="Cambria"/>
          <w:b/>
          <w:bCs/>
          <w:color w:val="0D0D0D" w:themeColor="text1" w:themeTint="F2"/>
          <w:sz w:val="22"/>
          <w:szCs w:val="22"/>
        </w:rPr>
      </w:pPr>
      <w:r w:rsidRPr="0097077C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 xml:space="preserve">Table </w:t>
      </w:r>
      <w:r w:rsidRPr="0097077C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fldChar w:fldCharType="begin"/>
      </w:r>
      <w:r w:rsidRPr="0097077C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instrText xml:space="preserve"> SEQ Table \* ARABIC </w:instrText>
      </w:r>
      <w:r w:rsidRPr="0097077C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fldChar w:fldCharType="separate"/>
      </w:r>
      <w:r w:rsidRPr="0097077C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>3</w:t>
      </w:r>
      <w:r w:rsidRPr="0097077C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fldChar w:fldCharType="end"/>
      </w:r>
      <w:r w:rsidRPr="0097077C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>: Bivariate multinomial regression with latent class membership</w:t>
      </w:r>
    </w:p>
    <w:tbl>
      <w:tblPr>
        <w:tblStyle w:val="ListTable3-Accent3"/>
        <w:tblW w:w="8931" w:type="dxa"/>
        <w:tblBorders>
          <w:left w:val="none" w:sz="0" w:space="0" w:color="auto"/>
          <w:right w:val="none" w:sz="0" w:space="0" w:color="auto"/>
          <w:insideH w:val="single" w:sz="4" w:space="0" w:color="196B24" w:themeColor="accent3"/>
        </w:tblBorders>
        <w:tblLook w:val="04A0" w:firstRow="1" w:lastRow="0" w:firstColumn="1" w:lastColumn="0" w:noHBand="0" w:noVBand="1"/>
      </w:tblPr>
      <w:tblGrid>
        <w:gridCol w:w="3828"/>
        <w:gridCol w:w="2409"/>
        <w:gridCol w:w="1134"/>
        <w:gridCol w:w="1560"/>
      </w:tblGrid>
      <w:tr w:rsidR="00AD6DC4" w:rsidRPr="00735992" w14:paraId="32852BA1" w14:textId="77777777" w:rsidTr="00BB5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bottom w:val="none" w:sz="0" w:space="0" w:color="auto"/>
              <w:right w:val="none" w:sz="0" w:space="0" w:color="auto"/>
            </w:tcBorders>
            <w:noWrap/>
            <w:hideMark/>
          </w:tcPr>
          <w:p w14:paraId="7E27BA40" w14:textId="77777777" w:rsidR="00AD6DC4" w:rsidRPr="00303691" w:rsidRDefault="00AD6DC4" w:rsidP="00BB5DFA">
            <w:pPr>
              <w:pStyle w:val="NoSpacing"/>
              <w:spacing w:line="276" w:lineRule="auto"/>
              <w:rPr>
                <w:rFonts w:ascii="Cambria" w:hAnsi="Cambria"/>
                <w:color w:val="000000" w:themeColor="text1"/>
              </w:rPr>
            </w:pPr>
            <w:r w:rsidRPr="00303691">
              <w:rPr>
                <w:rFonts w:ascii="Cambria" w:hAnsi="Cambria"/>
                <w:color w:val="000000" w:themeColor="text1"/>
              </w:rPr>
              <w:t>Predictor</w:t>
            </w:r>
          </w:p>
        </w:tc>
        <w:tc>
          <w:tcPr>
            <w:tcW w:w="2409" w:type="dxa"/>
            <w:noWrap/>
            <w:hideMark/>
          </w:tcPr>
          <w:p w14:paraId="55212C26" w14:textId="77777777" w:rsidR="00AD6DC4" w:rsidRDefault="00AD6DC4" w:rsidP="00BB5DFA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000000" w:themeColor="text1"/>
              </w:rPr>
            </w:pPr>
            <w:r w:rsidRPr="00303691">
              <w:rPr>
                <w:rFonts w:ascii="Cambria" w:hAnsi="Cambria"/>
                <w:color w:val="000000" w:themeColor="text1"/>
              </w:rPr>
              <w:t>L</w:t>
            </w:r>
            <w:r>
              <w:rPr>
                <w:rFonts w:ascii="Cambria" w:hAnsi="Cambria"/>
                <w:color w:val="000000" w:themeColor="text1"/>
              </w:rPr>
              <w:t xml:space="preserve">ikelihood </w:t>
            </w:r>
            <w:r w:rsidRPr="00303691">
              <w:rPr>
                <w:rFonts w:ascii="Cambria" w:hAnsi="Cambria"/>
                <w:color w:val="000000" w:themeColor="text1"/>
              </w:rPr>
              <w:t>R</w:t>
            </w:r>
            <w:r>
              <w:rPr>
                <w:rFonts w:ascii="Cambria" w:hAnsi="Cambria"/>
                <w:color w:val="000000" w:themeColor="text1"/>
              </w:rPr>
              <w:t xml:space="preserve">atio </w:t>
            </w:r>
          </w:p>
          <w:p w14:paraId="74A7943B" w14:textId="77777777" w:rsidR="00AD6DC4" w:rsidRPr="00303691" w:rsidRDefault="00AD6DC4" w:rsidP="00BB5DFA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Chi-square test value</w:t>
            </w:r>
          </w:p>
        </w:tc>
        <w:tc>
          <w:tcPr>
            <w:tcW w:w="1134" w:type="dxa"/>
            <w:noWrap/>
            <w:hideMark/>
          </w:tcPr>
          <w:p w14:paraId="5BEE80E3" w14:textId="77777777" w:rsidR="00AD6DC4" w:rsidRPr="00303691" w:rsidRDefault="00AD6DC4" w:rsidP="00BB5DFA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  <w:r w:rsidRPr="00303691">
              <w:rPr>
                <w:rFonts w:ascii="Cambria" w:hAnsi="Cambria"/>
                <w:color w:val="000000" w:themeColor="text1"/>
              </w:rPr>
              <w:t>df</w:t>
            </w:r>
          </w:p>
        </w:tc>
        <w:tc>
          <w:tcPr>
            <w:tcW w:w="1560" w:type="dxa"/>
            <w:noWrap/>
            <w:hideMark/>
          </w:tcPr>
          <w:p w14:paraId="67D35C34" w14:textId="77777777" w:rsidR="00AD6DC4" w:rsidRPr="00303691" w:rsidRDefault="00AD6DC4" w:rsidP="00BB5DFA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</w:rPr>
            </w:pPr>
            <w:r w:rsidRPr="00303691">
              <w:rPr>
                <w:rFonts w:ascii="Cambria" w:hAnsi="Cambria"/>
                <w:color w:val="000000" w:themeColor="text1"/>
              </w:rPr>
              <w:t>p_value</w:t>
            </w:r>
          </w:p>
        </w:tc>
      </w:tr>
      <w:tr w:rsidR="00AD6DC4" w:rsidRPr="00735992" w14:paraId="3C5799B0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9E7992E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Injection drug use</w:t>
            </w: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4EC3D73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114.0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5FE200B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12039D6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&lt;0.000</w:t>
            </w:r>
            <w:r>
              <w:rPr>
                <w:rFonts w:ascii="Cambria" w:hAnsi="Cambria" w:cs="Calibri"/>
                <w:color w:val="000000" w:themeColor="text1"/>
              </w:rPr>
              <w:t>1</w:t>
            </w:r>
          </w:p>
        </w:tc>
      </w:tr>
      <w:tr w:rsidR="00AD6DC4" w:rsidRPr="00735992" w14:paraId="09EEFF8F" w14:textId="77777777" w:rsidTr="00BB5D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07AFD1B4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Age group</w:t>
            </w:r>
          </w:p>
        </w:tc>
        <w:tc>
          <w:tcPr>
            <w:tcW w:w="2409" w:type="dxa"/>
            <w:noWrap/>
            <w:hideMark/>
          </w:tcPr>
          <w:p w14:paraId="7F0C94EB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128.</w:t>
            </w:r>
            <w:r>
              <w:rPr>
                <w:rFonts w:ascii="Cambria" w:hAnsi="Cambria" w:cs="Calibri"/>
                <w:color w:val="000000" w:themeColor="text1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0B9F3DC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9</w:t>
            </w:r>
          </w:p>
        </w:tc>
        <w:tc>
          <w:tcPr>
            <w:tcW w:w="1560" w:type="dxa"/>
            <w:noWrap/>
            <w:hideMark/>
          </w:tcPr>
          <w:p w14:paraId="18CCF566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CD78EF">
              <w:rPr>
                <w:rFonts w:ascii="Cambria" w:hAnsi="Cambria" w:cs="Calibri"/>
                <w:color w:val="000000" w:themeColor="text1"/>
              </w:rPr>
              <w:t>&lt;0.0001</w:t>
            </w:r>
          </w:p>
        </w:tc>
      </w:tr>
      <w:tr w:rsidR="00AD6DC4" w:rsidRPr="00735992" w14:paraId="0F059A8A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</w:tcPr>
          <w:p w14:paraId="30CEB896" w14:textId="77777777" w:rsidR="00AD6DC4" w:rsidRPr="00A541B6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A541B6">
              <w:rPr>
                <w:rFonts w:ascii="Cambria" w:hAnsi="Cambria" w:cs="Calibri"/>
                <w:b w:val="0"/>
                <w:bCs w:val="0"/>
                <w:color w:val="000000" w:themeColor="text1"/>
              </w:rPr>
              <w:t>Marital status</w:t>
            </w:r>
          </w:p>
        </w:tc>
        <w:tc>
          <w:tcPr>
            <w:tcW w:w="2409" w:type="dxa"/>
            <w:noWrap/>
          </w:tcPr>
          <w:p w14:paraId="058C2FB5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>
              <w:rPr>
                <w:rFonts w:ascii="Cambria" w:hAnsi="Cambria" w:cs="Calibri"/>
                <w:color w:val="000000" w:themeColor="text1"/>
              </w:rPr>
              <w:t>72.3</w:t>
            </w:r>
          </w:p>
        </w:tc>
        <w:tc>
          <w:tcPr>
            <w:tcW w:w="1134" w:type="dxa"/>
            <w:noWrap/>
          </w:tcPr>
          <w:p w14:paraId="6E0EE4BB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>
              <w:rPr>
                <w:rFonts w:ascii="Cambria" w:hAnsi="Cambria" w:cs="Calibri"/>
                <w:color w:val="000000" w:themeColor="text1"/>
              </w:rPr>
              <w:t>9</w:t>
            </w:r>
          </w:p>
        </w:tc>
        <w:tc>
          <w:tcPr>
            <w:tcW w:w="1560" w:type="dxa"/>
            <w:noWrap/>
          </w:tcPr>
          <w:p w14:paraId="4C69B9B1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CD78EF">
              <w:rPr>
                <w:rFonts w:ascii="Cambria" w:hAnsi="Cambria" w:cs="Calibri"/>
                <w:color w:val="000000" w:themeColor="text1"/>
              </w:rPr>
              <w:t>&lt;0.0001</w:t>
            </w:r>
          </w:p>
        </w:tc>
      </w:tr>
      <w:tr w:rsidR="00AD6DC4" w:rsidRPr="00735992" w14:paraId="3E484899" w14:textId="77777777" w:rsidTr="00BB5D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65064E70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Employment status</w:t>
            </w:r>
          </w:p>
        </w:tc>
        <w:tc>
          <w:tcPr>
            <w:tcW w:w="2409" w:type="dxa"/>
            <w:noWrap/>
            <w:hideMark/>
          </w:tcPr>
          <w:p w14:paraId="3DFC0245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66.0</w:t>
            </w:r>
          </w:p>
        </w:tc>
        <w:tc>
          <w:tcPr>
            <w:tcW w:w="1134" w:type="dxa"/>
            <w:noWrap/>
            <w:hideMark/>
          </w:tcPr>
          <w:p w14:paraId="07EFD3E8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12</w:t>
            </w:r>
          </w:p>
        </w:tc>
        <w:tc>
          <w:tcPr>
            <w:tcW w:w="1560" w:type="dxa"/>
            <w:noWrap/>
            <w:hideMark/>
          </w:tcPr>
          <w:p w14:paraId="16A11FA9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CD78EF">
              <w:rPr>
                <w:rFonts w:ascii="Cambria" w:hAnsi="Cambria" w:cs="Calibri"/>
                <w:color w:val="000000" w:themeColor="text1"/>
              </w:rPr>
              <w:t>&lt;0.0001</w:t>
            </w:r>
          </w:p>
        </w:tc>
      </w:tr>
      <w:tr w:rsidR="00AD6DC4" w:rsidRPr="00735992" w14:paraId="224FAB0C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7615E3E1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Religion</w:t>
            </w:r>
          </w:p>
        </w:tc>
        <w:tc>
          <w:tcPr>
            <w:tcW w:w="2409" w:type="dxa"/>
            <w:noWrap/>
            <w:hideMark/>
          </w:tcPr>
          <w:p w14:paraId="40D427D3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45.8</w:t>
            </w:r>
          </w:p>
        </w:tc>
        <w:tc>
          <w:tcPr>
            <w:tcW w:w="1134" w:type="dxa"/>
            <w:noWrap/>
            <w:hideMark/>
          </w:tcPr>
          <w:p w14:paraId="26089183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12</w:t>
            </w:r>
          </w:p>
        </w:tc>
        <w:tc>
          <w:tcPr>
            <w:tcW w:w="1560" w:type="dxa"/>
            <w:noWrap/>
            <w:hideMark/>
          </w:tcPr>
          <w:p w14:paraId="31C3097C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CD78EF">
              <w:rPr>
                <w:rFonts w:ascii="Cambria" w:hAnsi="Cambria" w:cs="Calibri"/>
                <w:color w:val="000000" w:themeColor="text1"/>
              </w:rPr>
              <w:t>&lt;0.0001</w:t>
            </w:r>
          </w:p>
        </w:tc>
      </w:tr>
      <w:tr w:rsidR="00AD6DC4" w:rsidRPr="00735992" w14:paraId="316D1AF1" w14:textId="77777777" w:rsidTr="00BB5D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6561AC65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>
              <w:rPr>
                <w:rFonts w:ascii="Cambria" w:hAnsi="Cambria" w:cs="Calibri"/>
                <w:b w:val="0"/>
                <w:bCs w:val="0"/>
                <w:color w:val="000000" w:themeColor="text1"/>
              </w:rPr>
              <w:t>Area of r</w:t>
            </w: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esidence</w:t>
            </w:r>
          </w:p>
        </w:tc>
        <w:tc>
          <w:tcPr>
            <w:tcW w:w="2409" w:type="dxa"/>
            <w:noWrap/>
            <w:hideMark/>
          </w:tcPr>
          <w:p w14:paraId="6F1F9201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32.9</w:t>
            </w:r>
          </w:p>
        </w:tc>
        <w:tc>
          <w:tcPr>
            <w:tcW w:w="1134" w:type="dxa"/>
            <w:noWrap/>
            <w:hideMark/>
          </w:tcPr>
          <w:p w14:paraId="29311F1C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6</w:t>
            </w:r>
          </w:p>
        </w:tc>
        <w:tc>
          <w:tcPr>
            <w:tcW w:w="1560" w:type="dxa"/>
            <w:noWrap/>
            <w:hideMark/>
          </w:tcPr>
          <w:p w14:paraId="5C833AA1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CD78EF">
              <w:rPr>
                <w:rFonts w:ascii="Cambria" w:hAnsi="Cambria" w:cs="Calibri"/>
                <w:color w:val="000000" w:themeColor="text1"/>
              </w:rPr>
              <w:t>&lt;0.0001</w:t>
            </w:r>
          </w:p>
        </w:tc>
      </w:tr>
      <w:tr w:rsidR="00AD6DC4" w:rsidRPr="00735992" w14:paraId="0F5DE566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41AF4AF8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Gender</w:t>
            </w:r>
          </w:p>
        </w:tc>
        <w:tc>
          <w:tcPr>
            <w:tcW w:w="2409" w:type="dxa"/>
            <w:noWrap/>
            <w:hideMark/>
          </w:tcPr>
          <w:p w14:paraId="7CDBE781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21.7</w:t>
            </w:r>
          </w:p>
        </w:tc>
        <w:tc>
          <w:tcPr>
            <w:tcW w:w="1134" w:type="dxa"/>
            <w:noWrap/>
            <w:hideMark/>
          </w:tcPr>
          <w:p w14:paraId="1B4D30C8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7B55384D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CD78EF">
              <w:rPr>
                <w:rFonts w:ascii="Cambria" w:hAnsi="Cambria" w:cs="Calibri"/>
                <w:color w:val="000000" w:themeColor="text1"/>
              </w:rPr>
              <w:t>&lt;0.0001</w:t>
            </w:r>
          </w:p>
        </w:tc>
      </w:tr>
      <w:tr w:rsidR="00AD6DC4" w:rsidRPr="00735992" w14:paraId="67645061" w14:textId="77777777" w:rsidTr="00BB5D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2036449C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Education level</w:t>
            </w:r>
          </w:p>
        </w:tc>
        <w:tc>
          <w:tcPr>
            <w:tcW w:w="2409" w:type="dxa"/>
            <w:noWrap/>
            <w:hideMark/>
          </w:tcPr>
          <w:p w14:paraId="5CF2E43F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30.</w:t>
            </w:r>
            <w:r>
              <w:rPr>
                <w:rFonts w:ascii="Cambria" w:hAnsi="Cambria" w:cs="Calibri"/>
                <w:color w:val="000000" w:themeColor="text1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D2B1AFA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9</w:t>
            </w:r>
          </w:p>
        </w:tc>
        <w:tc>
          <w:tcPr>
            <w:tcW w:w="1560" w:type="dxa"/>
            <w:noWrap/>
            <w:hideMark/>
          </w:tcPr>
          <w:p w14:paraId="29B6DDB6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0.0003</w:t>
            </w:r>
          </w:p>
        </w:tc>
      </w:tr>
      <w:tr w:rsidR="00AD6DC4" w:rsidRPr="00735992" w14:paraId="1AE55283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0E6C7B19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Housing stability</w:t>
            </w:r>
          </w:p>
        </w:tc>
        <w:tc>
          <w:tcPr>
            <w:tcW w:w="2409" w:type="dxa"/>
            <w:noWrap/>
            <w:hideMark/>
          </w:tcPr>
          <w:p w14:paraId="72BB2A19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17.9</w:t>
            </w:r>
          </w:p>
        </w:tc>
        <w:tc>
          <w:tcPr>
            <w:tcW w:w="1134" w:type="dxa"/>
            <w:noWrap/>
            <w:hideMark/>
          </w:tcPr>
          <w:p w14:paraId="114AEDE2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0294A0B1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0.0005</w:t>
            </w:r>
          </w:p>
        </w:tc>
      </w:tr>
      <w:tr w:rsidR="00AD6DC4" w:rsidRPr="00735992" w14:paraId="43A50A8F" w14:textId="77777777" w:rsidTr="00BB5D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6A9B2582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C21C00">
              <w:rPr>
                <w:rFonts w:ascii="Cambria" w:hAnsi="Cambria" w:cs="Calibri"/>
                <w:b w:val="0"/>
                <w:bCs w:val="0"/>
                <w:color w:val="000000" w:themeColor="text1"/>
              </w:rPr>
              <w:t>Acute psychosis at treatment entry</w:t>
            </w:r>
          </w:p>
        </w:tc>
        <w:tc>
          <w:tcPr>
            <w:tcW w:w="2409" w:type="dxa"/>
            <w:noWrap/>
            <w:hideMark/>
          </w:tcPr>
          <w:p w14:paraId="5CFAECBA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15.2</w:t>
            </w:r>
          </w:p>
        </w:tc>
        <w:tc>
          <w:tcPr>
            <w:tcW w:w="1134" w:type="dxa"/>
            <w:noWrap/>
            <w:hideMark/>
          </w:tcPr>
          <w:p w14:paraId="2158891E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5C910CCD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0.002</w:t>
            </w:r>
          </w:p>
        </w:tc>
      </w:tr>
      <w:tr w:rsidR="00AD6DC4" w:rsidRPr="00735992" w14:paraId="050ABCAB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2D92F3FB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PTSD</w:t>
            </w:r>
            <w:r>
              <w:rPr>
                <w:rFonts w:ascii="Cambria" w:hAnsi="Cambria" w:cs="Calibri"/>
                <w:b w:val="0"/>
                <w:bCs w:val="0"/>
                <w:color w:val="000000" w:themeColor="text1"/>
              </w:rPr>
              <w:t xml:space="preserve"> (PC-PTSD-5)</w:t>
            </w:r>
          </w:p>
        </w:tc>
        <w:tc>
          <w:tcPr>
            <w:tcW w:w="2409" w:type="dxa"/>
            <w:noWrap/>
            <w:hideMark/>
          </w:tcPr>
          <w:p w14:paraId="79A6AA77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14.1</w:t>
            </w:r>
          </w:p>
        </w:tc>
        <w:tc>
          <w:tcPr>
            <w:tcW w:w="1134" w:type="dxa"/>
            <w:noWrap/>
            <w:hideMark/>
          </w:tcPr>
          <w:p w14:paraId="09E67F9C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6ABA3832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0.003</w:t>
            </w:r>
          </w:p>
        </w:tc>
      </w:tr>
      <w:tr w:rsidR="00AD6DC4" w:rsidRPr="00735992" w14:paraId="0EB1CD1F" w14:textId="77777777" w:rsidTr="00BB5D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07F4B22F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Disability</w:t>
            </w:r>
            <w:r>
              <w:rPr>
                <w:rFonts w:ascii="Cambria" w:hAnsi="Cambria" w:cs="Calibri"/>
                <w:b w:val="0"/>
                <w:bCs w:val="0"/>
                <w:color w:val="000000" w:themeColor="text1"/>
              </w:rPr>
              <w:t xml:space="preserve"> (WHODAS 2.0)</w:t>
            </w:r>
          </w:p>
        </w:tc>
        <w:tc>
          <w:tcPr>
            <w:tcW w:w="2409" w:type="dxa"/>
            <w:noWrap/>
            <w:hideMark/>
          </w:tcPr>
          <w:p w14:paraId="5164622E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9.7</w:t>
            </w:r>
          </w:p>
        </w:tc>
        <w:tc>
          <w:tcPr>
            <w:tcW w:w="1134" w:type="dxa"/>
            <w:noWrap/>
            <w:hideMark/>
          </w:tcPr>
          <w:p w14:paraId="131765E4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03AC93E1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0.02</w:t>
            </w:r>
          </w:p>
        </w:tc>
      </w:tr>
      <w:tr w:rsidR="00AD6DC4" w:rsidRPr="00735992" w14:paraId="2B94304A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5616E272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Depression</w:t>
            </w:r>
            <w:r>
              <w:rPr>
                <w:rFonts w:ascii="Cambria" w:hAnsi="Cambria" w:cs="Calibri"/>
                <w:b w:val="0"/>
                <w:bCs w:val="0"/>
                <w:color w:val="000000" w:themeColor="text1"/>
              </w:rPr>
              <w:t xml:space="preserve"> (DASS-21)</w:t>
            </w:r>
          </w:p>
        </w:tc>
        <w:tc>
          <w:tcPr>
            <w:tcW w:w="2409" w:type="dxa"/>
            <w:noWrap/>
            <w:hideMark/>
          </w:tcPr>
          <w:p w14:paraId="46FA147E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6.7</w:t>
            </w:r>
          </w:p>
        </w:tc>
        <w:tc>
          <w:tcPr>
            <w:tcW w:w="1134" w:type="dxa"/>
            <w:noWrap/>
            <w:hideMark/>
          </w:tcPr>
          <w:p w14:paraId="02F100E4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72BBD981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0.08</w:t>
            </w:r>
          </w:p>
        </w:tc>
      </w:tr>
      <w:tr w:rsidR="00AD6DC4" w:rsidRPr="00735992" w14:paraId="5FA7117F" w14:textId="77777777" w:rsidTr="00BB5D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6F0D4C30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Previously treated for SUD</w:t>
            </w:r>
          </w:p>
        </w:tc>
        <w:tc>
          <w:tcPr>
            <w:tcW w:w="2409" w:type="dxa"/>
            <w:noWrap/>
            <w:hideMark/>
          </w:tcPr>
          <w:p w14:paraId="6C30CE50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4.8</w:t>
            </w:r>
          </w:p>
        </w:tc>
        <w:tc>
          <w:tcPr>
            <w:tcW w:w="1134" w:type="dxa"/>
            <w:noWrap/>
            <w:hideMark/>
          </w:tcPr>
          <w:p w14:paraId="2767BD16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51CDCFBB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0.18</w:t>
            </w:r>
          </w:p>
        </w:tc>
      </w:tr>
      <w:tr w:rsidR="00AD6DC4" w:rsidRPr="00735992" w14:paraId="569B4CE6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275729CD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Anxiety</w:t>
            </w:r>
            <w:r>
              <w:rPr>
                <w:rFonts w:ascii="Cambria" w:hAnsi="Cambria" w:cs="Calibri"/>
                <w:b w:val="0"/>
                <w:bCs w:val="0"/>
                <w:color w:val="000000" w:themeColor="text1"/>
              </w:rPr>
              <w:t xml:space="preserve"> (DASS-21)</w:t>
            </w:r>
          </w:p>
        </w:tc>
        <w:tc>
          <w:tcPr>
            <w:tcW w:w="2409" w:type="dxa"/>
            <w:noWrap/>
            <w:hideMark/>
          </w:tcPr>
          <w:p w14:paraId="55EB7031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>
              <w:rPr>
                <w:rFonts w:ascii="Cambria" w:hAnsi="Cambria" w:cs="Calibri"/>
                <w:color w:val="000000" w:themeColor="text1"/>
              </w:rPr>
              <w:t>3.0</w:t>
            </w:r>
          </w:p>
        </w:tc>
        <w:tc>
          <w:tcPr>
            <w:tcW w:w="1134" w:type="dxa"/>
            <w:noWrap/>
            <w:hideMark/>
          </w:tcPr>
          <w:p w14:paraId="443BF605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4B59FF13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0.40</w:t>
            </w:r>
          </w:p>
        </w:tc>
      </w:tr>
      <w:tr w:rsidR="00AD6DC4" w:rsidRPr="00735992" w14:paraId="44230705" w14:textId="77777777" w:rsidTr="00BB5D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noWrap/>
            <w:hideMark/>
          </w:tcPr>
          <w:p w14:paraId="1EE1FAF5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b w:val="0"/>
                <w:bCs w:val="0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Stress</w:t>
            </w:r>
            <w:r>
              <w:rPr>
                <w:rFonts w:ascii="Cambria" w:hAnsi="Cambria" w:cs="Calibri"/>
                <w:b w:val="0"/>
                <w:bCs w:val="0"/>
                <w:color w:val="000000" w:themeColor="text1"/>
              </w:rPr>
              <w:t xml:space="preserve"> (DASS-21)</w:t>
            </w:r>
          </w:p>
        </w:tc>
        <w:tc>
          <w:tcPr>
            <w:tcW w:w="2409" w:type="dxa"/>
            <w:noWrap/>
            <w:hideMark/>
          </w:tcPr>
          <w:p w14:paraId="5E6555F4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2.3</w:t>
            </w:r>
          </w:p>
        </w:tc>
        <w:tc>
          <w:tcPr>
            <w:tcW w:w="1134" w:type="dxa"/>
            <w:noWrap/>
            <w:hideMark/>
          </w:tcPr>
          <w:p w14:paraId="709F6062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2D417B46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0.51</w:t>
            </w:r>
          </w:p>
        </w:tc>
      </w:tr>
      <w:tr w:rsidR="00AD6DC4" w:rsidRPr="00735992" w14:paraId="46480BF3" w14:textId="77777777" w:rsidTr="00B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</w:tcPr>
          <w:p w14:paraId="0ED11573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Quality of life</w:t>
            </w:r>
            <w:r>
              <w:rPr>
                <w:rFonts w:ascii="Cambria" w:hAnsi="Cambria" w:cs="Calibri"/>
                <w:b w:val="0"/>
                <w:bCs w:val="0"/>
                <w:color w:val="000000" w:themeColor="text1"/>
              </w:rPr>
              <w:t xml:space="preserve"> (WHOQOL-BREF)</w:t>
            </w:r>
          </w:p>
        </w:tc>
        <w:tc>
          <w:tcPr>
            <w:tcW w:w="2409" w:type="dxa"/>
            <w:noWrap/>
          </w:tcPr>
          <w:p w14:paraId="06308CF6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1.</w:t>
            </w:r>
            <w:r>
              <w:rPr>
                <w:rFonts w:ascii="Cambria" w:hAnsi="Cambria" w:cs="Calibri"/>
                <w:color w:val="000000" w:themeColor="text1"/>
              </w:rPr>
              <w:t>5</w:t>
            </w:r>
          </w:p>
        </w:tc>
        <w:tc>
          <w:tcPr>
            <w:tcW w:w="1134" w:type="dxa"/>
            <w:noWrap/>
          </w:tcPr>
          <w:p w14:paraId="0F9C64FB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</w:t>
            </w:r>
          </w:p>
        </w:tc>
        <w:tc>
          <w:tcPr>
            <w:tcW w:w="1560" w:type="dxa"/>
            <w:noWrap/>
          </w:tcPr>
          <w:p w14:paraId="7DDA99B7" w14:textId="77777777" w:rsidR="00AD6DC4" w:rsidRPr="00303691" w:rsidRDefault="00AD6DC4" w:rsidP="00BB5DF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0.69</w:t>
            </w:r>
          </w:p>
        </w:tc>
      </w:tr>
      <w:tr w:rsidR="00AD6DC4" w:rsidRPr="00735992" w14:paraId="21EDD633" w14:textId="77777777" w:rsidTr="00BB5D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</w:tcPr>
          <w:p w14:paraId="54FF3687" w14:textId="77777777" w:rsidR="00AD6DC4" w:rsidRPr="00B04CD8" w:rsidRDefault="00AD6DC4" w:rsidP="00BB5DFA">
            <w:pPr>
              <w:spacing w:after="120" w:line="276" w:lineRule="auto"/>
              <w:rPr>
                <w:rFonts w:ascii="Cambria" w:hAnsi="Cambria" w:cs="Calibri"/>
                <w:color w:val="000000" w:themeColor="text1"/>
              </w:rPr>
            </w:pPr>
            <w:r w:rsidRPr="00B04CD8">
              <w:rPr>
                <w:rFonts w:ascii="Cambria" w:hAnsi="Cambria" w:cs="Calibri"/>
                <w:b w:val="0"/>
                <w:bCs w:val="0"/>
                <w:color w:val="000000" w:themeColor="text1"/>
              </w:rPr>
              <w:t>ADHD</w:t>
            </w:r>
            <w:r>
              <w:rPr>
                <w:rFonts w:ascii="Cambria" w:hAnsi="Cambria" w:cs="Calibri"/>
                <w:b w:val="0"/>
                <w:bCs w:val="0"/>
                <w:color w:val="000000" w:themeColor="text1"/>
              </w:rPr>
              <w:t xml:space="preserve"> (ASRS-v1.1)</w:t>
            </w:r>
          </w:p>
        </w:tc>
        <w:tc>
          <w:tcPr>
            <w:tcW w:w="2409" w:type="dxa"/>
            <w:noWrap/>
          </w:tcPr>
          <w:p w14:paraId="5DDBBD4C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1.</w:t>
            </w:r>
            <w:r>
              <w:rPr>
                <w:rFonts w:ascii="Cambria" w:hAnsi="Cambria" w:cs="Calibri"/>
                <w:color w:val="000000" w:themeColor="text1"/>
              </w:rPr>
              <w:t>2</w:t>
            </w:r>
          </w:p>
        </w:tc>
        <w:tc>
          <w:tcPr>
            <w:tcW w:w="1134" w:type="dxa"/>
            <w:noWrap/>
          </w:tcPr>
          <w:p w14:paraId="51F9E7CC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3</w:t>
            </w:r>
          </w:p>
        </w:tc>
        <w:tc>
          <w:tcPr>
            <w:tcW w:w="1560" w:type="dxa"/>
            <w:noWrap/>
          </w:tcPr>
          <w:p w14:paraId="7B3E591E" w14:textId="77777777" w:rsidR="00AD6DC4" w:rsidRPr="00303691" w:rsidRDefault="00AD6DC4" w:rsidP="00BB5DF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000000" w:themeColor="text1"/>
              </w:rPr>
            </w:pPr>
            <w:r w:rsidRPr="00303691">
              <w:rPr>
                <w:rFonts w:ascii="Cambria" w:hAnsi="Cambria" w:cs="Calibri"/>
                <w:color w:val="000000" w:themeColor="text1"/>
              </w:rPr>
              <w:t>0.76</w:t>
            </w:r>
          </w:p>
        </w:tc>
      </w:tr>
    </w:tbl>
    <w:p w14:paraId="3C3F3792" w14:textId="77777777" w:rsidR="00AD6DC4" w:rsidRPr="005641DA" w:rsidRDefault="00AD6DC4" w:rsidP="00AD6DC4">
      <w:pPr>
        <w:pStyle w:val="NormalWeb"/>
        <w:spacing w:before="0" w:beforeAutospacing="0" w:after="240" w:afterAutospacing="0" w:line="480" w:lineRule="auto"/>
        <w:jc w:val="both"/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</w:rPr>
      </w:pPr>
    </w:p>
    <w:p w14:paraId="3BBC3240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C4"/>
    <w:rsid w:val="002978F5"/>
    <w:rsid w:val="003852CF"/>
    <w:rsid w:val="004E780C"/>
    <w:rsid w:val="00520482"/>
    <w:rsid w:val="00AD6DC4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C316"/>
  <w15:chartTrackingRefBased/>
  <w15:docId w15:val="{14C03F71-197C-4573-93D3-47FBD01D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DC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D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D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D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D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D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D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D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D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D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D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6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D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6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D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6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D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6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D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AD6DC4"/>
    <w:pPr>
      <w:spacing w:before="100" w:beforeAutospacing="1" w:after="100" w:afterAutospacing="1"/>
    </w:pPr>
    <w:rPr>
      <w:lang w:val="en-US"/>
    </w:rPr>
  </w:style>
  <w:style w:type="table" w:styleId="ListTable3-Accent3">
    <w:name w:val="List Table 3 Accent 3"/>
    <w:basedOn w:val="TableNormal"/>
    <w:uiPriority w:val="48"/>
    <w:rsid w:val="00AD6DC4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paragraph" w:styleId="NoSpacing">
    <w:name w:val="No Spacing"/>
    <w:uiPriority w:val="1"/>
    <w:qFormat/>
    <w:rsid w:val="00AD6DC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2026-06-04T08:34:00Z</dcterms:created>
  <dcterms:modified xsi:type="dcterms:W3CDTF">2026-06-04T08:35:00Z</dcterms:modified>
</cp:coreProperties>
</file>