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0DBF0" w14:textId="6CCCC905" w:rsidR="00CD5E58" w:rsidRPr="00CD5E58" w:rsidRDefault="00EF0C35" w:rsidP="00CD5E58">
      <w:pPr>
        <w:spacing w:before="360" w:after="120" w:line="480" w:lineRule="auto"/>
      </w:pPr>
      <w:r>
        <w:rPr>
          <w:b/>
          <w:bCs/>
        </w:rPr>
        <w:t>SUPPLEMENTARY MATERIAL 2. EVIDENCE SEARCH AND BENCHMARK EXTRACTION PROTOCOL (v2)</w:t>
      </w:r>
    </w:p>
    <w:p w14:paraId="30724E6B" w14:textId="52141444" w:rsidR="00CD5E58" w:rsidRPr="00CD5E58" w:rsidRDefault="00CD5E58" w:rsidP="00CD5E58">
      <w:pPr>
        <w:spacing w:after="200" w:line="480" w:lineRule="auto"/>
        <w:jc w:val="both"/>
      </w:pPr>
      <w:r>
        <w:rPr>
          <w:rFonts w:hint="cs"/>
          <w:b/>
          <w:bCs/>
        </w:rPr>
        <w:t xml:space="preserve">Databases: </w:t>
      </w:r>
      <w:r>
        <w:rPr>
          <w:rFonts w:hint="cs"/>
        </w:rPr>
        <w:t xml:space="preserve">PubMed/MEDLINE, Springer, Frontiers, Elsevier ScienceDirect. </w:t>
      </w:r>
      <w:r>
        <w:rPr>
          <w:rFonts w:hint="cs"/>
          <w:b/>
          <w:bCs/>
        </w:rPr>
        <w:t xml:space="preserve">Date range: </w:t>
      </w:r>
      <w:r>
        <w:rPr>
          <w:rFonts w:hint="cs"/>
        </w:rPr>
        <w:t>January 2010–March 202</w:t>
      </w:r>
      <w:r>
        <w:t>6</w:t>
      </w:r>
      <w:r>
        <w:rPr>
          <w:rFonts w:hint="cs"/>
        </w:rPr>
        <w:t>.</w:t>
      </w:r>
    </w:p>
    <w:p w14:paraId="2C373C9C" w14:textId="77777777" w:rsidR="00CD5E58" w:rsidRPr="00CD5E58" w:rsidRDefault="00CD5E58" w:rsidP="00CD5E58">
      <w:pPr>
        <w:spacing w:after="200" w:line="480" w:lineRule="auto"/>
        <w:jc w:val="both"/>
      </w:pPr>
      <w:r>
        <w:rPr>
          <w:rFonts w:hint="cs"/>
          <w:b/>
          <w:bCs/>
        </w:rPr>
        <w:t xml:space="preserve">Search terms: </w:t>
      </w:r>
      <w:r>
        <w:rPr>
          <w:rFonts w:hint="cs"/>
        </w:rPr>
        <w:t>("medical affairs" OR "medical science liaison") AND ("return on investment" OR ROI OR "value measurement" OR "cost avoidance" OR "cost of inaction" OR "enterprise risk") for the conceptual framing; ("protocol amendment" AND cost) OR ("launch delay" AND "cost per day") OR ("probability of success" AND "clinical development") for specific benchmarks.</w:t>
      </w:r>
    </w:p>
    <w:p w14:paraId="1A000001" w14:textId="1A000001" w:rsidR="00CD5E58" w:rsidRDefault="00CD5E58" w:rsidP="00CD5E58">
      <w:pPr>
        <w:spacing w:after="200" w:line="480" w:lineRule="auto"/>
        <w:jc w:val="both"/>
      </w:pPr>
      <w:r>
        <w:rPr>
          <w:b/>
          <w:bCs/>
        </w:rPr>
        <w:t xml:space="preserve">AI-specific search terms (added in v2): </w:t>
      </w:r>
      <w:r>
        <w:t>("artificial intelligence" OR "machine learning" OR "generative AI") AND ("medical affairs" OR "pharmacovigilance" OR "medical writing" OR "medical information" OR "drug development") for AI-in-MA context; ("artificial intelligence" AND "regulatory submission") OR ("AI" AND "drug safety" AND "automation") for AI adoption evidence and regulatory perspectives.</w:t>
      </w:r>
    </w:p>
    <w:p w14:paraId="1A000002" w14:textId="1A000002" w:rsidR="00CD5E58" w:rsidRDefault="00CD5E58" w:rsidP="00CD5E58">
      <w:pPr>
        <w:spacing w:after="200" w:line="480" w:lineRule="auto"/>
        <w:jc w:val="both"/>
      </w:pPr>
      <w:r>
        <w:rPr>
          <w:b/>
          <w:bCs/>
        </w:rPr>
        <w:t xml:space="preserve">Regulatory sources (added in v2): </w:t>
      </w:r>
      <w:r>
        <w:t>US FDA discussion papers and draft guidance documents on AI/ML in drug development, accessed via fda.gov and the Federal Register. These were identified through targeted searches rather than database queries.</w:t>
      </w:r>
    </w:p>
    <w:p w14:paraId="5E1CE910" w14:textId="4BD53FC0" w:rsidR="00CD5E58" w:rsidRPr="00CD5E58" w:rsidRDefault="00CD5E58" w:rsidP="00CD5E58">
      <w:pPr>
        <w:spacing w:after="200" w:line="480" w:lineRule="auto"/>
        <w:jc w:val="both"/>
      </w:pPr>
      <w:r>
        <w:rPr>
          <w:rFonts w:hint="cs"/>
          <w:b/>
          <w:bCs/>
        </w:rPr>
        <w:t xml:space="preserve">Grey-literature sources: </w:t>
      </w:r>
      <w:r>
        <w:rPr>
          <w:rFonts w:hint="cs"/>
        </w:rPr>
        <w:t>McKinsey, ZS Associates, IQVIA, MAPS, Lucid Group, US FDA</w:t>
      </w:r>
      <w:r>
        <w:t xml:space="preserve">; </w:t>
      </w:r>
      <w:r>
        <w:rPr>
          <w:rFonts w:hint="cs"/>
        </w:rPr>
        <w:t>identified through targeted searches of industry publications and professional-society repositories.</w:t>
      </w:r>
    </w:p>
    <w:p w14:paraId="1625F417" w14:textId="77777777" w:rsidR="00CD5E58" w:rsidRPr="00CD5E58" w:rsidRDefault="00CD5E58" w:rsidP="00CD5E58">
      <w:pPr>
        <w:spacing w:after="200" w:line="480" w:lineRule="auto"/>
        <w:jc w:val="both"/>
      </w:pPr>
      <w:r>
        <w:rPr>
          <w:rFonts w:hint="cs"/>
          <w:b/>
          <w:bCs/>
        </w:rPr>
        <w:t xml:space="preserve">Inclusion criteria: </w:t>
      </w:r>
      <w:r>
        <w:rPr>
          <w:rFonts w:hint="cs"/>
        </w:rPr>
        <w:t xml:space="preserve">(a) reported a quantitative parameter directly mappable to a MAVI component; (b) disclosed methodology sufficient for credibility assessment; (c) represented the most recent available estimate for the relevant parameter. For AI-specific sources (added in </w:t>
      </w:r>
      <w:r>
        <w:rPr>
          <w:rFonts w:hint="cs"/>
        </w:rPr>
        <w:lastRenderedPageBreak/>
        <w:t>v2): (d) provided evidence on AI adoption, error rates, governance requirements, or workforce impact relevant to MA operations.</w:t>
      </w:r>
    </w:p>
    <w:p w14:paraId="4911D1B3" w14:textId="77777777" w:rsidR="00CD5E58" w:rsidRPr="00CD5E58" w:rsidRDefault="00CD5E58" w:rsidP="00CD5E58">
      <w:pPr>
        <w:spacing w:after="200" w:line="480" w:lineRule="auto"/>
        <w:jc w:val="both"/>
      </w:pPr>
      <w:r>
        <w:rPr>
          <w:rFonts w:hint="cs"/>
          <w:b/>
          <w:bCs/>
        </w:rPr>
        <w:t xml:space="preserve">Exclusion criteria: </w:t>
      </w:r>
      <w:r>
        <w:rPr>
          <w:rFonts w:hint="cs"/>
        </w:rPr>
        <w:t>Sources that did not report quantitative parameters, reported parameters for non-comparable settings (e.g., device-only without pharmaceutical applicability), or were superseded by more recent peer-reviewed estimates for the same parameter.</w:t>
      </w:r>
    </w:p>
    <w:p w14:paraId="4BA69479" w14:textId="77777777" w:rsidR="00CD5E58" w:rsidRPr="00CD5E58" w:rsidRDefault="00CD5E58" w:rsidP="00CD5E58">
      <w:pPr>
        <w:spacing w:after="200" w:line="480" w:lineRule="auto"/>
        <w:jc w:val="both"/>
      </w:pPr>
      <w:r>
        <w:rPr>
          <w:rFonts w:hint="cs"/>
          <w:b/>
          <w:bCs/>
        </w:rPr>
        <w:t xml:space="preserve">Extraction rules: </w:t>
      </w:r>
      <w:r>
        <w:rPr>
          <w:rFonts w:hint="cs"/>
        </w:rPr>
        <w:t>When multiple sources reported estimates for the same parameter: (i) peer-reviewed sources took precedence over grey literature; (ii) the most recent estimate was preferred unless an older peer-reviewed source was methodologically stronger; (iii) when estimates conflicted, ranges were retained (not averaged) and carried into sensitivity analysis; (iv) single-source estimates were flagged as such in Table 4 Panel A.</w:t>
      </w:r>
    </w:p>
    <w:p w14:paraId="550D2103" w14:textId="77777777" w:rsidR="007B326D" w:rsidRDefault="00CD5E58" w:rsidP="00CD5E58">
      <w:pPr>
        <w:spacing w:after="200" w:line="480" w:lineRule="auto"/>
        <w:jc w:val="both"/>
        <w:rPr>
          <w:b/>
          <w:bCs/>
        </w:rPr>
      </w:pPr>
      <w:r>
        <w:rPr>
          <w:rFonts w:hint="cs"/>
          <w:b/>
          <w:bCs/>
        </w:rPr>
        <w:t xml:space="preserve">Credibility classification: </w:t>
      </w:r>
    </w:p>
    <w:p w14:paraId="4F0ABFF1" w14:textId="77777777" w:rsidR="007B326D" w:rsidRDefault="00CD5E58" w:rsidP="007B326D">
      <w:pPr>
        <w:pStyle w:val="ListParagraph"/>
        <w:numPr>
          <w:ilvl w:val="0"/>
          <w:numId w:val="7"/>
        </w:numPr>
        <w:spacing w:after="200" w:line="480" w:lineRule="auto"/>
        <w:jc w:val="both"/>
      </w:pPr>
      <w:r>
        <w:rPr>
          <w:rFonts w:hint="cs"/>
        </w:rPr>
        <w:t xml:space="preserve">High = peer-reviewed methodology with reproducible data; </w:t>
      </w:r>
    </w:p>
    <w:p w14:paraId="4CD61381" w14:textId="3A0AE548" w:rsidR="007B326D" w:rsidRDefault="00CD5E58" w:rsidP="007B326D">
      <w:pPr>
        <w:pStyle w:val="ListParagraph"/>
        <w:numPr>
          <w:ilvl w:val="0"/>
          <w:numId w:val="7"/>
        </w:numPr>
        <w:spacing w:after="200" w:line="480" w:lineRule="auto"/>
        <w:jc w:val="both"/>
      </w:pPr>
      <w:r>
        <w:rPr>
          <w:rFonts w:hint="cs"/>
        </w:rPr>
        <w:t xml:space="preserve">Medium = institutional report with stated methods but proprietary data; </w:t>
      </w:r>
    </w:p>
    <w:p w14:paraId="509AB4A2" w14:textId="41FE1E1D" w:rsidR="00CD5E58" w:rsidRPr="00CD5E58" w:rsidRDefault="00CD5E58" w:rsidP="007B326D">
      <w:pPr>
        <w:pStyle w:val="ListParagraph"/>
        <w:numPr>
          <w:ilvl w:val="0"/>
          <w:numId w:val="7"/>
        </w:numPr>
        <w:spacing w:after="200" w:line="480" w:lineRule="auto"/>
        <w:jc w:val="both"/>
      </w:pPr>
      <w:r>
        <w:rPr>
          <w:rFonts w:hint="cs"/>
        </w:rPr>
        <w:t>Low = vendor/association collateral with potential commercial bias. Parameters derived from Low-credibility sources are assigned wider uncertainty ranges and labelled “illustrative” throughout.</w:t>
      </w:r>
    </w:p>
    <w:p w14:paraId="309A014E" w14:textId="77777777" w:rsidR="00CD5E58" w:rsidRPr="00CD5E58" w:rsidRDefault="00CD5E58" w:rsidP="00CD5E58">
      <w:pPr>
        <w:spacing w:after="80" w:line="480" w:lineRule="auto"/>
      </w:pPr>
    </w:p>
    <w:sectPr w:rsidR="00CD5E58" w:rsidRPr="00CD5E58" w:rsidSect="00CD5E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E8CF2" w14:textId="77777777" w:rsidR="00D25467" w:rsidRDefault="00D25467">
      <w:r>
        <w:separator/>
      </w:r>
    </w:p>
  </w:endnote>
  <w:endnote w:type="continuationSeparator" w:id="0">
    <w:p w14:paraId="481B4153" w14:textId="77777777" w:rsidR="00D25467" w:rsidRDefault="00D2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592DB" w14:textId="77777777" w:rsidR="00D808C4" w:rsidRDefault="00D808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D4D35" w14:textId="77777777" w:rsidR="00F5329D" w:rsidRDefault="00000000">
    <w:pPr>
      <w:jc w:val="center"/>
    </w:pPr>
    <w:r>
      <w:rPr>
        <w:sz w:val="20"/>
        <w:szCs w:val="20"/>
      </w:rPr>
      <w:t xml:space="preserve">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DC4F3E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13CE7" w14:textId="77777777" w:rsidR="00D808C4" w:rsidRDefault="00D808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6EBCE" w14:textId="77777777" w:rsidR="00D25467" w:rsidRDefault="00D25467">
      <w:r>
        <w:separator/>
      </w:r>
    </w:p>
  </w:footnote>
  <w:footnote w:type="continuationSeparator" w:id="0">
    <w:p w14:paraId="7994E072" w14:textId="77777777" w:rsidR="00D25467" w:rsidRDefault="00D25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689DD" w14:textId="77777777" w:rsidR="00D808C4" w:rsidRDefault="00D808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C795D" w14:textId="06AA63AD" w:rsidR="00795CD7" w:rsidRPr="003536D7" w:rsidRDefault="00795CD7" w:rsidP="00795CD7">
    <w:pPr>
      <w:jc w:val="center"/>
    </w:pPr>
    <w:r w:rsidRPr="003536D7">
      <w:rPr>
        <w:color w:val="888888"/>
        <w:sz w:val="20"/>
        <w:szCs w:val="20"/>
      </w:rPr>
      <w:t xml:space="preserve">MAVI </w:t>
    </w:r>
    <w:r>
      <w:rPr>
        <w:color w:val="888888"/>
        <w:sz w:val="20"/>
        <w:szCs w:val="20"/>
      </w:rPr>
      <w:t xml:space="preserve">| </w:t>
    </w:r>
    <w:r w:rsidRPr="003536D7">
      <w:rPr>
        <w:color w:val="888888"/>
        <w:sz w:val="20"/>
        <w:szCs w:val="20"/>
      </w:rPr>
      <w:t>20260</w:t>
    </w:r>
    <w:r>
      <w:rPr>
        <w:color w:val="888888"/>
        <w:sz w:val="20"/>
        <w:szCs w:val="20"/>
      </w:rPr>
      <w:t>3</w:t>
    </w:r>
    <w:r w:rsidR="00766574">
      <w:rPr>
        <w:color w:val="888888"/>
        <w:sz w:val="20"/>
        <w:szCs w:val="20"/>
      </w:rPr>
      <w:t>22</w:t>
    </w:r>
    <w:r w:rsidRPr="003536D7">
      <w:rPr>
        <w:color w:val="888888"/>
        <w:sz w:val="20"/>
        <w:szCs w:val="20"/>
      </w:rPr>
      <w:t xml:space="preserve"> | </w:t>
    </w:r>
    <w:r>
      <w:rPr>
        <w:color w:val="888888"/>
        <w:sz w:val="20"/>
        <w:szCs w:val="20"/>
      </w:rPr>
      <w:t>Analytical Report</w:t>
    </w:r>
    <w:r w:rsidRPr="003536D7">
      <w:rPr>
        <w:color w:val="888888"/>
        <w:sz w:val="20"/>
        <w:szCs w:val="20"/>
      </w:rPr>
      <w:t xml:space="preserve"> | </w:t>
    </w:r>
    <w:r>
      <w:rPr>
        <w:color w:val="888888"/>
        <w:sz w:val="20"/>
        <w:szCs w:val="20"/>
      </w:rPr>
      <w:t>TIRS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7543" w14:textId="77777777" w:rsidR="00D808C4" w:rsidRDefault="00D808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0D7A"/>
    <w:multiLevelType w:val="hybridMultilevel"/>
    <w:tmpl w:val="69E84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C2BA0"/>
    <w:multiLevelType w:val="hybridMultilevel"/>
    <w:tmpl w:val="9A4E2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D4C91"/>
    <w:multiLevelType w:val="hybridMultilevel"/>
    <w:tmpl w:val="3DBCD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D088A"/>
    <w:multiLevelType w:val="hybridMultilevel"/>
    <w:tmpl w:val="8932C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A25FF"/>
    <w:multiLevelType w:val="hybridMultilevel"/>
    <w:tmpl w:val="C85AD092"/>
    <w:lvl w:ilvl="0" w:tplc="110E971A">
      <w:start w:val="1"/>
      <w:numFmt w:val="bullet"/>
      <w:lvlText w:val="●"/>
      <w:lvlJc w:val="left"/>
      <w:pPr>
        <w:ind w:left="720" w:hanging="360"/>
      </w:pPr>
    </w:lvl>
    <w:lvl w:ilvl="1" w:tplc="34FCFCAA">
      <w:start w:val="1"/>
      <w:numFmt w:val="bullet"/>
      <w:lvlText w:val="○"/>
      <w:lvlJc w:val="left"/>
      <w:pPr>
        <w:ind w:left="1440" w:hanging="360"/>
      </w:pPr>
    </w:lvl>
    <w:lvl w:ilvl="2" w:tplc="B9522ECC">
      <w:start w:val="1"/>
      <w:numFmt w:val="bullet"/>
      <w:lvlText w:val="■"/>
      <w:lvlJc w:val="left"/>
      <w:pPr>
        <w:ind w:left="2160" w:hanging="360"/>
      </w:pPr>
    </w:lvl>
    <w:lvl w:ilvl="3" w:tplc="B6B86658">
      <w:start w:val="1"/>
      <w:numFmt w:val="bullet"/>
      <w:lvlText w:val="●"/>
      <w:lvlJc w:val="left"/>
      <w:pPr>
        <w:ind w:left="2880" w:hanging="360"/>
      </w:pPr>
    </w:lvl>
    <w:lvl w:ilvl="4" w:tplc="C09CD064">
      <w:start w:val="1"/>
      <w:numFmt w:val="bullet"/>
      <w:lvlText w:val="○"/>
      <w:lvlJc w:val="left"/>
      <w:pPr>
        <w:ind w:left="3600" w:hanging="360"/>
      </w:pPr>
    </w:lvl>
    <w:lvl w:ilvl="5" w:tplc="2FD0B492">
      <w:start w:val="1"/>
      <w:numFmt w:val="bullet"/>
      <w:lvlText w:val="■"/>
      <w:lvlJc w:val="left"/>
      <w:pPr>
        <w:ind w:left="4320" w:hanging="360"/>
      </w:pPr>
    </w:lvl>
    <w:lvl w:ilvl="6" w:tplc="E5C0A582">
      <w:start w:val="1"/>
      <w:numFmt w:val="bullet"/>
      <w:lvlText w:val="●"/>
      <w:lvlJc w:val="left"/>
      <w:pPr>
        <w:ind w:left="5040" w:hanging="360"/>
      </w:pPr>
    </w:lvl>
    <w:lvl w:ilvl="7" w:tplc="1C6CABCA">
      <w:start w:val="1"/>
      <w:numFmt w:val="bullet"/>
      <w:lvlText w:val="●"/>
      <w:lvlJc w:val="left"/>
      <w:pPr>
        <w:ind w:left="5760" w:hanging="360"/>
      </w:pPr>
    </w:lvl>
    <w:lvl w:ilvl="8" w:tplc="06E0351A">
      <w:start w:val="1"/>
      <w:numFmt w:val="bullet"/>
      <w:lvlText w:val="●"/>
      <w:lvlJc w:val="left"/>
      <w:pPr>
        <w:ind w:left="6480" w:hanging="360"/>
      </w:pPr>
    </w:lvl>
  </w:abstractNum>
  <w:abstractNum w:abstractNumId="5" w15:restartNumberingAfterBreak="0">
    <w:nsid w:val="70385D60"/>
    <w:multiLevelType w:val="hybridMultilevel"/>
    <w:tmpl w:val="FC5AA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54755"/>
    <w:multiLevelType w:val="hybridMultilevel"/>
    <w:tmpl w:val="99AE1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969529">
    <w:abstractNumId w:val="4"/>
    <w:lvlOverride w:ilvl="0">
      <w:startOverride w:val="1"/>
    </w:lvlOverride>
  </w:num>
  <w:num w:numId="2" w16cid:durableId="1913197351">
    <w:abstractNumId w:val="0"/>
  </w:num>
  <w:num w:numId="3" w16cid:durableId="345064653">
    <w:abstractNumId w:val="3"/>
  </w:num>
  <w:num w:numId="4" w16cid:durableId="2105412681">
    <w:abstractNumId w:val="5"/>
  </w:num>
  <w:num w:numId="5" w16cid:durableId="920604069">
    <w:abstractNumId w:val="6"/>
  </w:num>
  <w:num w:numId="6" w16cid:durableId="1684281185">
    <w:abstractNumId w:val="2"/>
  </w:num>
  <w:num w:numId="7" w16cid:durableId="372002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29D"/>
    <w:rsid w:val="000A4068"/>
    <w:rsid w:val="00106FEF"/>
    <w:rsid w:val="00142756"/>
    <w:rsid w:val="001429F5"/>
    <w:rsid w:val="0014354C"/>
    <w:rsid w:val="001A2070"/>
    <w:rsid w:val="00206F4B"/>
    <w:rsid w:val="0034571B"/>
    <w:rsid w:val="003A3334"/>
    <w:rsid w:val="003D3A59"/>
    <w:rsid w:val="00410D07"/>
    <w:rsid w:val="004162CC"/>
    <w:rsid w:val="00492D60"/>
    <w:rsid w:val="005303EB"/>
    <w:rsid w:val="00646129"/>
    <w:rsid w:val="00721C78"/>
    <w:rsid w:val="00766574"/>
    <w:rsid w:val="00795CD7"/>
    <w:rsid w:val="007B326D"/>
    <w:rsid w:val="007D1173"/>
    <w:rsid w:val="00864B70"/>
    <w:rsid w:val="008F236C"/>
    <w:rsid w:val="00A77930"/>
    <w:rsid w:val="00AD4423"/>
    <w:rsid w:val="00B6415C"/>
    <w:rsid w:val="00B806DB"/>
    <w:rsid w:val="00BA5C1A"/>
    <w:rsid w:val="00C53F3F"/>
    <w:rsid w:val="00CA4FB0"/>
    <w:rsid w:val="00CD5E58"/>
    <w:rsid w:val="00D25467"/>
    <w:rsid w:val="00D808C4"/>
    <w:rsid w:val="00DC4F3E"/>
    <w:rsid w:val="00EA5A87"/>
    <w:rsid w:val="00EF0C35"/>
    <w:rsid w:val="00F5329D"/>
    <w:rsid w:val="00FF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F1D3726"/>
  <w15:docId w15:val="{AB6DB590-3FE6-DA4F-8C6D-C07C8E5E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D5E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E58"/>
  </w:style>
  <w:style w:type="paragraph" w:styleId="Footer">
    <w:name w:val="footer"/>
    <w:basedOn w:val="Normal"/>
    <w:link w:val="FooterChar"/>
    <w:uiPriority w:val="99"/>
    <w:unhideWhenUsed/>
    <w:rsid w:val="00CD5E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E58"/>
  </w:style>
  <w:style w:type="character" w:styleId="LineNumber">
    <w:name w:val="line number"/>
    <w:basedOn w:val="DefaultParagraphFont"/>
    <w:uiPriority w:val="99"/>
    <w:semiHidden/>
    <w:unhideWhenUsed/>
    <w:rsid w:val="00CD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366</Words>
  <Characters>2475</Characters>
  <Application>Microsoft Office Word</Application>
  <DocSecurity>0</DocSecurity>
  <Lines>39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G.Bakalos</dc:creator>
  <cp:keywords/>
  <dc:description/>
  <cp:lastModifiedBy>Giorgos Bakalos</cp:lastModifiedBy>
  <cp:revision>9</cp:revision>
  <dcterms:created xsi:type="dcterms:W3CDTF">2026-02-11T11:34:00Z</dcterms:created>
  <dcterms:modified xsi:type="dcterms:W3CDTF">2026-03-22T20:41:00Z</dcterms:modified>
  <cp:category/>
</cp:coreProperties>
</file>