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Support material for:</w:t>
      </w:r>
    </w:p>
    <w:p>
      <w:pPr>
        <w:spacing w:line="480" w:lineRule="auto"/>
        <w:rPr>
          <w:rFonts w:ascii="Palatino Linotype" w:hAnsi="Palatino Linotype" w:eastAsia="Times New Roman" w:cs="Times New Roman"/>
          <w:snapToGrid w:val="0"/>
          <w:color w:val="000000"/>
          <w:kern w:val="0"/>
          <w:sz w:val="20"/>
          <w:szCs w:val="21"/>
          <w:lang w:val="en-US" w:eastAsia="de-DE" w:bidi="en-US"/>
        </w:rPr>
      </w:pPr>
      <w:r>
        <w:rPr>
          <w:rFonts w:hint="eastAsia" w:ascii="Palatino Linotype" w:hAnsi="Palatino Linotype" w:eastAsia="Times New Roman" w:cs="Times New Roman"/>
          <w:snapToGrid w:val="0"/>
          <w:color w:val="000000"/>
          <w:kern w:val="0"/>
          <w:sz w:val="20"/>
          <w:szCs w:val="21"/>
          <w:lang w:val="en-US" w:eastAsia="de-DE" w:bidi="en-US"/>
        </w:rPr>
        <w:t xml:space="preserve">The carbon fluxes over an even-aged pure </w:t>
      </w:r>
      <w:r>
        <w:rPr>
          <w:rFonts w:ascii="Palatino Linotype" w:hAnsi="Palatino Linotype" w:eastAsia="Times New Roman" w:cs="Times New Roman"/>
          <w:snapToGrid w:val="0"/>
          <w:color w:val="000000"/>
          <w:kern w:val="0"/>
          <w:sz w:val="20"/>
          <w:szCs w:val="21"/>
          <w:lang w:val="en-US" w:eastAsia="de-DE" w:bidi="en-US"/>
        </w:rPr>
        <w:t>Pinus massoniana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kern w:val="0"/>
          <w:sz w:val="20"/>
          <w:szCs w:val="21"/>
          <w:lang w:val="en-US" w:eastAsia="de-DE" w:bidi="en-US"/>
        </w:rPr>
        <w:t xml:space="preserve"> stand </w:t>
      </w:r>
    </w:p>
    <w:p>
      <w:pPr>
        <w:spacing w:line="480" w:lineRule="auto"/>
        <w:rPr>
          <w:sz w:val="24"/>
          <w:szCs w:val="24"/>
        </w:rPr>
      </w:pPr>
      <w:r>
        <w:rPr>
          <w:rFonts w:hint="eastAsia" w:ascii="Palatino Linotype" w:hAnsi="Palatino Linotype" w:eastAsia="Times New Roman" w:cs="Times New Roman"/>
          <w:b/>
          <w:bCs/>
          <w:snapToGrid w:val="0"/>
          <w:color w:val="000000"/>
          <w:kern w:val="0"/>
          <w:sz w:val="20"/>
          <w:szCs w:val="21"/>
          <w:lang w:val="en-US" w:eastAsia="de-DE" w:bidi="en-US"/>
        </w:rPr>
        <w:t xml:space="preserve">BY: 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kern w:val="0"/>
          <w:sz w:val="20"/>
          <w:szCs w:val="21"/>
          <w:lang w:val="en-US" w:eastAsia="de-DE" w:bidi="en-US"/>
        </w:rPr>
        <w:t xml:space="preserve">Zheng-Hong Tan, Fang-Jun Ding, et al., </w:t>
      </w:r>
    </w:p>
    <w:p>
      <w:pPr>
        <w:rPr>
          <w:sz w:val="24"/>
          <w:szCs w:val="24"/>
        </w:rPr>
      </w:pPr>
    </w:p>
    <w:p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>
      <w:pPr>
        <w:pStyle w:val="13"/>
        <w:rPr>
          <w:sz w:val="21"/>
        </w:rPr>
      </w:pPr>
      <w:r>
        <w:rPr>
          <w:rFonts w:hint="eastAsia"/>
          <w:sz w:val="21"/>
        </w:rPr>
        <w:t xml:space="preserve">1. The </w:t>
      </w:r>
      <w:r>
        <w:rPr>
          <w:sz w:val="21"/>
        </w:rPr>
        <w:t>inferring</w:t>
      </w:r>
      <w:r>
        <w:rPr>
          <w:rFonts w:hint="eastAsia"/>
          <w:sz w:val="21"/>
        </w:rPr>
        <w:t xml:space="preserve"> CWSI connected to decoupling factor </w:t>
      </w:r>
    </w:p>
    <w:p>
      <w:pPr>
        <w:pStyle w:val="15"/>
        <w:rPr>
          <w:spacing w:val="-2"/>
          <w:sz w:val="20"/>
          <w:szCs w:val="21"/>
        </w:rPr>
      </w:pPr>
      <w:r>
        <w:rPr>
          <w:rFonts w:hint="eastAsia"/>
          <w:spacing w:val="-2"/>
          <w:sz w:val="20"/>
          <w:szCs w:val="21"/>
        </w:rPr>
        <w:t>We adopted Jackson</w:t>
      </w:r>
      <w:r>
        <w:rPr>
          <w:spacing w:val="-2"/>
          <w:sz w:val="20"/>
          <w:szCs w:val="21"/>
        </w:rPr>
        <w:t>’</w:t>
      </w:r>
      <w:r>
        <w:rPr>
          <w:rFonts w:hint="eastAsia"/>
          <w:spacing w:val="-2"/>
          <w:sz w:val="20"/>
          <w:szCs w:val="21"/>
        </w:rPr>
        <w:t xml:space="preserve">s elegant way in calculating </w:t>
      </w:r>
      <w:r>
        <w:rPr>
          <w:rFonts w:hint="eastAsia"/>
          <w:spacing w:val="-2"/>
          <w:sz w:val="20"/>
          <w:szCs w:val="21"/>
          <w:lang w:eastAsia="zh-CN"/>
        </w:rPr>
        <w:t xml:space="preserve">crop </w:t>
      </w:r>
      <w:r>
        <w:rPr>
          <w:rFonts w:hint="eastAsia"/>
          <w:spacing w:val="-2"/>
          <w:sz w:val="20"/>
          <w:szCs w:val="21"/>
        </w:rPr>
        <w:t xml:space="preserve">water stress index </w:t>
      </w:r>
      <w:r>
        <w:rPr>
          <w:spacing w:val="-2"/>
          <w:sz w:val="20"/>
          <w:szCs w:val="21"/>
        </w:rPr>
        <w:t>(</w:t>
      </w:r>
      <w:r>
        <w:rPr>
          <w:rFonts w:hint="eastAsia"/>
          <w:spacing w:val="-2"/>
          <w:sz w:val="20"/>
          <w:szCs w:val="21"/>
          <w:lang w:eastAsia="zh-CN"/>
        </w:rPr>
        <w:t>C</w:t>
      </w:r>
      <w:r>
        <w:rPr>
          <w:spacing w:val="-2"/>
          <w:sz w:val="20"/>
          <w:szCs w:val="21"/>
        </w:rPr>
        <w:t xml:space="preserve">WSI) </w:t>
      </w:r>
      <w:r>
        <w:rPr>
          <w:rFonts w:hint="eastAsia"/>
          <w:spacing w:val="-2"/>
          <w:sz w:val="20"/>
          <w:szCs w:val="21"/>
        </w:rPr>
        <w:t>based on canopy temperature measurements as</w:t>
      </w:r>
      <w:r>
        <w:rPr>
          <w:rFonts w:hint="eastAsia" w:eastAsia="宋体"/>
          <w:spacing w:val="-2"/>
          <w:sz w:val="20"/>
          <w:szCs w:val="21"/>
          <w:vertAlign w:val="superscript"/>
          <w:lang w:val="en-US" w:eastAsia="zh-CN"/>
        </w:rPr>
        <w:t>[18]</w:t>
      </w:r>
      <w:r>
        <w:rPr>
          <w:rFonts w:hint="eastAsia"/>
          <w:spacing w:val="-2"/>
          <w:sz w:val="20"/>
          <w:szCs w:val="21"/>
        </w:rPr>
        <w:t xml:space="preserve">, </w:t>
      </w:r>
    </w:p>
    <w:p>
      <w:pPr>
        <w:pStyle w:val="10"/>
        <w:ind w:firstLine="0"/>
        <w:rPr>
          <w:rFonts w:ascii="Palatino Linotype" w:hAnsi="Palatino Linotype" w:eastAsia="Times New Roman" w:cs="Times New Roman"/>
          <w:snapToGrid w:val="0"/>
          <w:color w:val="000000"/>
          <w:spacing w:val="-2"/>
          <w:kern w:val="0"/>
          <w:sz w:val="20"/>
          <w:szCs w:val="21"/>
          <w:lang w:val="en-US" w:eastAsia="de-DE" w:bidi="en-US"/>
        </w:rPr>
      </w:pPr>
      <w:r>
        <w:rPr>
          <w:rFonts w:ascii="Palatino Linotype" w:hAnsi="Palatino Linotype" w:eastAsia="Times New Roman" w:cs="Times New Roman"/>
          <w:snapToGrid w:val="0"/>
          <w:color w:val="000000"/>
          <w:spacing w:val="-2"/>
          <w:kern w:val="0"/>
          <w:sz w:val="20"/>
          <w:szCs w:val="21"/>
          <w:lang w:val="en-US" w:eastAsia="de-DE" w:bidi="en-US"/>
        </w:rPr>
        <w:t xml:space="preserve">Eqn. 1 </w:t>
      </w:r>
    </w:p>
    <w:p>
      <w:pPr>
        <w:pStyle w:val="10"/>
        <w:ind w:firstLine="0"/>
      </w:pPr>
      <m:oMathPara>
        <m:oMath>
          <m:r>
            <m:rPr>
              <m:sty m:val="p"/>
            </m:rPr>
            <w:rPr>
              <w:rFonts w:ascii="Cambria Math" w:hAnsi="Cambria Math"/>
            </w:rPr>
            <m:t>WSI=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r>
                <w:rPr>
                  <w:rFonts w:ascii="Cambria Math" w:hAnsi="Cambria Math"/>
                </w:rPr>
                <m:t>T-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min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eastAsia" w:ascii="Cambria Math" w:hAnsi="Cambria Math"/>
                    </w:rPr>
                    <m:t>min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den>
          </m:f>
        </m:oMath>
      </m:oMathPara>
    </w:p>
    <w:p>
      <w:pPr>
        <w:pStyle w:val="15"/>
        <w:ind w:left="0" w:leftChars="0" w:firstLine="0" w:firstLineChars="0"/>
        <w:rPr>
          <w:rFonts w:hint="eastAsia"/>
          <w:spacing w:val="-2"/>
          <w:sz w:val="21"/>
        </w:rPr>
      </w:pPr>
    </w:p>
    <w:p>
      <w:pPr>
        <w:pStyle w:val="15"/>
        <w:rPr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>where dT is canopy to air temperature difference, d</w:t>
      </w:r>
      <w:r>
        <w:rPr>
          <w:rFonts w:hint="eastAsia"/>
          <w:i/>
          <w:iCs/>
          <w:spacing w:val="-2"/>
          <w:sz w:val="20"/>
          <w:szCs w:val="20"/>
        </w:rPr>
        <w:t>T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max</w:t>
      </w:r>
      <w:r>
        <w:rPr>
          <w:rFonts w:hint="eastAsia"/>
          <w:spacing w:val="-2"/>
          <w:sz w:val="20"/>
          <w:szCs w:val="20"/>
        </w:rPr>
        <w:t xml:space="preserve"> and d</w:t>
      </w:r>
      <w:r>
        <w:rPr>
          <w:rFonts w:hint="eastAsia"/>
          <w:i/>
          <w:iCs/>
          <w:spacing w:val="-2"/>
          <w:sz w:val="20"/>
          <w:szCs w:val="20"/>
        </w:rPr>
        <w:t>T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min</w:t>
      </w:r>
      <w:r>
        <w:rPr>
          <w:rFonts w:hint="eastAsia"/>
          <w:spacing w:val="-2"/>
          <w:sz w:val="20"/>
          <w:szCs w:val="20"/>
        </w:rPr>
        <w:t xml:space="preserve"> are </w:t>
      </w:r>
      <w:r>
        <w:rPr>
          <w:spacing w:val="-2"/>
          <w:sz w:val="20"/>
          <w:szCs w:val="20"/>
        </w:rPr>
        <w:t xml:space="preserve">two </w:t>
      </w:r>
      <w:r>
        <w:rPr>
          <w:rFonts w:hint="eastAsia"/>
          <w:spacing w:val="-2"/>
          <w:sz w:val="20"/>
          <w:szCs w:val="20"/>
        </w:rPr>
        <w:t>limits of d</w:t>
      </w:r>
      <w:r>
        <w:rPr>
          <w:rFonts w:hint="eastAsia"/>
          <w:i/>
          <w:iCs/>
          <w:spacing w:val="-2"/>
          <w:sz w:val="20"/>
          <w:szCs w:val="20"/>
        </w:rPr>
        <w:t>T</w:t>
      </w:r>
      <w:r>
        <w:rPr>
          <w:rFonts w:hint="eastAsia"/>
          <w:spacing w:val="-2"/>
          <w:sz w:val="20"/>
          <w:szCs w:val="20"/>
        </w:rPr>
        <w:t>. The d</w:t>
      </w:r>
      <w:r>
        <w:rPr>
          <w:rFonts w:hint="eastAsia"/>
          <w:i/>
          <w:iCs/>
          <w:spacing w:val="-2"/>
          <w:sz w:val="20"/>
          <w:szCs w:val="20"/>
        </w:rPr>
        <w:t>T</w:t>
      </w:r>
      <w:r>
        <w:rPr>
          <w:rFonts w:hint="eastAsia"/>
          <w:spacing w:val="-2"/>
          <w:sz w:val="20"/>
          <w:szCs w:val="20"/>
        </w:rPr>
        <w:t xml:space="preserve"> term could be expressed as, </w:t>
      </w:r>
    </w:p>
    <w:p>
      <w:pPr>
        <w:pStyle w:val="10"/>
        <w:ind w:firstLine="0"/>
        <w:rPr>
          <w:rFonts w:ascii="Palatino Linotype" w:hAnsi="Palatino Linotype" w:eastAsia="Times New Roman" w:cs="Times New Roman"/>
          <w:snapToGrid w:val="0"/>
          <w:color w:val="000000"/>
          <w:spacing w:val="-2"/>
          <w:kern w:val="0"/>
          <w:sz w:val="20"/>
          <w:szCs w:val="21"/>
          <w:lang w:val="en-US" w:eastAsia="de-DE" w:bidi="en-US"/>
        </w:rPr>
      </w:pPr>
      <w:r>
        <w:rPr>
          <w:rFonts w:hint="eastAsia" w:ascii="Palatino Linotype" w:hAnsi="Palatino Linotype" w:eastAsia="Times New Roman" w:cs="Times New Roman"/>
          <w:snapToGrid w:val="0"/>
          <w:color w:val="000000"/>
          <w:spacing w:val="-2"/>
          <w:kern w:val="0"/>
          <w:sz w:val="20"/>
          <w:szCs w:val="21"/>
          <w:lang w:val="en-US" w:eastAsia="de-DE" w:bidi="en-US"/>
        </w:rPr>
        <w:t>E</w:t>
      </w:r>
      <w:r>
        <w:rPr>
          <w:rFonts w:ascii="Palatino Linotype" w:hAnsi="Palatino Linotype" w:eastAsia="Times New Roman" w:cs="Times New Roman"/>
          <w:snapToGrid w:val="0"/>
          <w:color w:val="000000"/>
          <w:spacing w:val="-2"/>
          <w:kern w:val="0"/>
          <w:sz w:val="20"/>
          <w:szCs w:val="21"/>
          <w:lang w:val="en-US" w:eastAsia="de-DE" w:bidi="en-US"/>
        </w:rPr>
        <w:t xml:space="preserve">qn. 2 </w:t>
      </w:r>
    </w:p>
    <w:p>
      <w:pPr>
        <w:pStyle w:val="10"/>
        <w:ind w:firstLine="0"/>
      </w:pPr>
      <m:oMathPara>
        <m:oMath>
          <m:r>
            <m:rPr>
              <m:sty m:val="p"/>
            </m:rPr>
            <w:rPr>
              <w:rFonts w:ascii="Cambria Math" w:hAnsi="Cambria Math"/>
            </w:rPr>
            <m:t>d</m:t>
          </m:r>
          <m:r>
            <w:rPr>
              <w:rFonts w:ascii="Cambria Math" w:hAnsi="Cambria Math"/>
            </w:rPr>
            <m:t>T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-G</m:t>
              </m:r>
              <m:ctrlPr>
                <w:rPr>
                  <w:rFonts w:ascii="Cambria Math" w:hAnsi="Cambria Math"/>
                </w:rPr>
              </m:ctrlPr>
            </m:num>
            <m:den>
              <m:r>
                <w:rPr>
                  <w:rFonts w:ascii="Cambria Math" w:hAnsi="Cambria Math"/>
                </w:rPr>
                <m:t>ρ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den>
          </m:f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γ(1+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</w:rPr>
                  </m:ctrlPr>
                </m:sub>
              </m:sSub>
              <m:r>
                <w:rPr>
                  <w:rFonts w:ascii="Cambria Math" w:hAnsi="Cambria Math"/>
                </w:rPr>
                <m:t>)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∆+γ(1+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</w:rPr>
                  </m:ctrlPr>
                </m:sub>
              </m:sSub>
              <m:r>
                <w:rPr>
                  <w:rFonts w:ascii="Cambria Math" w:hAnsi="Cambria Math"/>
                </w:rPr>
                <m:t>)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∆+γ(1+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</w:rPr>
                  </m:ctrlPr>
                </m:sub>
              </m:sSub>
              <m:r>
                <w:rPr>
                  <w:rFonts w:ascii="Cambria Math" w:hAnsi="Cambria Math"/>
                </w:rPr>
                <m:t>)</m:t>
              </m:r>
              <m:ctrlPr>
                <w:rPr>
                  <w:rFonts w:ascii="Cambria Math" w:hAnsi="Cambria Math"/>
                  <w:i/>
                </w:rPr>
              </m:ctrlPr>
            </m:den>
          </m:f>
        </m:oMath>
      </m:oMathPara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>where g</w:t>
      </w:r>
      <w:r>
        <w:rPr>
          <w:rFonts w:hint="eastAsia"/>
          <w:spacing w:val="-2"/>
          <w:sz w:val="20"/>
          <w:szCs w:val="20"/>
          <w:vertAlign w:val="subscript"/>
        </w:rPr>
        <w:t>a</w:t>
      </w:r>
      <w:r>
        <w:rPr>
          <w:rFonts w:hint="eastAsia"/>
          <w:spacing w:val="-2"/>
          <w:sz w:val="20"/>
          <w:szCs w:val="20"/>
        </w:rPr>
        <w:t>: aerodynamic conductance for heat flux (m s</w:t>
      </w:r>
      <w:r>
        <w:rPr>
          <w:rFonts w:hint="eastAsia"/>
          <w:spacing w:val="-2"/>
          <w:sz w:val="20"/>
          <w:szCs w:val="20"/>
          <w:vertAlign w:val="superscript"/>
        </w:rPr>
        <w:t>-1</w:t>
      </w:r>
      <w:r>
        <w:rPr>
          <w:rFonts w:hint="eastAsia"/>
          <w:spacing w:val="-2"/>
          <w:sz w:val="20"/>
          <w:szCs w:val="20"/>
        </w:rPr>
        <w:t>);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g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c</w:t>
      </w:r>
      <w:r>
        <w:rPr>
          <w:rFonts w:hint="eastAsia"/>
          <w:spacing w:val="-2"/>
          <w:sz w:val="20"/>
          <w:szCs w:val="20"/>
          <w:vertAlign w:val="subscript"/>
        </w:rPr>
        <w:t>:</w:t>
      </w:r>
      <w:r>
        <w:rPr>
          <w:rFonts w:hint="eastAsia"/>
          <w:spacing w:val="-2"/>
          <w:sz w:val="20"/>
          <w:szCs w:val="20"/>
        </w:rPr>
        <w:t xml:space="preserve"> surface conductance for water vapor (m s</w:t>
      </w:r>
      <w:r>
        <w:rPr>
          <w:rFonts w:hint="eastAsia"/>
          <w:spacing w:val="-2"/>
          <w:sz w:val="20"/>
          <w:szCs w:val="20"/>
          <w:vertAlign w:val="superscript"/>
        </w:rPr>
        <w:t>-1</w:t>
      </w:r>
      <w:r>
        <w:rPr>
          <w:rFonts w:hint="eastAsia"/>
          <w:spacing w:val="-2"/>
          <w:sz w:val="20"/>
          <w:szCs w:val="20"/>
        </w:rPr>
        <w:t>);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R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n</w:t>
      </w:r>
      <w:r>
        <w:rPr>
          <w:rFonts w:hint="eastAsia"/>
          <w:spacing w:val="-2"/>
          <w:sz w:val="20"/>
          <w:szCs w:val="20"/>
        </w:rPr>
        <w:t>: net radiation flux (w m</w:t>
      </w:r>
      <w:r>
        <w:rPr>
          <w:rFonts w:hint="eastAsia"/>
          <w:spacing w:val="-2"/>
          <w:sz w:val="20"/>
          <w:szCs w:val="20"/>
          <w:vertAlign w:val="superscript"/>
        </w:rPr>
        <w:t>-2</w:t>
      </w:r>
      <w:r>
        <w:rPr>
          <w:rFonts w:hint="eastAsia"/>
          <w:spacing w:val="-2"/>
          <w:sz w:val="20"/>
          <w:szCs w:val="20"/>
        </w:rPr>
        <w:t>);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i/>
          <w:iCs/>
          <w:spacing w:val="-2"/>
          <w:sz w:val="20"/>
          <w:szCs w:val="20"/>
        </w:rPr>
        <w:t>G</w:t>
      </w:r>
      <w:r>
        <w:rPr>
          <w:rFonts w:hint="eastAsia"/>
          <w:spacing w:val="-2"/>
          <w:sz w:val="20"/>
          <w:szCs w:val="20"/>
        </w:rPr>
        <w:t>: ground heat flux (w m</w:t>
      </w:r>
      <w:r>
        <w:rPr>
          <w:rFonts w:hint="eastAsia"/>
          <w:spacing w:val="-2"/>
          <w:sz w:val="20"/>
          <w:szCs w:val="20"/>
          <w:vertAlign w:val="superscript"/>
        </w:rPr>
        <w:t>-2</w:t>
      </w:r>
      <w:r>
        <w:rPr>
          <w:rFonts w:hint="eastAsia"/>
          <w:spacing w:val="-2"/>
          <w:sz w:val="20"/>
          <w:szCs w:val="20"/>
        </w:rPr>
        <w:t xml:space="preserve">);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ρ</w:t>
      </w:r>
      <w:r>
        <w:rPr>
          <w:rFonts w:hint="eastAsia"/>
          <w:spacing w:val="-2"/>
          <w:sz w:val="20"/>
          <w:szCs w:val="20"/>
        </w:rPr>
        <w:t>: air density (kg m</w:t>
      </w:r>
      <w:r>
        <w:rPr>
          <w:rFonts w:hint="eastAsia"/>
          <w:spacing w:val="-2"/>
          <w:sz w:val="20"/>
          <w:szCs w:val="20"/>
          <w:vertAlign w:val="superscript"/>
        </w:rPr>
        <w:t>-3</w:t>
      </w:r>
      <w:r>
        <w:rPr>
          <w:rFonts w:hint="eastAsia"/>
          <w:spacing w:val="-2"/>
          <w:sz w:val="20"/>
          <w:szCs w:val="20"/>
        </w:rPr>
        <w:t>);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C</w:t>
      </w:r>
      <w:r>
        <w:rPr>
          <w:rFonts w:hint="eastAsia"/>
          <w:spacing w:val="-2"/>
          <w:sz w:val="20"/>
          <w:szCs w:val="20"/>
          <w:vertAlign w:val="subscript"/>
        </w:rPr>
        <w:t>p</w:t>
      </w:r>
      <w:r>
        <w:rPr>
          <w:rFonts w:hint="eastAsia"/>
          <w:spacing w:val="-2"/>
          <w:sz w:val="20"/>
          <w:szCs w:val="20"/>
        </w:rPr>
        <w:t>: specific heat at constant pressure (J kg</w:t>
      </w:r>
      <w:r>
        <w:rPr>
          <w:rFonts w:hint="eastAsia"/>
          <w:spacing w:val="-2"/>
          <w:sz w:val="20"/>
          <w:szCs w:val="20"/>
          <w:vertAlign w:val="superscript"/>
        </w:rPr>
        <w:t>-1</w:t>
      </w:r>
      <w:r>
        <w:rPr>
          <w:rFonts w:hint="eastAsia"/>
          <w:spacing w:val="-2"/>
          <w:sz w:val="20"/>
          <w:szCs w:val="20"/>
        </w:rPr>
        <w:t xml:space="preserve"> K</w:t>
      </w:r>
      <w:r>
        <w:rPr>
          <w:rFonts w:hint="eastAsia"/>
          <w:spacing w:val="-2"/>
          <w:sz w:val="20"/>
          <w:szCs w:val="20"/>
          <w:vertAlign w:val="superscript"/>
        </w:rPr>
        <w:t>-1</w:t>
      </w:r>
      <w:r>
        <w:rPr>
          <w:rFonts w:hint="eastAsia"/>
          <w:spacing w:val="-2"/>
          <w:sz w:val="20"/>
          <w:szCs w:val="20"/>
        </w:rPr>
        <w:t>);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γ</w:t>
      </w:r>
      <w:r>
        <w:rPr>
          <w:rFonts w:hint="eastAsia"/>
          <w:spacing w:val="-2"/>
          <w:sz w:val="20"/>
          <w:szCs w:val="20"/>
        </w:rPr>
        <w:t>: psychrometric constant (kPa K</w:t>
      </w:r>
      <w:r>
        <w:rPr>
          <w:rFonts w:hint="eastAsia"/>
          <w:spacing w:val="-2"/>
          <w:sz w:val="20"/>
          <w:szCs w:val="20"/>
          <w:vertAlign w:val="superscript"/>
        </w:rPr>
        <w:t>-1</w:t>
      </w:r>
      <w:r>
        <w:rPr>
          <w:rFonts w:hint="eastAsia"/>
          <w:spacing w:val="-2"/>
          <w:sz w:val="20"/>
          <w:szCs w:val="20"/>
        </w:rPr>
        <w:t xml:space="preserve">);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Δ</w:t>
      </w:r>
      <w:r>
        <w:rPr>
          <w:rFonts w:hint="eastAsia"/>
          <w:spacing w:val="-2"/>
          <w:sz w:val="20"/>
          <w:szCs w:val="20"/>
        </w:rPr>
        <w:t>: the slope of saturated vapor pressure versus temperature curve (kPa K</w:t>
      </w:r>
      <w:r>
        <w:rPr>
          <w:rFonts w:hint="eastAsia"/>
          <w:spacing w:val="-2"/>
          <w:sz w:val="20"/>
          <w:szCs w:val="20"/>
          <w:vertAlign w:val="superscript"/>
        </w:rPr>
        <w:t>-1</w:t>
      </w:r>
      <w:r>
        <w:rPr>
          <w:rFonts w:hint="eastAsia"/>
          <w:spacing w:val="-2"/>
          <w:sz w:val="20"/>
          <w:szCs w:val="20"/>
        </w:rPr>
        <w:t xml:space="preserve">);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     </w:t>
      </w:r>
      <w:r>
        <w:rPr>
          <w:rFonts w:hint="eastAsia"/>
          <w:i/>
          <w:iCs/>
          <w:spacing w:val="-2"/>
          <w:sz w:val="20"/>
          <w:szCs w:val="20"/>
        </w:rPr>
        <w:t>D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a</w:t>
      </w:r>
      <w:r>
        <w:rPr>
          <w:rFonts w:hint="eastAsia"/>
          <w:spacing w:val="-2"/>
          <w:sz w:val="20"/>
          <w:szCs w:val="20"/>
        </w:rPr>
        <w:t xml:space="preserve">: atmospheric water pressure deficit (kPa);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>One extreme case is</w:t>
      </w:r>
      <w:r>
        <w:rPr>
          <w:rFonts w:hint="eastAsia"/>
          <w:i/>
          <w:iCs/>
          <w:spacing w:val="-2"/>
          <w:sz w:val="20"/>
          <w:szCs w:val="20"/>
        </w:rPr>
        <w:t xml:space="preserve"> g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c</w:t>
      </w:r>
      <w:r>
        <w:rPr>
          <w:rFonts w:hint="eastAsia"/>
          <w:spacing w:val="-2"/>
          <w:sz w:val="20"/>
          <w:szCs w:val="20"/>
        </w:rPr>
        <w:t>→0, then stomatal is fully closed where d</w:t>
      </w:r>
      <w:r>
        <w:rPr>
          <w:rFonts w:hint="eastAsia"/>
          <w:i/>
          <w:iCs/>
          <w:spacing w:val="-2"/>
          <w:sz w:val="20"/>
          <w:szCs w:val="20"/>
        </w:rPr>
        <w:t>T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max</w:t>
      </w:r>
      <w:r>
        <w:rPr>
          <w:rFonts w:hint="eastAsia"/>
          <w:spacing w:val="-2"/>
          <w:sz w:val="20"/>
          <w:szCs w:val="20"/>
        </w:rPr>
        <w:t xml:space="preserve"> reached,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Eqn. 3 </w:t>
      </w:r>
    </w:p>
    <w:p>
      <w:pPr>
        <w:pStyle w:val="10"/>
        <w:ind w:firstLine="0"/>
        <w:rPr>
          <w:rFonts w:ascii="Cambria Math" w:hAnsi="Cambria Math"/>
          <w:i w:val="0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  <m:ctrlPr>
                    <w:rPr>
                      <w:rFonts w:ascii="Cambria Math" w:hAnsi="Cambria Math"/>
                    </w:rPr>
                  </m:ctrlPr>
                </m:e>
                <m:li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c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b>
                  </m:sSub>
                  <m:r>
                    <w:rPr>
                      <w:rFonts w:ascii="Cambria Math" w:hAnsi="Cambria Math"/>
                    </w:rPr>
                    <m:t>→0</m:t>
                  </m:r>
                  <m:ctrlPr>
                    <w:rPr>
                      <w:rFonts w:ascii="Cambria Math" w:hAnsi="Cambria Math"/>
                    </w:rPr>
                  </m:ctrlPr>
                </m:lim>
              </m:limLow>
              <m:ctrlPr>
                <w:rPr>
                  <w:rFonts w:ascii="Cambria Math" w:hAnsi="Cambria Math"/>
                </w:rPr>
              </m:ctrlPr>
            </m:fName>
            <m:e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r>
                <w:rPr>
                  <w:rFonts w:ascii="Cambria Math" w:hAnsi="Cambria Math"/>
                </w:rPr>
                <m:t>T</m:t>
              </m:r>
              <m:ctrlPr>
                <w:rPr>
                  <w:rFonts w:ascii="Cambria Math" w:hAnsi="Cambria Math"/>
                </w:rPr>
              </m:ctrlPr>
            </m:e>
          </m:func>
          <m: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>d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  <m:ctrlPr>
                <w:rPr>
                  <w:rFonts w:ascii="Cambria Math" w:hAnsi="Cambria Math"/>
                  <w:i/>
                </w:rPr>
              </m:ctrlP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max</m:t>
              </m:r>
              <m:ctrlPr>
                <w:rPr>
                  <w:rFonts w:ascii="Cambria Math" w:hAnsi="Cambria Math"/>
                  <w:i/>
                </w:rPr>
              </m:ctrlP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-G</m:t>
              </m:r>
              <m:ctrlPr>
                <w:rPr>
                  <w:rFonts w:ascii="Cambria Math" w:hAnsi="Cambria Math"/>
                </w:rPr>
              </m:ctrlPr>
            </m:num>
            <m:den>
              <m:r>
                <w:rPr>
                  <w:rFonts w:ascii="Cambria Math" w:hAnsi="Cambria Math"/>
                </w:rPr>
                <m:t>ρ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den>
          </m:f>
        </m:oMath>
      </m:oMathPara>
    </w:p>
    <w:p>
      <w:pPr>
        <w:pStyle w:val="10"/>
        <w:ind w:firstLine="0"/>
        <w:rPr>
          <w:rFonts w:ascii="Cambria Math" w:hAnsi="Cambria Math"/>
          <w:i w:val="0"/>
        </w:rPr>
      </w:pPr>
    </w:p>
    <w:p>
      <w:pPr>
        <w:pStyle w:val="15"/>
        <w:rPr>
          <w:rFonts w:hint="eastAsia"/>
          <w:color w:val="auto"/>
          <w:spacing w:val="-2"/>
          <w:sz w:val="20"/>
          <w:szCs w:val="20"/>
        </w:rPr>
      </w:pPr>
      <w:r>
        <w:rPr>
          <w:rFonts w:hint="eastAsia"/>
          <w:color w:val="auto"/>
          <w:spacing w:val="-2"/>
          <w:sz w:val="20"/>
          <w:szCs w:val="20"/>
        </w:rPr>
        <w:t xml:space="preserve">The other extreme case is that </w:t>
      </w:r>
      <w:r>
        <w:rPr>
          <w:rFonts w:hint="eastAsia"/>
          <w:i/>
          <w:iCs/>
          <w:color w:val="auto"/>
          <w:spacing w:val="-2"/>
          <w:sz w:val="20"/>
          <w:szCs w:val="20"/>
        </w:rPr>
        <w:t>g</w:t>
      </w:r>
      <w:r>
        <w:rPr>
          <w:rFonts w:hint="eastAsia"/>
          <w:i/>
          <w:iCs/>
          <w:color w:val="auto"/>
          <w:spacing w:val="-2"/>
          <w:sz w:val="20"/>
          <w:szCs w:val="20"/>
          <w:vertAlign w:val="subscript"/>
        </w:rPr>
        <w:t>c</w:t>
      </w:r>
      <w:r>
        <w:rPr>
          <w:rFonts w:hint="eastAsia"/>
          <w:color w:val="auto"/>
          <w:spacing w:val="-2"/>
          <w:sz w:val="20"/>
          <w:szCs w:val="20"/>
        </w:rPr>
        <w:t>→∞, the canopy act as a free water surface where d</w:t>
      </w:r>
      <w:r>
        <w:rPr>
          <w:rFonts w:hint="eastAsia"/>
          <w:i/>
          <w:iCs/>
          <w:color w:val="auto"/>
          <w:spacing w:val="-2"/>
          <w:sz w:val="20"/>
          <w:szCs w:val="20"/>
        </w:rPr>
        <w:t>T</w:t>
      </w:r>
      <w:r>
        <w:rPr>
          <w:rFonts w:hint="eastAsia"/>
          <w:i/>
          <w:iCs/>
          <w:color w:val="auto"/>
          <w:spacing w:val="-2"/>
          <w:sz w:val="20"/>
          <w:szCs w:val="20"/>
          <w:vertAlign w:val="subscript"/>
        </w:rPr>
        <w:t>min</w:t>
      </w:r>
      <w:r>
        <w:rPr>
          <w:rFonts w:hint="eastAsia"/>
          <w:i/>
          <w:iCs/>
          <w:color w:val="auto"/>
          <w:spacing w:val="-2"/>
          <w:sz w:val="20"/>
          <w:szCs w:val="20"/>
        </w:rPr>
        <w:t xml:space="preserve"> </w:t>
      </w:r>
      <w:r>
        <w:rPr>
          <w:rFonts w:hint="eastAsia"/>
          <w:color w:val="auto"/>
          <w:spacing w:val="-2"/>
          <w:sz w:val="20"/>
          <w:szCs w:val="20"/>
        </w:rPr>
        <w:t>reached</w:t>
      </w:r>
      <w:r>
        <w:rPr>
          <w:rFonts w:hint="eastAsia" w:eastAsia="宋体"/>
          <w:color w:val="auto"/>
          <w:spacing w:val="-2"/>
          <w:sz w:val="20"/>
          <w:szCs w:val="20"/>
          <w:vertAlign w:val="superscript"/>
          <w:lang w:val="en-US" w:eastAsia="zh-CN"/>
        </w:rPr>
        <w:t>[32]</w:t>
      </w:r>
      <w:r>
        <w:rPr>
          <w:rFonts w:hint="eastAsia"/>
          <w:color w:val="auto"/>
          <w:spacing w:val="-2"/>
          <w:sz w:val="20"/>
          <w:szCs w:val="20"/>
        </w:rPr>
        <w:t xml:space="preserve">,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Eqn. 4 </w:t>
      </w:r>
    </w:p>
    <w:p>
      <w:pPr>
        <w:pStyle w:val="10"/>
        <w:ind w:firstLine="0"/>
        <w:rPr>
          <w:rFonts w:ascii="Cambria Math" w:hAnsi="Cambria Math"/>
          <w:i w:val="0"/>
        </w:rPr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lim</m:t>
                  </m:r>
                  <m:ctrlPr>
                    <w:rPr>
                      <w:rFonts w:ascii="Cambria Math" w:hAnsi="Cambria Math"/>
                    </w:rPr>
                  </m:ctrlPr>
                </m:e>
                <m:li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  <m:sub>
                      <m:r>
                        <m:rPr>
                          <m:sty m:val="p"/>
                        </m:rPr>
                        <w:rPr>
                          <w:rFonts w:hint="eastAsia" w:ascii="Cambria Math" w:hAnsi="Cambria Math"/>
                        </w:rPr>
                        <m:t>c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sub>
                  </m:sSub>
                  <m:r>
                    <w:rPr>
                      <w:rFonts w:ascii="Cambria Math" w:hAnsi="Cambria Math"/>
                    </w:rPr>
                    <m:t>→∞</m:t>
                  </m:r>
                  <m:ctrlPr>
                    <w:rPr>
                      <w:rFonts w:ascii="Cambria Math" w:hAnsi="Cambria Math"/>
                    </w:rPr>
                  </m:ctrlPr>
                </m:lim>
              </m:limLow>
              <m:ctrlPr>
                <w:rPr>
                  <w:rFonts w:ascii="Cambria Math" w:hAnsi="Cambria Math"/>
                </w:rPr>
              </m:ctrlPr>
            </m:fName>
            <m:e>
              <m:r>
                <m:rPr>
                  <m:sty m:val="p"/>
                </m:rPr>
                <w:rPr>
                  <w:rFonts w:ascii="Cambria Math" w:hAnsi="Cambria Math"/>
                </w:rPr>
                <m:t>d</m:t>
              </m:r>
              <m:r>
                <w:rPr>
                  <w:rFonts w:ascii="Cambria Math" w:hAnsi="Cambria Math"/>
                </w:rPr>
                <m:t>T</m:t>
              </m:r>
              <m:ctrlPr>
                <w:rPr>
                  <w:rFonts w:ascii="Cambria Math" w:hAnsi="Cambria Math"/>
                </w:rPr>
              </m:ctrlPr>
            </m:e>
          </m:func>
          <m: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/>
            </w:rPr>
            <m:t>d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  <m:ctrlPr>
                <w:rPr>
                  <w:rFonts w:ascii="Cambria Math" w:hAnsi="Cambria Math"/>
                  <w:i/>
                </w:rPr>
              </m:ctrlPr>
            </m:e>
            <m:sub>
              <m:r>
                <m:rPr>
                  <m:sty m:val="p"/>
                </m:rPr>
                <w:rPr>
                  <w:rFonts w:hint="eastAsia" w:ascii="Cambria Math" w:hAnsi="Cambria Math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</m:t>
              </m:r>
              <m:ctrlPr>
                <w:rPr>
                  <w:rFonts w:ascii="Cambria Math" w:hAnsi="Cambria Math"/>
                  <w:i/>
                </w:rPr>
              </m:ctrlPr>
            </m:sub>
          </m:sSub>
          <m:r>
            <w:rPr>
              <w:rFonts w:hint="eastAsia"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-G</m:t>
              </m:r>
              <m:ctrlPr>
                <w:rPr>
                  <w:rFonts w:ascii="Cambria Math" w:hAnsi="Cambria Math"/>
                </w:rPr>
              </m:ctrlPr>
            </m:num>
            <m:den>
              <m:r>
                <w:rPr>
                  <w:rFonts w:ascii="Cambria Math" w:hAnsi="Cambria Math"/>
                </w:rPr>
                <m:t>ρ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den>
          </m:f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γ</m:t>
              </m:r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γ+∆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  <w:i/>
                </w:rPr>
              </m:ctrlPr>
            </m:num>
            <m:den>
              <m:r>
                <w:rPr>
                  <w:rFonts w:ascii="Cambria Math" w:hAnsi="Cambria Math"/>
                </w:rPr>
                <m:t>γ+∆</m:t>
              </m:r>
              <m:ctrlPr>
                <w:rPr>
                  <w:rFonts w:ascii="Cambria Math" w:hAnsi="Cambria Math"/>
                  <w:i/>
                </w:rPr>
              </m:ctrlPr>
            </m:den>
          </m:f>
        </m:oMath>
      </m:oMathPara>
    </w:p>
    <w:p>
      <w:pPr>
        <w:pStyle w:val="10"/>
        <w:ind w:firstLine="0"/>
        <w:rPr>
          <w:rFonts w:ascii="Cambria Math" w:hAnsi="Cambria Math"/>
          <w:i w:val="0"/>
        </w:rPr>
      </w:pP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In real case, </w:t>
      </w:r>
      <w:r>
        <w:rPr>
          <w:rFonts w:hint="eastAsia"/>
          <w:i/>
          <w:iCs/>
          <w:spacing w:val="-2"/>
          <w:sz w:val="20"/>
          <w:szCs w:val="20"/>
        </w:rPr>
        <w:t>g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c</w:t>
      </w:r>
      <w:r>
        <w:rPr>
          <w:rFonts w:hint="eastAsia"/>
          <w:spacing w:val="-2"/>
          <w:sz w:val="20"/>
          <w:szCs w:val="20"/>
        </w:rPr>
        <w:t xml:space="preserve"> will not approximate ∞ but a limited fixed value called </w:t>
      </w:r>
      <w:r>
        <w:rPr>
          <w:rFonts w:hint="eastAsia"/>
          <w:i/>
          <w:iCs/>
          <w:spacing w:val="-2"/>
          <w:sz w:val="20"/>
          <w:szCs w:val="20"/>
        </w:rPr>
        <w:t>g</w:t>
      </w:r>
      <w:r>
        <w:rPr>
          <w:rFonts w:hint="eastAsia"/>
          <w:i/>
          <w:iCs/>
          <w:spacing w:val="-2"/>
          <w:sz w:val="20"/>
          <w:szCs w:val="20"/>
          <w:vertAlign w:val="subscript"/>
        </w:rPr>
        <w:t>cmax</w:t>
      </w:r>
      <w:r>
        <w:rPr>
          <w:rFonts w:hint="eastAsia"/>
          <w:spacing w:val="-2"/>
          <w:sz w:val="20"/>
          <w:szCs w:val="20"/>
        </w:rPr>
        <w:t xml:space="preserve">. Then, </w:t>
      </w:r>
    </w:p>
    <w:p>
      <w:pPr>
        <w:pStyle w:val="15"/>
        <w:rPr>
          <w:rFonts w:hint="eastAsia"/>
          <w:spacing w:val="-2"/>
          <w:sz w:val="20"/>
          <w:szCs w:val="20"/>
        </w:rPr>
      </w:pPr>
      <w:r>
        <w:rPr>
          <w:rFonts w:hint="eastAsia"/>
          <w:spacing w:val="-2"/>
          <w:sz w:val="20"/>
          <w:szCs w:val="20"/>
        </w:rPr>
        <w:t xml:space="preserve">Eqn. 5 </w:t>
      </w:r>
    </w:p>
    <w:p>
      <w:pPr>
        <w:pStyle w:val="10"/>
        <w:ind w:firstLine="0"/>
      </w:pPr>
      <m:oMathPara>
        <m:oMath>
          <m:r>
            <m:rPr>
              <m:sty m:val="p"/>
            </m:rPr>
            <w:rPr>
              <w:rFonts w:ascii="Cambria Math" w:hAnsi="Cambria Math"/>
            </w:rPr>
            <m:t>d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  <m:ctrlPr>
                <w:rPr>
                  <w:rFonts w:ascii="Cambria Math" w:hAnsi="Cambria Math"/>
                  <w:i/>
                </w:rPr>
              </m:ctrlPr>
            </m:e>
            <m:sub>
              <m:r>
                <m:rPr>
                  <m:sty m:val="p"/>
                </m:rPr>
                <w:rPr>
                  <w:rFonts w:hint="eastAsia" w:ascii="Cambria Math" w:hAnsi="Cambria Math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in</m:t>
              </m:r>
              <m:ctrlPr>
                <w:rPr>
                  <w:rFonts w:ascii="Cambria Math" w:hAnsi="Cambria Math"/>
                  <w:i/>
                </w:rPr>
              </m:ctrlPr>
            </m:sub>
          </m:sSub>
          <m:r>
            <w:rPr>
              <w:rFonts w:hint="eastAsia"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r>
                <w:rPr>
                  <w:rFonts w:ascii="Cambria Math" w:hAnsi="Cambria Math"/>
                </w:rPr>
                <m:t>-G</m:t>
              </m:r>
              <m:ctrlPr>
                <w:rPr>
                  <w:rFonts w:ascii="Cambria Math" w:hAnsi="Cambria Math"/>
                </w:rPr>
              </m:ctrlPr>
            </m:num>
            <m:den>
              <m:r>
                <w:rPr>
                  <w:rFonts w:ascii="Cambria Math" w:hAnsi="Cambria Math"/>
                </w:rPr>
                <m:t>ρ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den>
          </m:f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γ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  <m:ctrlPr>
                    <w:rPr>
                      <w:rFonts w:ascii="Cambria Math" w:hAnsi="Cambria Math"/>
                      <w:i/>
                    </w:rPr>
                  </m:ctrlPr>
                </m:sup>
              </m:sSup>
              <m:ctrlPr>
                <w:rPr>
                  <w:rFonts w:ascii="Cambria Math" w:hAnsi="Cambria Math"/>
                  <w:i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γ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  <m:ctrlPr>
                    <w:rPr>
                      <w:rFonts w:ascii="Cambria Math" w:hAnsi="Cambria Math"/>
                      <w:i/>
                    </w:rPr>
                  </m:ctrlPr>
                </m:sup>
              </m:sSup>
              <m:r>
                <w:rPr>
                  <w:rFonts w:ascii="Cambria Math" w:hAnsi="Cambria Math"/>
                </w:rPr>
                <m:t>+∆</m:t>
              </m:r>
              <m:ctrlPr>
                <w:rPr>
                  <w:rFonts w:ascii="Cambria Math" w:hAnsi="Cambria Math"/>
                  <w:i/>
                </w:rPr>
              </m:ctrlPr>
            </m:den>
          </m:f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  <m:ctrlPr>
                    <w:rPr>
                      <w:rFonts w:ascii="Cambria Math" w:hAnsi="Cambria Math"/>
                      <w:i/>
                    </w:rPr>
                  </m:ctrlPr>
                </m:sub>
              </m:sSub>
              <m:ctrlPr>
                <w:rPr>
                  <w:rFonts w:ascii="Cambria Math" w:hAnsi="Cambria Math"/>
                  <w:i/>
                </w:rPr>
              </m:ctrlP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γ</m:t>
                  </m:r>
                  <m:ctrlPr>
                    <w:rPr>
                      <w:rFonts w:ascii="Cambria Math" w:hAnsi="Cambria Math"/>
                      <w:i/>
                    </w:rPr>
                  </m:ctrlPr>
                </m:e>
                <m:sup>
                  <m:r>
                    <w:rPr>
                      <w:rFonts w:ascii="Cambria Math" w:hAnsi="Cambria Math"/>
                    </w:rPr>
                    <m:t>*</m:t>
                  </m:r>
                  <m:ctrlPr>
                    <w:rPr>
                      <w:rFonts w:ascii="Cambria Math" w:hAnsi="Cambria Math"/>
                      <w:i/>
                    </w:rPr>
                  </m:ctrlPr>
                </m:sup>
              </m:sSup>
              <m:r>
                <w:rPr>
                  <w:rFonts w:ascii="Cambria Math" w:hAnsi="Cambria Math"/>
                </w:rPr>
                <m:t>+∆</m:t>
              </m:r>
              <m:ctrlPr>
                <w:rPr>
                  <w:rFonts w:ascii="Cambria Math" w:hAnsi="Cambria Math"/>
                  <w:i/>
                </w:rPr>
              </m:ctrlPr>
            </m:den>
          </m:f>
        </m:oMath>
      </m:oMathPara>
    </w:p>
    <w:p>
      <w:pPr>
        <w:pStyle w:val="10"/>
        <w:ind w:firstLine="0"/>
      </w:pPr>
      <w:r>
        <w:rPr>
          <w:rFonts w:hint="eastAsia" w:ascii="Palatino Linotype" w:hAnsi="Palatino Linotype" w:eastAsia="Times New Roman" w:cs="Times New Roman"/>
          <w:snapToGrid w:val="0"/>
          <w:color w:val="000000"/>
          <w:kern w:val="0"/>
          <w:sz w:val="20"/>
          <w:szCs w:val="21"/>
          <w:lang w:val="en-US" w:eastAsia="zh-CN" w:bidi="en-US"/>
        </w:rPr>
        <w:t>where</w:t>
      </w:r>
      <w:r>
        <w:rPr>
          <w:rFonts w:hint="eastAsia"/>
        </w:rP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γ</m:t>
            </m:r>
            <m:ctrlPr>
              <w:rPr>
                <w:rFonts w:ascii="Cambria Math" w:hAnsi="Cambria Math"/>
              </w:rPr>
            </m:ctrlPr>
          </m:e>
          <m:sup>
            <m:r>
              <w:rPr>
                <w:rFonts w:ascii="Cambria Math" w:hAnsi="Cambria Math"/>
              </w:rPr>
              <m:t>*</m:t>
            </m:r>
            <m:ctrlPr>
              <w:rPr>
                <w:rFonts w:ascii="Cambria Math" w:hAnsi="Cambria Math"/>
              </w:rPr>
            </m:ctrlPr>
          </m:sup>
        </m:sSup>
        <m:r>
          <m:rPr>
            <m:sty m:val="p"/>
          </m:rPr>
          <w:rPr>
            <w:rFonts w:ascii="Cambria Math" w:hAnsi="Cambria Math"/>
          </w:rPr>
          <m:t>=γ(1+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a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  <m:ctrlPr>
              <w:rPr>
                <w:rFonts w:ascii="Cambria Math" w:hAnsi="Cambria Math"/>
              </w:rPr>
            </m:ctrlPr>
          </m:e>
          <m:sub>
            <m:r>
              <m:rPr>
                <m:sty m:val="p"/>
              </m:rPr>
              <w:rPr>
                <w:rFonts w:ascii="Cambria Math" w:hAnsi="Cambria Math"/>
              </w:rPr>
              <m:t>cmax</m:t>
            </m:r>
            <m:ctrlPr>
              <w:rPr>
                <w:rFonts w:ascii="Cambria Math" w:hAnsi="Cambria Math"/>
              </w:rPr>
            </m:ctrlPr>
          </m:sub>
        </m:sSub>
        <m:r>
          <m:rPr>
            <m:sty m:val="p"/>
          </m:rPr>
          <w:rPr>
            <w:rFonts w:ascii="Cambria Math" w:hAnsi="Cambria Math"/>
          </w:rPr>
          <m:t>)</m:t>
        </m:r>
      </m:oMath>
      <w:r>
        <w:rPr>
          <w:rFonts w:hint="eastAsia"/>
        </w:rPr>
        <w:t>.</w:t>
      </w:r>
      <w:r>
        <w:t xml:space="preserve"> </w:t>
      </w:r>
    </w:p>
    <w:p>
      <w:pPr>
        <w:pStyle w:val="15"/>
        <w:rPr>
          <w:sz w:val="20"/>
          <w:szCs w:val="21"/>
          <w:lang w:eastAsia="zh-CN"/>
        </w:rPr>
      </w:pPr>
      <w:r>
        <w:rPr>
          <w:rFonts w:hint="eastAsia"/>
          <w:sz w:val="20"/>
          <w:szCs w:val="21"/>
          <w:lang w:eastAsia="zh-CN"/>
        </w:rPr>
        <w:t>A</w:t>
      </w:r>
      <w:r>
        <w:rPr>
          <w:sz w:val="20"/>
          <w:szCs w:val="21"/>
          <w:lang w:eastAsia="zh-CN"/>
        </w:rPr>
        <w:t xml:space="preserve">ctually, in case of </w:t>
      </w:r>
      <w:r>
        <w:rPr>
          <w:rFonts w:hint="eastAsia"/>
          <w:i/>
          <w:iCs/>
          <w:sz w:val="20"/>
          <w:szCs w:val="21"/>
        </w:rPr>
        <w:t>g</w:t>
      </w:r>
      <w:r>
        <w:rPr>
          <w:rFonts w:hint="eastAsia"/>
          <w:i/>
          <w:iCs/>
          <w:sz w:val="20"/>
          <w:szCs w:val="21"/>
          <w:vertAlign w:val="subscript"/>
        </w:rPr>
        <w:t>c</w:t>
      </w:r>
      <w:r>
        <w:rPr>
          <w:rFonts w:hint="eastAsia"/>
          <w:sz w:val="20"/>
          <w:szCs w:val="21"/>
        </w:rPr>
        <w:t xml:space="preserve"> approximat</w:t>
      </w:r>
      <w:r>
        <w:rPr>
          <w:sz w:val="20"/>
          <w:szCs w:val="21"/>
        </w:rPr>
        <w:t>ing infinite, then</w:t>
      </w:r>
    </w:p>
    <w:p>
      <w:pPr>
        <w:pStyle w:val="10"/>
        <w:ind w:firstLine="0"/>
        <w:rPr>
          <w:rFonts w:ascii="Cambria Math" w:hAnsi="Cambria Math"/>
          <w:i w:val="0"/>
        </w:rPr>
      </w:pPr>
      <m:oMathPara>
        <m:oMath>
          <m:r>
            <m:rPr>
              <m:sty m:val="p"/>
            </m:rPr>
            <w:rPr>
              <w:rFonts w:ascii="Cambria Math" w:hAnsi="Cambria Math"/>
            </w:rPr>
            <m:t>WSI=1-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E</m:t>
              </m:r>
              <m:ctrlPr>
                <w:rPr>
                  <w:rFonts w:ascii="Cambria Math" w:hAnsi="Cambria Math"/>
                </w:rPr>
              </m:ctrlPr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E</m:t>
                  </m:r>
                  <m:ctrlPr>
                    <w:rPr>
                      <w:rFonts w:ascii="Cambria Math" w:hAnsi="Cambria Math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P</m:t>
                  </m:r>
                  <m:ctrlPr>
                    <w:rPr>
                      <w:rFonts w:ascii="Cambria Math" w:hAnsi="Cambria Math"/>
                    </w:rPr>
                  </m:ctrlPr>
                </m:sub>
              </m:sSub>
              <m:ctrlPr>
                <w:rPr>
                  <w:rFonts w:ascii="Cambria Math" w:hAnsi="Cambria Math"/>
                </w:rPr>
              </m:ctrlPr>
            </m:den>
          </m:f>
          <m:r>
            <w:rPr>
              <w:rFonts w:ascii="Cambria Math" w:hAnsi="Cambria Math"/>
            </w:rPr>
            <m:t>=1-Ω</m:t>
          </m:r>
        </m:oMath>
      </m:oMathPara>
    </w:p>
    <w:p>
      <w:pPr>
        <w:pStyle w:val="10"/>
        <w:ind w:firstLine="0"/>
        <w:rPr>
          <w:rFonts w:ascii="Cambria Math" w:hAnsi="Cambria Math"/>
          <w:i w:val="0"/>
        </w:rPr>
      </w:pPr>
    </w:p>
    <w:p>
      <w:pPr>
        <w:pStyle w:val="15"/>
        <w:rPr>
          <w:sz w:val="20"/>
          <w:szCs w:val="21"/>
        </w:rPr>
      </w:pPr>
      <w:r>
        <w:rPr>
          <w:rFonts w:hint="eastAsia"/>
          <w:sz w:val="20"/>
          <w:szCs w:val="21"/>
        </w:rPr>
        <w:t xml:space="preserve">where </w:t>
      </w:r>
      <w:r>
        <w:rPr>
          <w:i/>
          <w:iCs/>
          <w:sz w:val="20"/>
          <w:szCs w:val="21"/>
        </w:rPr>
        <w:t>E</w:t>
      </w:r>
      <w:r>
        <w:rPr>
          <w:sz w:val="20"/>
          <w:szCs w:val="21"/>
        </w:rPr>
        <w:t xml:space="preserve"> and </w:t>
      </w:r>
      <w:r>
        <w:rPr>
          <w:i/>
          <w:iCs/>
          <w:sz w:val="20"/>
          <w:szCs w:val="21"/>
        </w:rPr>
        <w:t>E</w:t>
      </w:r>
      <w:r>
        <w:rPr>
          <w:i/>
          <w:iCs/>
          <w:sz w:val="20"/>
          <w:szCs w:val="21"/>
          <w:vertAlign w:val="subscript"/>
        </w:rPr>
        <w:t>p</w:t>
      </w:r>
      <w:r>
        <w:rPr>
          <w:sz w:val="20"/>
          <w:szCs w:val="21"/>
        </w:rPr>
        <w:t xml:space="preserve"> is actual and potential evapotranspiration. The Ω also called decoupling factor as shown in Jarvis and McNaughton</w:t>
      </w:r>
      <w:r>
        <w:rPr>
          <w:rFonts w:hint="eastAsia" w:eastAsia="宋体"/>
          <w:sz w:val="20"/>
          <w:szCs w:val="21"/>
          <w:vertAlign w:val="superscript"/>
          <w:lang w:val="en-US" w:eastAsia="zh-CN"/>
        </w:rPr>
        <w:t>[17]</w:t>
      </w:r>
      <w:r>
        <w:rPr>
          <w:sz w:val="20"/>
          <w:szCs w:val="21"/>
        </w:rPr>
        <w:t xml:space="preserve">. </w:t>
      </w:r>
    </w:p>
    <w:p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>Figure s1</w:t>
      </w:r>
      <w:r>
        <w:rPr>
          <w:rFonts w:hint="eastAsia" w:ascii="Palatino Linotype" w:hAnsi="Palatino Linotype" w:eastAsia="宋体" w:cs="Times New Roman"/>
          <w:b/>
          <w:snapToGrid/>
          <w:color w:val="000000"/>
          <w:kern w:val="0"/>
          <w:sz w:val="18"/>
          <w:szCs w:val="22"/>
          <w:lang w:val="en-US" w:eastAsia="zh-CN" w:bidi="en-US"/>
        </w:rPr>
        <w:t>.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Illustration of the Lasslop equation and ordinary hyperbolic equation in simulating daytime NEE. Since majority of the time, VPD was less than 1 kPa, it is not </w:t>
      </w:r>
      <w:r>
        <w:rPr>
          <w:rFonts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>necessary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 to includes the VPD term as illustrated in Lasslop but includes the temperature dependence of respiration. </w:t>
      </w:r>
    </w:p>
    <w:p>
      <w:pPr>
        <w:rPr>
          <w:sz w:val="24"/>
          <w:szCs w:val="24"/>
        </w:rPr>
      </w:pPr>
    </w:p>
    <w:p>
      <w:r>
        <w:drawing>
          <wp:inline distT="0" distB="0" distL="0" distR="0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>
      <w:pPr>
        <w:widowControl/>
        <w:jc w:val="left"/>
        <w:rPr>
          <w:rFonts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</w:pPr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>Figure s2</w:t>
      </w:r>
      <w:r>
        <w:rPr>
          <w:rFonts w:hint="eastAsia" w:ascii="Palatino Linotype" w:hAnsi="Palatino Linotype" w:eastAsia="宋体" w:cs="Times New Roman"/>
          <w:b/>
          <w:snapToGrid/>
          <w:color w:val="000000"/>
          <w:kern w:val="0"/>
          <w:sz w:val="18"/>
          <w:szCs w:val="22"/>
          <w:lang w:val="en-US" w:eastAsia="zh-CN" w:bidi="en-US"/>
        </w:rPr>
        <w:t>.</w:t>
      </w:r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 xml:space="preserve">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>The seasonal pattern on net ecosystem exchange (NEE) cited from Liu</w:t>
      </w:r>
      <w:r>
        <w:rPr>
          <w:rFonts w:hint="eastAsia" w:ascii="Palatino Linotype" w:hAnsi="Palatino Linotype" w:eastAsia="宋体" w:cs="Times New Roman"/>
          <w:snapToGrid/>
          <w:color w:val="000000"/>
          <w:kern w:val="0"/>
          <w:sz w:val="18"/>
          <w:szCs w:val="22"/>
          <w:lang w:val="en-US" w:eastAsia="zh-CN" w:bidi="en-US"/>
        </w:rPr>
        <w:t xml:space="preserve"> YF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 for a co</w:t>
      </w:r>
      <w:bookmarkStart w:id="0" w:name="_GoBack"/>
      <w:bookmarkEnd w:id="0"/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niferous plantation </w:t>
      </w:r>
      <w:r>
        <w:rPr>
          <w:rFonts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>comprised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 partly by Masson pine of similar stand age in Qianyanzhou, Jiangxi, China (QYZ) and a </w:t>
      </w:r>
      <w:r>
        <w:rPr>
          <w:rFonts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100-year-old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mixed broadleaved forest </w:t>
      </w:r>
      <w:r>
        <w:rPr>
          <w:rFonts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>of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 secondary growth </w:t>
      </w:r>
      <w:r>
        <w:rPr>
          <w:rFonts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in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>Dinghushan, Guangdong, China</w:t>
      </w:r>
      <w:r>
        <w:rPr>
          <w:rFonts w:hint="eastAsia" w:ascii="Palatino Linotype" w:hAnsi="Palatino Linotype" w:eastAsia="宋体" w:cs="Times New Roman"/>
          <w:snapToGrid/>
          <w:color w:val="000000"/>
          <w:kern w:val="0"/>
          <w:sz w:val="18"/>
          <w:szCs w:val="22"/>
          <w:vertAlign w:val="superscript"/>
          <w:lang w:val="en-US" w:eastAsia="zh-CN" w:bidi="en-US"/>
        </w:rPr>
        <w:t>[22,24]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.  </w:t>
      </w:r>
    </w:p>
    <w:p>
      <w:pPr>
        <w:widowControl/>
        <w:jc w:val="left"/>
      </w:pPr>
      <w:r>
        <w:rPr>
          <w:rFonts w:hint="eastAsia"/>
        </w:rPr>
        <w:drawing>
          <wp:inline distT="0" distB="0" distL="0" distR="0">
            <wp:extent cx="5274310" cy="250253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  <w:r>
        <w:br w:type="page"/>
      </w:r>
    </w:p>
    <w:p>
      <w:pPr>
        <w:widowControl/>
        <w:jc w:val="left"/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</w:pPr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>Figure s3</w:t>
      </w:r>
      <w:r>
        <w:rPr>
          <w:rFonts w:hint="eastAsia" w:ascii="Palatino Linotype" w:hAnsi="Palatino Linotype" w:eastAsia="宋体" w:cs="Times New Roman"/>
          <w:b/>
          <w:snapToGrid/>
          <w:color w:val="000000"/>
          <w:kern w:val="0"/>
          <w:sz w:val="18"/>
          <w:szCs w:val="22"/>
          <w:lang w:val="en-US" w:eastAsia="zh-CN" w:bidi="en-US"/>
        </w:rPr>
        <w:t>.</w:t>
      </w:r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 xml:space="preserve">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Soil water content measured at different depth in our studied site in Guizhou. </w:t>
      </w:r>
    </w:p>
    <w:p>
      <w:pPr>
        <w:widowControl/>
        <w:jc w:val="left"/>
      </w:pPr>
      <w:r>
        <w:drawing>
          <wp:inline distT="0" distB="0" distL="0" distR="0">
            <wp:extent cx="5274945" cy="2924175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770" b="348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36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spacing w:line="240" w:lineRule="auto"/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</w:pPr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>Figure s4</w:t>
      </w:r>
      <w:r>
        <w:rPr>
          <w:rFonts w:hint="eastAsia" w:ascii="Palatino Linotype" w:hAnsi="Palatino Linotype" w:eastAsia="宋体" w:cs="Times New Roman"/>
          <w:b/>
          <w:snapToGrid/>
          <w:color w:val="000000"/>
          <w:kern w:val="0"/>
          <w:sz w:val="18"/>
          <w:szCs w:val="22"/>
          <w:lang w:val="en-US" w:eastAsia="zh-CN" w:bidi="en-US"/>
        </w:rPr>
        <w:t>.</w:t>
      </w:r>
      <w:r>
        <w:rPr>
          <w:sz w:val="24"/>
        </w:rPr>
        <w:t xml:space="preserve">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The power spectrum of vertical wind velocity component (blue lines). Data was collected in a clear day July 14, 2013. The red circles are smoothing points. The black line represents the -2/3 slope under log-log plot. The standard Kaimal94 spectrum was showed in pink line. </w:t>
      </w:r>
    </w:p>
    <w:p>
      <w:pPr>
        <w:spacing w:line="480" w:lineRule="auto"/>
        <w:rPr>
          <w:sz w:val="24"/>
        </w:rPr>
      </w:pPr>
      <w:r>
        <w:rPr>
          <w:rFonts w:hint="eastAsia"/>
          <w:sz w:val="24"/>
        </w:rPr>
        <w:drawing>
          <wp:inline distT="0" distB="0" distL="0" distR="0">
            <wp:extent cx="5267325" cy="3143250"/>
            <wp:effectExtent l="0" t="0" r="9525" b="0"/>
            <wp:docPr id="2" name="图片 2" descr="MWS_PowerSp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WS_PowerSpe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69" b="4024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p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</w:pPr>
      <w:r>
        <w:rPr>
          <w:rFonts w:hint="eastAsia" w:ascii="Palatino Linotype" w:hAnsi="Palatino Linotype" w:eastAsia="Times New Roman" w:cs="Times New Roman"/>
          <w:b/>
          <w:snapToGrid/>
          <w:color w:val="000000"/>
          <w:kern w:val="0"/>
          <w:sz w:val="18"/>
          <w:szCs w:val="22"/>
          <w:lang w:val="en-US" w:eastAsia="de-DE" w:bidi="en-US"/>
        </w:rPr>
        <w:t>Figure s5</w:t>
      </w:r>
      <w:r>
        <w:rPr>
          <w:rFonts w:hint="eastAsia" w:ascii="Palatino Linotype" w:hAnsi="Palatino Linotype" w:eastAsia="宋体" w:cs="Times New Roman"/>
          <w:b/>
          <w:snapToGrid/>
          <w:color w:val="000000"/>
          <w:kern w:val="0"/>
          <w:sz w:val="18"/>
          <w:szCs w:val="22"/>
          <w:lang w:val="en-US" w:eastAsia="zh-CN" w:bidi="en-US"/>
        </w:rPr>
        <w:t>.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 w:ascii="Palatino Linotype" w:hAnsi="Palatino Linotype" w:eastAsia="Times New Roman" w:cs="Times New Roman"/>
          <w:snapToGrid/>
          <w:color w:val="000000"/>
          <w:kern w:val="0"/>
          <w:sz w:val="18"/>
          <w:szCs w:val="22"/>
          <w:lang w:val="en-US" w:eastAsia="de-DE" w:bidi="en-US"/>
        </w:rPr>
        <w:t xml:space="preserve">The relationship between water vapor deficit (D) and surface conductance (Gs) expressed by the Kernel density. </w:t>
      </w:r>
    </w:p>
    <w:p>
      <w:pPr>
        <w:spacing w:line="48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0" distR="0">
            <wp:extent cx="5334000" cy="40005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C9C"/>
    <w:rsid w:val="00037013"/>
    <w:rsid w:val="00046DAA"/>
    <w:rsid w:val="000574C3"/>
    <w:rsid w:val="00057F73"/>
    <w:rsid w:val="000604A8"/>
    <w:rsid w:val="00063DE3"/>
    <w:rsid w:val="00077FC1"/>
    <w:rsid w:val="00094C9C"/>
    <w:rsid w:val="00105E97"/>
    <w:rsid w:val="001158CE"/>
    <w:rsid w:val="001510F9"/>
    <w:rsid w:val="00164349"/>
    <w:rsid w:val="001862A3"/>
    <w:rsid w:val="001955D3"/>
    <w:rsid w:val="001F1C21"/>
    <w:rsid w:val="001F27D3"/>
    <w:rsid w:val="001F3C85"/>
    <w:rsid w:val="00202CC5"/>
    <w:rsid w:val="002067F6"/>
    <w:rsid w:val="00265F47"/>
    <w:rsid w:val="002C2E70"/>
    <w:rsid w:val="002D3D1B"/>
    <w:rsid w:val="00305245"/>
    <w:rsid w:val="00307B22"/>
    <w:rsid w:val="00350BC1"/>
    <w:rsid w:val="00381740"/>
    <w:rsid w:val="00397989"/>
    <w:rsid w:val="003B5FE9"/>
    <w:rsid w:val="003C5B54"/>
    <w:rsid w:val="003D2E14"/>
    <w:rsid w:val="00424EC3"/>
    <w:rsid w:val="004271EB"/>
    <w:rsid w:val="004379A5"/>
    <w:rsid w:val="00443083"/>
    <w:rsid w:val="004542DE"/>
    <w:rsid w:val="0047786D"/>
    <w:rsid w:val="00483A79"/>
    <w:rsid w:val="004A2984"/>
    <w:rsid w:val="004A759F"/>
    <w:rsid w:val="004B2CDD"/>
    <w:rsid w:val="004C677D"/>
    <w:rsid w:val="004F4232"/>
    <w:rsid w:val="00514E6A"/>
    <w:rsid w:val="00515ADF"/>
    <w:rsid w:val="005224C9"/>
    <w:rsid w:val="005C68D6"/>
    <w:rsid w:val="005D4A66"/>
    <w:rsid w:val="005E6791"/>
    <w:rsid w:val="0063083B"/>
    <w:rsid w:val="00662475"/>
    <w:rsid w:val="0066478A"/>
    <w:rsid w:val="0068620D"/>
    <w:rsid w:val="006A0937"/>
    <w:rsid w:val="006E7129"/>
    <w:rsid w:val="00706533"/>
    <w:rsid w:val="00731097"/>
    <w:rsid w:val="0078288B"/>
    <w:rsid w:val="008274C9"/>
    <w:rsid w:val="00840F9F"/>
    <w:rsid w:val="00865BCA"/>
    <w:rsid w:val="00865E37"/>
    <w:rsid w:val="008871D6"/>
    <w:rsid w:val="00887A82"/>
    <w:rsid w:val="008946EA"/>
    <w:rsid w:val="008A57A4"/>
    <w:rsid w:val="008B4249"/>
    <w:rsid w:val="008F0200"/>
    <w:rsid w:val="008F13C1"/>
    <w:rsid w:val="008F75FB"/>
    <w:rsid w:val="009109A7"/>
    <w:rsid w:val="00913AA1"/>
    <w:rsid w:val="0095619C"/>
    <w:rsid w:val="009803E2"/>
    <w:rsid w:val="00994462"/>
    <w:rsid w:val="00A17D6D"/>
    <w:rsid w:val="00A212C1"/>
    <w:rsid w:val="00A2552D"/>
    <w:rsid w:val="00A4395F"/>
    <w:rsid w:val="00AE1B1C"/>
    <w:rsid w:val="00AE1FAF"/>
    <w:rsid w:val="00B0366B"/>
    <w:rsid w:val="00B133FD"/>
    <w:rsid w:val="00B56335"/>
    <w:rsid w:val="00B6011B"/>
    <w:rsid w:val="00B72E5F"/>
    <w:rsid w:val="00B73961"/>
    <w:rsid w:val="00B746D2"/>
    <w:rsid w:val="00B7549D"/>
    <w:rsid w:val="00B9034E"/>
    <w:rsid w:val="00B97724"/>
    <w:rsid w:val="00BB6FAC"/>
    <w:rsid w:val="00BC643E"/>
    <w:rsid w:val="00BD2CF7"/>
    <w:rsid w:val="00C16381"/>
    <w:rsid w:val="00C235AF"/>
    <w:rsid w:val="00C5667B"/>
    <w:rsid w:val="00C570AC"/>
    <w:rsid w:val="00C57B25"/>
    <w:rsid w:val="00C647CE"/>
    <w:rsid w:val="00C90076"/>
    <w:rsid w:val="00CF14AC"/>
    <w:rsid w:val="00CF305F"/>
    <w:rsid w:val="00CF4426"/>
    <w:rsid w:val="00CF573F"/>
    <w:rsid w:val="00D27A4B"/>
    <w:rsid w:val="00D410C9"/>
    <w:rsid w:val="00D65A32"/>
    <w:rsid w:val="00D72B57"/>
    <w:rsid w:val="00D74515"/>
    <w:rsid w:val="00D942A5"/>
    <w:rsid w:val="00D97F21"/>
    <w:rsid w:val="00DA1071"/>
    <w:rsid w:val="00DE5786"/>
    <w:rsid w:val="00E12446"/>
    <w:rsid w:val="00E5797D"/>
    <w:rsid w:val="00EC17AA"/>
    <w:rsid w:val="00EC5EDC"/>
    <w:rsid w:val="00EC65AC"/>
    <w:rsid w:val="00EF2F9B"/>
    <w:rsid w:val="00F06837"/>
    <w:rsid w:val="00F10C53"/>
    <w:rsid w:val="00F36903"/>
    <w:rsid w:val="00F36C1A"/>
    <w:rsid w:val="00F47C1A"/>
    <w:rsid w:val="00F55E29"/>
    <w:rsid w:val="00F66D1A"/>
    <w:rsid w:val="00F67A66"/>
    <w:rsid w:val="00F94635"/>
    <w:rsid w:val="00FD31B4"/>
    <w:rsid w:val="00FE462B"/>
    <w:rsid w:val="0692618E"/>
    <w:rsid w:val="120B7943"/>
    <w:rsid w:val="1A9734EB"/>
    <w:rsid w:val="1DFC7082"/>
    <w:rsid w:val="2454583B"/>
    <w:rsid w:val="27825D71"/>
    <w:rsid w:val="3D51464D"/>
    <w:rsid w:val="3FB90544"/>
    <w:rsid w:val="427970D7"/>
    <w:rsid w:val="44550F1A"/>
    <w:rsid w:val="5865327C"/>
    <w:rsid w:val="59A1511D"/>
    <w:rsid w:val="5BE413C4"/>
    <w:rsid w:val="5D450A98"/>
    <w:rsid w:val="600B7206"/>
    <w:rsid w:val="6B9F0E1B"/>
    <w:rsid w:val="6C5E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paragraph" w:customStyle="1" w:styleId="10">
    <w:name w:val="Text"/>
    <w:basedOn w:val="1"/>
    <w:uiPriority w:val="0"/>
    <w:pPr>
      <w:widowControl/>
      <w:spacing w:before="120"/>
      <w:ind w:firstLine="720"/>
      <w:jc w:val="left"/>
    </w:pPr>
    <w:rPr>
      <w:rFonts w:ascii="Times New Roman" w:hAnsi="Times New Roman" w:eastAsia="Times New Roman" w:cs="Times New Roman"/>
      <w:kern w:val="0"/>
      <w:sz w:val="24"/>
      <w:szCs w:val="24"/>
      <w:lang w:eastAsia="en-US"/>
    </w:rPr>
  </w:style>
  <w:style w:type="paragraph" w:customStyle="1" w:styleId="11">
    <w:name w:val="MDPI_5.1_figure_caption"/>
    <w:basedOn w:val="12"/>
    <w:qFormat/>
    <w:uiPriority w:val="0"/>
    <w:pPr>
      <w:spacing w:after="240" w:line="260" w:lineRule="atLeast"/>
      <w:ind w:left="425" w:right="425"/>
    </w:pPr>
    <w:rPr>
      <w:snapToGrid/>
    </w:rPr>
  </w:style>
  <w:style w:type="paragraph" w:customStyle="1" w:styleId="12">
    <w:name w:val="MDPI_6.2_Acknowledgments"/>
    <w:qFormat/>
    <w:uiPriority w:val="0"/>
    <w:pPr>
      <w:adjustRightInd w:val="0"/>
      <w:snapToGrid w:val="0"/>
      <w:spacing w:before="120" w:line="200" w:lineRule="atLeast"/>
      <w:jc w:val="both"/>
    </w:pPr>
    <w:rPr>
      <w:rFonts w:ascii="Palatino Linotype" w:hAnsi="Palatino Linotype" w:eastAsia="Times New Roman" w:cstheme="minorBidi"/>
      <w:snapToGrid w:val="0"/>
      <w:color w:val="000000"/>
      <w:sz w:val="18"/>
      <w:lang w:val="en-US" w:eastAsia="de-DE" w:bidi="en-US"/>
    </w:rPr>
  </w:style>
  <w:style w:type="paragraph" w:customStyle="1" w:styleId="13">
    <w:name w:val="MDPI_2.1_heading1"/>
    <w:basedOn w:val="14"/>
    <w:qFormat/>
    <w:uiPriority w:val="0"/>
    <w:pPr>
      <w:outlineLvl w:val="0"/>
    </w:pPr>
    <w:rPr>
      <w:b/>
    </w:rPr>
  </w:style>
  <w:style w:type="paragraph" w:customStyle="1" w:styleId="14">
    <w:name w:val="MDPI_2.3_heading3"/>
    <w:basedOn w:val="15"/>
    <w:qFormat/>
    <w:uiPriority w:val="0"/>
    <w:pPr>
      <w:spacing w:before="240" w:after="120"/>
      <w:ind w:firstLine="0"/>
      <w:jc w:val="left"/>
      <w:outlineLvl w:val="2"/>
    </w:pPr>
  </w:style>
  <w:style w:type="paragraph" w:customStyle="1" w:styleId="15">
    <w:name w:val="MDPI_3.1_text"/>
    <w:qFormat/>
    <w:uiPriority w:val="0"/>
    <w:pPr>
      <w:adjustRightInd w:val="0"/>
      <w:snapToGrid w:val="0"/>
      <w:spacing w:line="260" w:lineRule="atLeast"/>
      <w:ind w:firstLine="425"/>
      <w:jc w:val="both"/>
    </w:pPr>
    <w:rPr>
      <w:rFonts w:ascii="Palatino Linotype" w:hAnsi="Palatino Linotype" w:eastAsia="Times New Roman" w:cstheme="minorBidi"/>
      <w:snapToGrid w:val="0"/>
      <w:color w:val="000000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ds</Company>
  <Pages>8</Pages>
  <Words>442</Words>
  <Characters>2526</Characters>
  <Lines>21</Lines>
  <Paragraphs>5</Paragraphs>
  <TotalTime>1</TotalTime>
  <ScaleCrop>false</ScaleCrop>
  <LinksUpToDate>false</LinksUpToDate>
  <CharactersWithSpaces>2963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2020-06-22T12:55:00Z</dcterms:created>
  <dc:creator>user</dc:creator>
  <cp:lastModifiedBy>尋风</cp:lastModifiedBy>
  <dcterms:modified xsi:type="dcterms:W3CDTF">2020-09-11T08:48:09Z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