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AB8A" w14:textId="77777777" w:rsidR="00B62BA6" w:rsidRPr="00984CD1" w:rsidRDefault="00B62BA6" w:rsidP="00B62BA6">
      <w:pPr>
        <w:pStyle w:val="paragraph"/>
        <w:spacing w:before="0" w:after="0" w:line="480" w:lineRule="auto"/>
        <w:textAlignment w:val="baseline"/>
        <w:rPr>
          <w:lang w:val="en-US"/>
        </w:rPr>
      </w:pPr>
      <w:r w:rsidRPr="00984CD1">
        <w:rPr>
          <w:rStyle w:val="normaltextrun"/>
          <w:lang w:val="en-GB"/>
        </w:rPr>
        <w:t>Supplementary Information</w:t>
      </w:r>
      <w:r w:rsidRPr="00984CD1">
        <w:rPr>
          <w:rStyle w:val="eop"/>
          <w:lang w:val="en-GB"/>
        </w:rPr>
        <w:t> </w:t>
      </w:r>
    </w:p>
    <w:p w14:paraId="1EF36C9A" w14:textId="43FB852F" w:rsidR="00DF5948" w:rsidRPr="001D60C8" w:rsidRDefault="00DF5948" w:rsidP="00DF5948">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Title: </w:t>
      </w:r>
      <w:r w:rsidRPr="001D60C8">
        <w:rPr>
          <w:rFonts w:ascii="Times New Roman" w:hAnsi="Times New Roman" w:cs="Times New Roman"/>
          <w:b/>
          <w:bCs/>
          <w:lang w:val="en-US"/>
        </w:rPr>
        <w:t>“The Effectiveness of Multidru</w:t>
      </w:r>
      <w:r w:rsidR="00F45E05">
        <w:rPr>
          <w:rFonts w:ascii="Times New Roman" w:hAnsi="Times New Roman" w:cs="Times New Roman"/>
          <w:b/>
          <w:bCs/>
          <w:lang w:val="en-US"/>
        </w:rPr>
        <w:t>g C</w:t>
      </w:r>
      <w:r w:rsidRPr="001D60C8">
        <w:rPr>
          <w:rFonts w:ascii="Times New Roman" w:hAnsi="Times New Roman" w:cs="Times New Roman"/>
          <w:b/>
          <w:bCs/>
          <w:lang w:val="en-US"/>
        </w:rPr>
        <w:t xml:space="preserve">hemotherapy </w:t>
      </w:r>
      <w:proofErr w:type="spellStart"/>
      <w:r w:rsidRPr="001D60C8">
        <w:rPr>
          <w:rFonts w:ascii="Times New Roman" w:hAnsi="Times New Roman" w:cs="Times New Roman"/>
          <w:b/>
          <w:bCs/>
          <w:lang w:val="en-US"/>
        </w:rPr>
        <w:t>wit</w:t>
      </w:r>
      <w:r w:rsidR="00F45E05">
        <w:rPr>
          <w:rFonts w:ascii="Times New Roman" w:hAnsi="Times New Roman" w:cs="Times New Roman"/>
          <w:b/>
          <w:bCs/>
          <w:lang w:val="en-US"/>
        </w:rPr>
        <w:t>t</w:t>
      </w:r>
      <w:proofErr w:type="spellEnd"/>
      <w:r w:rsidR="00F45E05">
        <w:rPr>
          <w:rFonts w:ascii="Times New Roman" w:hAnsi="Times New Roman" w:cs="Times New Roman"/>
          <w:b/>
          <w:bCs/>
          <w:lang w:val="en-US"/>
        </w:rPr>
        <w:t xml:space="preserve"> O</w:t>
      </w:r>
      <w:r w:rsidRPr="001D60C8">
        <w:rPr>
          <w:rFonts w:ascii="Times New Roman" w:hAnsi="Times New Roman" w:cs="Times New Roman"/>
          <w:b/>
          <w:bCs/>
          <w:lang w:val="en-US"/>
        </w:rPr>
        <w:t>laparib, Temozolomide and Oxaliplatin Compared to Radiotherapy i</w:t>
      </w:r>
      <w:r w:rsidR="00F45E05">
        <w:rPr>
          <w:rFonts w:ascii="Times New Roman" w:hAnsi="Times New Roman" w:cs="Times New Roman"/>
          <w:b/>
          <w:bCs/>
          <w:lang w:val="en-US"/>
        </w:rPr>
        <w:t>n G</w:t>
      </w:r>
      <w:r w:rsidRPr="001D60C8">
        <w:rPr>
          <w:rFonts w:ascii="Times New Roman" w:hAnsi="Times New Roman" w:cs="Times New Roman"/>
          <w:b/>
          <w:bCs/>
          <w:lang w:val="en-US"/>
        </w:rPr>
        <w:t xml:space="preserve">lioblastoma Multiforme </w:t>
      </w:r>
      <w:r w:rsidR="00F45E05">
        <w:rPr>
          <w:rFonts w:ascii="Times New Roman" w:hAnsi="Times New Roman" w:cs="Times New Roman"/>
          <w:b/>
          <w:bCs/>
          <w:i/>
          <w:iCs/>
          <w:lang w:val="en-US"/>
        </w:rPr>
        <w:t xml:space="preserve">in Vitro </w:t>
      </w:r>
      <w:r w:rsidRPr="001D60C8">
        <w:rPr>
          <w:rFonts w:ascii="Times New Roman" w:hAnsi="Times New Roman" w:cs="Times New Roman"/>
          <w:b/>
          <w:bCs/>
          <w:lang w:val="en-US"/>
        </w:rPr>
        <w:t>Model</w:t>
      </w:r>
      <w:r w:rsidR="00F45E05">
        <w:rPr>
          <w:rFonts w:ascii="Times New Roman" w:hAnsi="Times New Roman" w:cs="Times New Roman"/>
          <w:b/>
          <w:bCs/>
          <w:lang w:val="en-US"/>
        </w:rPr>
        <w:t>s a</w:t>
      </w:r>
      <w:r w:rsidRPr="001D60C8">
        <w:rPr>
          <w:rFonts w:ascii="Times New Roman" w:hAnsi="Times New Roman" w:cs="Times New Roman"/>
          <w:b/>
          <w:bCs/>
          <w:lang w:val="en-US"/>
        </w:rPr>
        <w:t>nd Human Fibroblasts”</w:t>
      </w:r>
    </w:p>
    <w:p w14:paraId="2344BC2A" w14:textId="77777777" w:rsidR="00DF5948" w:rsidRDefault="00DF5948" w:rsidP="00DF5948">
      <w:pPr>
        <w:pStyle w:val="paragraph"/>
        <w:spacing w:before="0" w:after="0" w:line="360" w:lineRule="auto"/>
        <w:jc w:val="both"/>
        <w:textAlignment w:val="baseline"/>
        <w:rPr>
          <w:rStyle w:val="normaltextrun"/>
          <w:rFonts w:eastAsiaTheme="majorEastAsia"/>
          <w:b/>
          <w:bCs/>
          <w:color w:val="000000"/>
          <w:lang w:val="en-US"/>
        </w:rPr>
      </w:pPr>
    </w:p>
    <w:p w14:paraId="2D18FFCA" w14:textId="2AD75E2D" w:rsidR="00DF5948" w:rsidRPr="001D60C8" w:rsidRDefault="00DF5948" w:rsidP="00DF5948">
      <w:pPr>
        <w:pStyle w:val="paragraph"/>
        <w:spacing w:before="0" w:after="0" w:line="360" w:lineRule="auto"/>
        <w:jc w:val="both"/>
        <w:textAlignment w:val="baseline"/>
        <w:rPr>
          <w:lang w:val="en-US"/>
        </w:rPr>
      </w:pPr>
      <w:r w:rsidRPr="001D60C8">
        <w:rPr>
          <w:rStyle w:val="normaltextrun"/>
          <w:rFonts w:eastAsiaTheme="majorEastAsia"/>
          <w:b/>
          <w:bCs/>
          <w:color w:val="000000"/>
          <w:lang w:val="en-US"/>
        </w:rPr>
        <w:t>Author names and affiliations:</w:t>
      </w:r>
    </w:p>
    <w:p w14:paraId="3319C1C6" w14:textId="5E9797A2" w:rsidR="00DF5948" w:rsidRPr="006F69F1" w:rsidRDefault="00DF5948" w:rsidP="00DF5948">
      <w:pPr>
        <w:pStyle w:val="paragraph"/>
        <w:spacing w:before="0" w:after="0" w:line="360" w:lineRule="auto"/>
        <w:jc w:val="both"/>
        <w:textAlignment w:val="baseline"/>
        <w:rPr>
          <w:color w:val="000000"/>
          <w:vertAlign w:val="superscript"/>
          <w:lang w:val="en-US"/>
        </w:rPr>
      </w:pPr>
      <w:r w:rsidRPr="001D60C8">
        <w:rPr>
          <w:rStyle w:val="eop"/>
          <w:rFonts w:eastAsiaTheme="majorEastAsia"/>
          <w:color w:val="000000"/>
          <w:lang w:val="en-US"/>
        </w:rPr>
        <w:t>A</w:t>
      </w:r>
      <w:r w:rsidRPr="001D60C8">
        <w:rPr>
          <w:color w:val="000000"/>
          <w:lang w:val="en-US"/>
        </w:rPr>
        <w:t>nna Zając-Grabiec</w:t>
      </w:r>
      <w:r w:rsidRPr="001D60C8">
        <w:rPr>
          <w:color w:val="000000"/>
          <w:vertAlign w:val="superscript"/>
          <w:lang w:val="en-US"/>
        </w:rPr>
        <w:t>a</w:t>
      </w:r>
      <w:r w:rsidRPr="001D60C8">
        <w:rPr>
          <w:color w:val="000000"/>
          <w:lang w:val="en-US"/>
        </w:rPr>
        <w:t>*, Anna Czopek</w:t>
      </w:r>
      <w:r w:rsidRPr="001D60C8">
        <w:rPr>
          <w:color w:val="000000"/>
          <w:vertAlign w:val="superscript"/>
          <w:lang w:val="en-US"/>
        </w:rPr>
        <w:t>b</w:t>
      </w:r>
      <w:r w:rsidRPr="001D60C8">
        <w:rPr>
          <w:color w:val="000000"/>
          <w:lang w:val="en-US"/>
        </w:rPr>
        <w:t xml:space="preserve">*, Paula </w:t>
      </w:r>
      <w:proofErr w:type="spellStart"/>
      <w:r w:rsidRPr="001D60C8">
        <w:rPr>
          <w:color w:val="000000"/>
          <w:lang w:val="en-US"/>
        </w:rPr>
        <w:t>Ajersch</w:t>
      </w:r>
      <w:r w:rsidRPr="001D60C8">
        <w:rPr>
          <w:color w:val="000000"/>
          <w:vertAlign w:val="superscript"/>
          <w:lang w:val="en-US"/>
        </w:rPr>
        <w:t>f</w:t>
      </w:r>
      <w:proofErr w:type="spellEnd"/>
      <w:r w:rsidRPr="001D60C8">
        <w:rPr>
          <w:color w:val="000000"/>
          <w:vertAlign w:val="superscript"/>
          <w:lang w:val="en-US"/>
        </w:rPr>
        <w:t>, g</w:t>
      </w:r>
      <w:r w:rsidRPr="001D60C8">
        <w:rPr>
          <w:color w:val="000000"/>
          <w:lang w:val="en-US"/>
        </w:rPr>
        <w:t xml:space="preserve">, Filip </w:t>
      </w:r>
      <w:proofErr w:type="spellStart"/>
      <w:r w:rsidRPr="001D60C8">
        <w:rPr>
          <w:color w:val="000000"/>
          <w:lang w:val="en-US"/>
        </w:rPr>
        <w:t>Michałkiewicz</w:t>
      </w:r>
      <w:r w:rsidRPr="001D60C8">
        <w:rPr>
          <w:color w:val="000000"/>
          <w:vertAlign w:val="superscript"/>
          <w:lang w:val="en-US"/>
        </w:rPr>
        <w:t>c</w:t>
      </w:r>
      <w:proofErr w:type="spellEnd"/>
      <w:r w:rsidRPr="001D60C8">
        <w:rPr>
          <w:color w:val="000000"/>
          <w:lang w:val="en-US"/>
        </w:rPr>
        <w:t xml:space="preserve">, Dominik </w:t>
      </w:r>
      <w:proofErr w:type="spellStart"/>
      <w:r w:rsidRPr="001D60C8">
        <w:rPr>
          <w:color w:val="000000"/>
          <w:lang w:val="en-US"/>
        </w:rPr>
        <w:t>Wiśniewski</w:t>
      </w:r>
      <w:r w:rsidRPr="001D60C8">
        <w:rPr>
          <w:color w:val="000000"/>
          <w:vertAlign w:val="superscript"/>
          <w:lang w:val="en-US"/>
        </w:rPr>
        <w:t>e</w:t>
      </w:r>
      <w:proofErr w:type="spellEnd"/>
      <w:r w:rsidRPr="001D60C8">
        <w:rPr>
          <w:color w:val="000000"/>
          <w:lang w:val="en-US"/>
        </w:rPr>
        <w:t xml:space="preserve">, Monika </w:t>
      </w:r>
      <w:proofErr w:type="spellStart"/>
      <w:r w:rsidRPr="001D60C8">
        <w:rPr>
          <w:color w:val="000000"/>
          <w:lang w:val="en-US"/>
        </w:rPr>
        <w:t>Bania</w:t>
      </w:r>
      <w:r w:rsidRPr="001D60C8">
        <w:rPr>
          <w:color w:val="000000"/>
          <w:vertAlign w:val="superscript"/>
          <w:lang w:val="en-US"/>
        </w:rPr>
        <w:t>a</w:t>
      </w:r>
      <w:proofErr w:type="spellEnd"/>
      <w:r w:rsidRPr="001D60C8">
        <w:rPr>
          <w:color w:val="000000"/>
          <w:vertAlign w:val="superscript"/>
          <w:lang w:val="en-US"/>
        </w:rPr>
        <w:t>,</w:t>
      </w:r>
      <w:r w:rsidRPr="001D60C8">
        <w:rPr>
          <w:color w:val="000000"/>
          <w:lang w:val="en-US"/>
        </w:rPr>
        <w:t xml:space="preserve"> Marta </w:t>
      </w:r>
      <w:proofErr w:type="spellStart"/>
      <w:r w:rsidRPr="001D60C8">
        <w:rPr>
          <w:color w:val="000000"/>
          <w:lang w:val="en-US"/>
        </w:rPr>
        <w:t>Bałamut</w:t>
      </w:r>
      <w:r w:rsidRPr="001D60C8">
        <w:rPr>
          <w:color w:val="000000"/>
          <w:vertAlign w:val="superscript"/>
          <w:lang w:val="en-US"/>
        </w:rPr>
        <w:t>a</w:t>
      </w:r>
      <w:proofErr w:type="spellEnd"/>
      <w:r w:rsidRPr="001D60C8">
        <w:rPr>
          <w:color w:val="000000"/>
          <w:lang w:val="en-US"/>
        </w:rPr>
        <w:t xml:space="preserve">, </w:t>
      </w:r>
      <w:proofErr w:type="spellStart"/>
      <w:r w:rsidRPr="001D60C8">
        <w:rPr>
          <w:color w:val="000000"/>
          <w:lang w:val="en-US"/>
        </w:rPr>
        <w:t>Dawid</w:t>
      </w:r>
      <w:proofErr w:type="spellEnd"/>
      <w:r w:rsidRPr="001D60C8">
        <w:rPr>
          <w:color w:val="000000"/>
          <w:lang w:val="en-US"/>
        </w:rPr>
        <w:t xml:space="preserve"> </w:t>
      </w:r>
      <w:proofErr w:type="spellStart"/>
      <w:r w:rsidRPr="001D60C8">
        <w:rPr>
          <w:color w:val="000000"/>
          <w:lang w:val="en-US"/>
        </w:rPr>
        <w:t>Krzempek</w:t>
      </w:r>
      <w:r w:rsidRPr="001D60C8">
        <w:rPr>
          <w:color w:val="000000"/>
          <w:vertAlign w:val="superscript"/>
          <w:lang w:val="en-US"/>
        </w:rPr>
        <w:t>a</w:t>
      </w:r>
      <w:proofErr w:type="spellEnd"/>
      <w:r w:rsidRPr="001D60C8">
        <w:rPr>
          <w:color w:val="000000"/>
          <w:lang w:val="en-US"/>
        </w:rPr>
        <w:t xml:space="preserve"> Krzysztof </w:t>
      </w:r>
      <w:proofErr w:type="spellStart"/>
      <w:r w:rsidRPr="001D60C8">
        <w:rPr>
          <w:color w:val="000000"/>
          <w:lang w:val="en-US"/>
        </w:rPr>
        <w:t>Łukowicz</w:t>
      </w:r>
      <w:r w:rsidRPr="001D60C8">
        <w:rPr>
          <w:color w:val="000000"/>
          <w:vertAlign w:val="superscript"/>
          <w:lang w:val="en-US"/>
        </w:rPr>
        <w:t>a</w:t>
      </w:r>
      <w:proofErr w:type="spellEnd"/>
      <w:r w:rsidRPr="001D60C8">
        <w:rPr>
          <w:color w:val="000000"/>
          <w:lang w:val="en-US"/>
        </w:rPr>
        <w:t>,</w:t>
      </w:r>
      <w:r>
        <w:rPr>
          <w:color w:val="000000"/>
          <w:lang w:val="en-US"/>
        </w:rPr>
        <w:t xml:space="preserve"> </w:t>
      </w:r>
      <w:r w:rsidRPr="001D60C8">
        <w:rPr>
          <w:color w:val="000000"/>
          <w:lang w:val="en-US"/>
        </w:rPr>
        <w:t xml:space="preserve">Tomasz </w:t>
      </w:r>
      <w:proofErr w:type="spellStart"/>
      <w:r w:rsidRPr="001D60C8">
        <w:rPr>
          <w:color w:val="000000"/>
          <w:lang w:val="en-US"/>
        </w:rPr>
        <w:t>Skóra</w:t>
      </w:r>
      <w:r w:rsidRPr="001D60C8">
        <w:rPr>
          <w:color w:val="000000"/>
          <w:vertAlign w:val="superscript"/>
          <w:lang w:val="en-US"/>
        </w:rPr>
        <w:t>d</w:t>
      </w:r>
      <w:proofErr w:type="spellEnd"/>
      <w:r w:rsidRPr="001D60C8">
        <w:rPr>
          <w:color w:val="000000"/>
          <w:lang w:val="en-US"/>
        </w:rPr>
        <w:t xml:space="preserve">, </w:t>
      </w:r>
      <w:r w:rsidRPr="006F69F1">
        <w:rPr>
          <w:color w:val="000000"/>
          <w:lang w:val="en-US"/>
        </w:rPr>
        <w:t xml:space="preserve">Beata </w:t>
      </w:r>
      <w:proofErr w:type="spellStart"/>
      <w:r w:rsidRPr="006F69F1">
        <w:rPr>
          <w:color w:val="000000"/>
          <w:lang w:val="en-US"/>
        </w:rPr>
        <w:t>Biesaga</w:t>
      </w:r>
      <w:r w:rsidR="00976569">
        <w:rPr>
          <w:color w:val="000000"/>
          <w:vertAlign w:val="superscript"/>
          <w:lang w:val="en-US"/>
        </w:rPr>
        <w:t>h</w:t>
      </w:r>
      <w:proofErr w:type="spellEnd"/>
      <w:r w:rsidRPr="006F69F1">
        <w:rPr>
          <w:color w:val="000000"/>
          <w:lang w:val="en-US"/>
        </w:rPr>
        <w:t xml:space="preserve"> , Justyna </w:t>
      </w:r>
      <w:proofErr w:type="spellStart"/>
      <w:r w:rsidRPr="006F69F1">
        <w:rPr>
          <w:color w:val="000000"/>
          <w:lang w:val="en-US"/>
        </w:rPr>
        <w:t>Miszczyk</w:t>
      </w:r>
      <w:r w:rsidRPr="006F69F1">
        <w:rPr>
          <w:color w:val="000000"/>
          <w:vertAlign w:val="superscript"/>
          <w:lang w:val="en-US"/>
        </w:rPr>
        <w:t>a</w:t>
      </w:r>
      <w:proofErr w:type="spellEnd"/>
      <w:r w:rsidRPr="006F69F1">
        <w:rPr>
          <w:color w:val="000000"/>
          <w:lang w:val="en-US"/>
        </w:rPr>
        <w:t> </w:t>
      </w:r>
    </w:p>
    <w:p w14:paraId="7E2B9727" w14:textId="77777777" w:rsidR="00DF5948" w:rsidRPr="001D60C8" w:rsidRDefault="00DF5948" w:rsidP="00DF5948">
      <w:pPr>
        <w:pStyle w:val="paragraph"/>
        <w:spacing w:before="0" w:after="0" w:line="360" w:lineRule="auto"/>
        <w:jc w:val="both"/>
        <w:textAlignment w:val="baseline"/>
        <w:rPr>
          <w:color w:val="000000"/>
          <w:lang w:val="en-US"/>
        </w:rPr>
      </w:pPr>
      <w:r w:rsidRPr="001D60C8">
        <w:rPr>
          <w:color w:val="000000"/>
          <w:vertAlign w:val="superscript"/>
          <w:lang w:val="en-US"/>
        </w:rPr>
        <w:t>a</w:t>
      </w:r>
      <w:r w:rsidRPr="001D60C8">
        <w:rPr>
          <w:color w:val="000000"/>
          <w:lang w:val="en-US"/>
        </w:rPr>
        <w:t xml:space="preserve"> Department of Medical Physics, Institute of Nuclear Physics, Polish Academy of Sciences, </w:t>
      </w:r>
      <w:proofErr w:type="spellStart"/>
      <w:r w:rsidRPr="001D60C8">
        <w:rPr>
          <w:color w:val="000000"/>
          <w:lang w:val="en-US"/>
        </w:rPr>
        <w:t>Radzikowskiego</w:t>
      </w:r>
      <w:proofErr w:type="spellEnd"/>
      <w:r w:rsidRPr="001D60C8">
        <w:rPr>
          <w:color w:val="000000"/>
          <w:lang w:val="en-US"/>
        </w:rPr>
        <w:t xml:space="preserve"> 152, 31-342 Kraków, Poland. </w:t>
      </w:r>
    </w:p>
    <w:p w14:paraId="6952A548" w14:textId="77777777" w:rsidR="00DF5948" w:rsidRPr="001D60C8" w:rsidRDefault="00DF5948" w:rsidP="00DF5948">
      <w:pPr>
        <w:pStyle w:val="paragraph"/>
        <w:spacing w:before="0" w:after="0" w:line="360" w:lineRule="auto"/>
        <w:jc w:val="both"/>
        <w:textAlignment w:val="baseline"/>
        <w:rPr>
          <w:color w:val="000000"/>
          <w:lang w:val="en-US"/>
        </w:rPr>
      </w:pPr>
      <w:r w:rsidRPr="001D60C8">
        <w:rPr>
          <w:color w:val="000000"/>
          <w:vertAlign w:val="superscript"/>
          <w:lang w:val="en-US"/>
        </w:rPr>
        <w:t>b</w:t>
      </w:r>
      <w:r w:rsidRPr="001D60C8">
        <w:rPr>
          <w:color w:val="000000"/>
          <w:lang w:val="en-US"/>
        </w:rPr>
        <w:t xml:space="preserve"> Department of Medicinal Chemistry, Faculty of Pharmacy, Jagiellonian University Medical College, </w:t>
      </w:r>
      <w:proofErr w:type="spellStart"/>
      <w:r w:rsidRPr="001D60C8">
        <w:rPr>
          <w:color w:val="000000"/>
          <w:lang w:val="en-US"/>
        </w:rPr>
        <w:t>Medyczna</w:t>
      </w:r>
      <w:proofErr w:type="spellEnd"/>
      <w:r w:rsidRPr="001D60C8">
        <w:rPr>
          <w:color w:val="000000"/>
          <w:lang w:val="en-US"/>
        </w:rPr>
        <w:t xml:space="preserve"> 9, 30-688 Kraków, Poland </w:t>
      </w:r>
    </w:p>
    <w:p w14:paraId="229BAD93" w14:textId="77777777" w:rsidR="00DF5948" w:rsidRDefault="00DF5948" w:rsidP="00DF5948">
      <w:pPr>
        <w:pStyle w:val="paragraph"/>
        <w:spacing w:before="0" w:after="0" w:line="360" w:lineRule="auto"/>
        <w:jc w:val="both"/>
        <w:textAlignment w:val="baseline"/>
        <w:rPr>
          <w:color w:val="000000"/>
          <w:lang w:val="en-US"/>
        </w:rPr>
      </w:pPr>
      <w:r w:rsidRPr="001D60C8">
        <w:rPr>
          <w:color w:val="000000"/>
          <w:vertAlign w:val="superscript"/>
          <w:lang w:val="en-US"/>
        </w:rPr>
        <w:t>c</w:t>
      </w:r>
      <w:r w:rsidRPr="001D60C8">
        <w:rPr>
          <w:color w:val="000000"/>
          <w:lang w:val="en-US"/>
        </w:rPr>
        <w:t xml:space="preserve"> Faculty of Biochemistry, Biophysics and Biotechnology, Jagiellonian University, </w:t>
      </w:r>
      <w:proofErr w:type="spellStart"/>
      <w:r w:rsidRPr="001D60C8">
        <w:rPr>
          <w:color w:val="000000"/>
          <w:lang w:val="en-US"/>
        </w:rPr>
        <w:t>Gronostajowa</w:t>
      </w:r>
      <w:proofErr w:type="spellEnd"/>
      <w:r w:rsidRPr="001D60C8">
        <w:rPr>
          <w:color w:val="000000"/>
          <w:lang w:val="en-US"/>
        </w:rPr>
        <w:t xml:space="preserve"> 7, 30-387 Kraków, Poland </w:t>
      </w:r>
    </w:p>
    <w:p w14:paraId="495EA1E4" w14:textId="77777777" w:rsidR="00DF5948" w:rsidRPr="001D60C8" w:rsidRDefault="00DF5948" w:rsidP="00DF5948">
      <w:pPr>
        <w:pStyle w:val="paragraph"/>
        <w:spacing w:before="0" w:after="0" w:line="360" w:lineRule="auto"/>
        <w:jc w:val="both"/>
        <w:textAlignment w:val="baseline"/>
        <w:rPr>
          <w:color w:val="000000"/>
          <w:lang w:val="en-US"/>
        </w:rPr>
      </w:pPr>
      <w:r w:rsidRPr="001D60C8">
        <w:rPr>
          <w:color w:val="000000"/>
          <w:vertAlign w:val="superscript"/>
          <w:lang w:val="en-US"/>
        </w:rPr>
        <w:t>d</w:t>
      </w:r>
      <w:r w:rsidRPr="001D60C8">
        <w:rPr>
          <w:color w:val="000000"/>
          <w:lang w:val="en-US"/>
        </w:rPr>
        <w:t xml:space="preserve"> Maria Skłodowska-Curie National Research Institute of Oncology, </w:t>
      </w:r>
      <w:r>
        <w:rPr>
          <w:color w:val="000000"/>
          <w:lang w:val="en-US"/>
        </w:rPr>
        <w:t xml:space="preserve">Radiotherapy Department, </w:t>
      </w:r>
      <w:proofErr w:type="spellStart"/>
      <w:r w:rsidRPr="001D60C8">
        <w:rPr>
          <w:color w:val="000000"/>
          <w:lang w:val="en-US"/>
        </w:rPr>
        <w:t>Garncarska</w:t>
      </w:r>
      <w:proofErr w:type="spellEnd"/>
      <w:r w:rsidRPr="001D60C8">
        <w:rPr>
          <w:color w:val="000000"/>
          <w:lang w:val="en-US"/>
        </w:rPr>
        <w:t xml:space="preserve"> 11, 31-115 Kraków, Poland</w:t>
      </w:r>
    </w:p>
    <w:p w14:paraId="4E75783A" w14:textId="77777777" w:rsidR="00DF5948" w:rsidRPr="001D60C8" w:rsidRDefault="00DF5948" w:rsidP="00DF5948">
      <w:pPr>
        <w:pStyle w:val="paragraph"/>
        <w:spacing w:before="0" w:after="0" w:line="360" w:lineRule="auto"/>
        <w:jc w:val="both"/>
        <w:textAlignment w:val="baseline"/>
        <w:rPr>
          <w:color w:val="000000"/>
          <w:lang w:val="en-US"/>
        </w:rPr>
      </w:pPr>
      <w:r w:rsidRPr="001D60C8">
        <w:rPr>
          <w:color w:val="000000"/>
          <w:vertAlign w:val="superscript"/>
          <w:lang w:val="en-US"/>
        </w:rPr>
        <w:t>e</w:t>
      </w:r>
      <w:r w:rsidRPr="001D60C8">
        <w:rPr>
          <w:color w:val="000000"/>
          <w:lang w:val="en-US"/>
        </w:rPr>
        <w:t xml:space="preserve"> Wroclaw University of Science and Technology, </w:t>
      </w:r>
      <w:proofErr w:type="spellStart"/>
      <w:r w:rsidRPr="001D60C8">
        <w:rPr>
          <w:color w:val="000000"/>
          <w:lang w:val="en-GB"/>
        </w:rPr>
        <w:t>Wybrzeże</w:t>
      </w:r>
      <w:proofErr w:type="spellEnd"/>
      <w:r w:rsidRPr="001D60C8">
        <w:rPr>
          <w:color w:val="000000"/>
          <w:lang w:val="en-GB"/>
        </w:rPr>
        <w:t xml:space="preserve"> </w:t>
      </w:r>
      <w:proofErr w:type="spellStart"/>
      <w:r w:rsidRPr="001D60C8">
        <w:rPr>
          <w:color w:val="000000"/>
          <w:lang w:val="en-GB"/>
        </w:rPr>
        <w:t>Stanisława</w:t>
      </w:r>
      <w:proofErr w:type="spellEnd"/>
      <w:r w:rsidRPr="001D60C8">
        <w:rPr>
          <w:color w:val="000000"/>
          <w:lang w:val="en-GB"/>
        </w:rPr>
        <w:t xml:space="preserve"> </w:t>
      </w:r>
      <w:proofErr w:type="spellStart"/>
      <w:r w:rsidRPr="001D60C8">
        <w:rPr>
          <w:color w:val="000000"/>
          <w:lang w:val="en-GB"/>
        </w:rPr>
        <w:t>Wyspiańskiego</w:t>
      </w:r>
      <w:proofErr w:type="spellEnd"/>
      <w:r w:rsidRPr="001D60C8">
        <w:rPr>
          <w:color w:val="000000"/>
          <w:lang w:val="en-GB"/>
        </w:rPr>
        <w:t xml:space="preserve"> 27, 50-370 </w:t>
      </w:r>
      <w:proofErr w:type="spellStart"/>
      <w:r w:rsidRPr="001D60C8">
        <w:rPr>
          <w:color w:val="000000"/>
          <w:lang w:val="en-US"/>
        </w:rPr>
        <w:t>Wrocław</w:t>
      </w:r>
      <w:proofErr w:type="spellEnd"/>
      <w:r w:rsidRPr="001D60C8">
        <w:rPr>
          <w:color w:val="000000"/>
          <w:lang w:val="en-US"/>
        </w:rPr>
        <w:t>, Poland</w:t>
      </w:r>
    </w:p>
    <w:p w14:paraId="0B921F17" w14:textId="77777777" w:rsidR="00DF5948" w:rsidRDefault="00DF5948" w:rsidP="00DF5948">
      <w:pPr>
        <w:pStyle w:val="paragraph"/>
        <w:spacing w:before="0" w:after="0" w:line="360" w:lineRule="auto"/>
        <w:jc w:val="both"/>
        <w:textAlignment w:val="baseline"/>
        <w:rPr>
          <w:lang w:val="en-US"/>
        </w:rPr>
      </w:pPr>
      <w:r w:rsidRPr="001D60C8">
        <w:rPr>
          <w:vertAlign w:val="superscript"/>
          <w:lang w:val="en-US"/>
        </w:rPr>
        <w:t>f</w:t>
      </w:r>
      <w:r w:rsidRPr="001D60C8">
        <w:rPr>
          <w:lang w:val="en-US"/>
        </w:rPr>
        <w:t xml:space="preserve"> Laboratory of Physiology and Toxicology of Reproduction, Institute of Zoology and Biomedical Research, Faculty of Biology, Jagiellonian University in Krakow, 30-387, </w:t>
      </w:r>
      <w:proofErr w:type="spellStart"/>
      <w:r w:rsidRPr="001D60C8">
        <w:rPr>
          <w:lang w:val="en-US"/>
        </w:rPr>
        <w:t>Krakow,Poland</w:t>
      </w:r>
      <w:proofErr w:type="spellEnd"/>
      <w:r w:rsidRPr="001D60C8">
        <w:rPr>
          <w:lang w:val="en-US"/>
        </w:rPr>
        <w:br/>
      </w:r>
      <w:r w:rsidRPr="001D60C8">
        <w:rPr>
          <w:vertAlign w:val="superscript"/>
          <w:lang w:val="en-US"/>
        </w:rPr>
        <w:t>g</w:t>
      </w:r>
      <w:r w:rsidRPr="001D60C8">
        <w:rPr>
          <w:lang w:val="en-US"/>
        </w:rPr>
        <w:t xml:space="preserve"> Doctoral School of Exact and Natural Sciences, Jagiellonian University, 30-348, Krakow, Poland</w:t>
      </w:r>
    </w:p>
    <w:p w14:paraId="330BFDA2" w14:textId="3D48E97C" w:rsidR="00DE2FC4" w:rsidRPr="001D60C8" w:rsidRDefault="00976569" w:rsidP="00DF5948">
      <w:pPr>
        <w:pStyle w:val="paragraph"/>
        <w:spacing w:before="0" w:after="0" w:line="360" w:lineRule="auto"/>
        <w:jc w:val="both"/>
        <w:textAlignment w:val="baseline"/>
        <w:rPr>
          <w:lang w:val="en-US"/>
        </w:rPr>
      </w:pPr>
      <w:r w:rsidRPr="002B120F">
        <w:rPr>
          <w:vertAlign w:val="superscript"/>
          <w:lang w:val="en-US"/>
        </w:rPr>
        <w:t>h</w:t>
      </w:r>
      <w:r w:rsidRPr="00976569">
        <w:rPr>
          <w:lang w:val="en-US"/>
        </w:rPr>
        <w:t xml:space="preserve"> Department of Tumor Pathology, Maria </w:t>
      </w:r>
      <w:proofErr w:type="spellStart"/>
      <w:r w:rsidRPr="00976569">
        <w:rPr>
          <w:lang w:val="en-US"/>
        </w:rPr>
        <w:t>Skłodowska</w:t>
      </w:r>
      <w:proofErr w:type="spellEnd"/>
      <w:r w:rsidRPr="00976569">
        <w:rPr>
          <w:lang w:val="en-US"/>
        </w:rPr>
        <w:t xml:space="preserve">-Curie National Research Institute of Oncology, Cracow Branch, </w:t>
      </w:r>
      <w:proofErr w:type="spellStart"/>
      <w:r w:rsidRPr="00976569">
        <w:rPr>
          <w:lang w:val="en-US"/>
        </w:rPr>
        <w:t>Garncarska</w:t>
      </w:r>
      <w:proofErr w:type="spellEnd"/>
      <w:r w:rsidRPr="00976569">
        <w:rPr>
          <w:lang w:val="en-US"/>
        </w:rPr>
        <w:t xml:space="preserve"> 11, 31-115 Cracow, Poland</w:t>
      </w:r>
    </w:p>
    <w:p w14:paraId="0C09E2E9" w14:textId="77777777" w:rsidR="002D3FFD" w:rsidRPr="00FC5E95" w:rsidRDefault="002D3FFD" w:rsidP="00DE2FC4">
      <w:pPr>
        <w:pStyle w:val="paragraph"/>
        <w:spacing w:before="0" w:after="0" w:line="360" w:lineRule="auto"/>
        <w:jc w:val="both"/>
        <w:textAlignment w:val="baseline"/>
        <w:rPr>
          <w:lang w:val="en-US"/>
        </w:rPr>
      </w:pPr>
      <w:r w:rsidRPr="00FC5E95">
        <w:rPr>
          <w:rStyle w:val="normaltextrun"/>
          <w:rFonts w:eastAsiaTheme="majorEastAsia"/>
          <w:b/>
          <w:bCs/>
          <w:color w:val="000000"/>
          <w:lang w:val="en-GB"/>
        </w:rPr>
        <w:t>Corresponding authors:</w:t>
      </w:r>
      <w:r w:rsidRPr="00FC5E95">
        <w:rPr>
          <w:rStyle w:val="eop"/>
          <w:rFonts w:eastAsiaTheme="majorEastAsia"/>
          <w:color w:val="000000"/>
          <w:lang w:val="en-GB"/>
        </w:rPr>
        <w:t> </w:t>
      </w:r>
    </w:p>
    <w:p w14:paraId="7252C5AE" w14:textId="77777777" w:rsidR="002D3FFD" w:rsidRPr="007C5387" w:rsidRDefault="002D3FFD" w:rsidP="00DE2FC4">
      <w:pPr>
        <w:pStyle w:val="paragraph"/>
        <w:spacing w:before="0" w:after="0" w:line="360" w:lineRule="auto"/>
        <w:jc w:val="both"/>
        <w:textAlignment w:val="baseline"/>
        <w:rPr>
          <w:lang w:val="en-GB"/>
        </w:rPr>
      </w:pPr>
      <w:r w:rsidRPr="007C5387">
        <w:rPr>
          <w:rStyle w:val="eop"/>
          <w:rFonts w:eastAsiaTheme="majorEastAsia"/>
          <w:color w:val="000000"/>
          <w:lang w:val="en-GB"/>
        </w:rPr>
        <w:t>Anna Zając-</w:t>
      </w:r>
      <w:proofErr w:type="spellStart"/>
      <w:r w:rsidRPr="007C5387">
        <w:rPr>
          <w:rStyle w:val="eop"/>
          <w:rFonts w:eastAsiaTheme="majorEastAsia"/>
          <w:color w:val="000000"/>
          <w:lang w:val="en-GB"/>
        </w:rPr>
        <w:t>Grabiec,PhD</w:t>
      </w:r>
      <w:proofErr w:type="spellEnd"/>
      <w:r w:rsidRPr="007C5387">
        <w:rPr>
          <w:rStyle w:val="eop"/>
          <w:rFonts w:eastAsiaTheme="majorEastAsia"/>
          <w:color w:val="000000"/>
          <w:lang w:val="en-GB"/>
        </w:rPr>
        <w:t xml:space="preserve">. </w:t>
      </w:r>
      <w:hyperlink r:id="rId5">
        <w:r w:rsidRPr="007C5387">
          <w:rPr>
            <w:rStyle w:val="Hipercze"/>
            <w:rFonts w:eastAsiaTheme="majorEastAsia"/>
            <w:color w:val="000000"/>
            <w:lang w:val="en-GB"/>
          </w:rPr>
          <w:t>anna.zajac-grabiec@ifj.edu.pl</w:t>
        </w:r>
      </w:hyperlink>
    </w:p>
    <w:p w14:paraId="6C769786" w14:textId="77777777" w:rsidR="002D3FFD" w:rsidRPr="00FC5E95" w:rsidRDefault="002D3FFD" w:rsidP="00DE2FC4">
      <w:pPr>
        <w:pStyle w:val="paragraph"/>
        <w:spacing w:before="0" w:after="0" w:line="360" w:lineRule="auto"/>
        <w:jc w:val="both"/>
        <w:textAlignment w:val="baseline"/>
        <w:rPr>
          <w:lang w:val="en-US"/>
        </w:rPr>
      </w:pPr>
      <w:r w:rsidRPr="00FC5E95">
        <w:rPr>
          <w:rStyle w:val="eop"/>
          <w:rFonts w:eastAsiaTheme="majorEastAsia"/>
          <w:color w:val="000000"/>
          <w:lang w:val="en-US"/>
        </w:rPr>
        <w:t xml:space="preserve">Department of Medical Physics, Cyclotron Centre </w:t>
      </w:r>
      <w:proofErr w:type="spellStart"/>
      <w:r w:rsidRPr="00FC5E95">
        <w:rPr>
          <w:rStyle w:val="eop"/>
          <w:rFonts w:eastAsiaTheme="majorEastAsia"/>
          <w:color w:val="000000"/>
          <w:lang w:val="en-US"/>
        </w:rPr>
        <w:t>Bronowice</w:t>
      </w:r>
      <w:proofErr w:type="spellEnd"/>
      <w:r w:rsidRPr="00FC5E95">
        <w:rPr>
          <w:rStyle w:val="eop"/>
          <w:rFonts w:eastAsiaTheme="majorEastAsia"/>
          <w:color w:val="000000"/>
          <w:lang w:val="en-US"/>
        </w:rPr>
        <w:t xml:space="preserve">, Institute of Nuclear Physics, Polish Academy of Sciences, </w:t>
      </w:r>
      <w:proofErr w:type="spellStart"/>
      <w:r w:rsidRPr="00FC5E95">
        <w:rPr>
          <w:rStyle w:val="eop"/>
          <w:rFonts w:eastAsiaTheme="majorEastAsia"/>
          <w:color w:val="000000"/>
          <w:lang w:val="en-US"/>
        </w:rPr>
        <w:t>Radzikowskiego</w:t>
      </w:r>
      <w:proofErr w:type="spellEnd"/>
      <w:r w:rsidRPr="00FC5E95">
        <w:rPr>
          <w:rStyle w:val="eop"/>
          <w:rFonts w:eastAsiaTheme="majorEastAsia"/>
          <w:color w:val="000000"/>
          <w:lang w:val="en-US"/>
        </w:rPr>
        <w:t xml:space="preserve"> 152, 31-342 Kraków, Poland. </w:t>
      </w:r>
    </w:p>
    <w:p w14:paraId="1C9FDE80" w14:textId="77777777" w:rsidR="002D3FFD" w:rsidRPr="00FC5E95" w:rsidRDefault="002D3FFD" w:rsidP="00DE2FC4">
      <w:pPr>
        <w:pStyle w:val="paragraph"/>
        <w:spacing w:before="0" w:after="0" w:line="360" w:lineRule="auto"/>
        <w:jc w:val="both"/>
        <w:textAlignment w:val="baseline"/>
      </w:pPr>
      <w:r w:rsidRPr="00FC5E95">
        <w:rPr>
          <w:rStyle w:val="eop"/>
          <w:rFonts w:eastAsiaTheme="majorEastAsia"/>
          <w:color w:val="000000"/>
        </w:rPr>
        <w:t xml:space="preserve">Anna Czopek, </w:t>
      </w:r>
      <w:proofErr w:type="spellStart"/>
      <w:r w:rsidRPr="00FC5E95">
        <w:rPr>
          <w:rStyle w:val="eop"/>
          <w:rFonts w:eastAsiaTheme="majorEastAsia"/>
          <w:color w:val="000000"/>
        </w:rPr>
        <w:t>PhD</w:t>
      </w:r>
      <w:proofErr w:type="spellEnd"/>
      <w:r w:rsidRPr="00FC5E95">
        <w:rPr>
          <w:rStyle w:val="eop"/>
          <w:rFonts w:eastAsiaTheme="majorEastAsia"/>
          <w:color w:val="000000"/>
        </w:rPr>
        <w:t xml:space="preserve">. </w:t>
      </w:r>
      <w:hyperlink r:id="rId6">
        <w:r w:rsidRPr="00FC5E95">
          <w:rPr>
            <w:rStyle w:val="Hipercze"/>
            <w:rFonts w:eastAsiaTheme="majorEastAsia"/>
            <w:color w:val="000000"/>
          </w:rPr>
          <w:t>anna.czopek@uj.edu.pl</w:t>
        </w:r>
      </w:hyperlink>
    </w:p>
    <w:p w14:paraId="3998F297" w14:textId="645545B1" w:rsidR="00B62BA6" w:rsidRPr="002D3FFD" w:rsidRDefault="002D3FFD" w:rsidP="00DE2FC4">
      <w:pPr>
        <w:spacing w:line="360" w:lineRule="auto"/>
        <w:rPr>
          <w:rFonts w:ascii="Times New Roman" w:hAnsi="Times New Roman" w:cs="Times New Roman"/>
          <w:color w:val="000000"/>
          <w:lang w:val="en-US"/>
        </w:rPr>
      </w:pPr>
      <w:r w:rsidRPr="00FC5E95">
        <w:rPr>
          <w:rStyle w:val="eop"/>
          <w:rFonts w:ascii="Times New Roman" w:hAnsi="Times New Roman" w:cs="Times New Roman"/>
          <w:color w:val="000000"/>
          <w:lang w:val="en-US"/>
        </w:rPr>
        <w:t xml:space="preserve">Department of Medicinal Chemistry, Faculty of Pharmacy, Jagiellonian University Medical College, </w:t>
      </w:r>
      <w:proofErr w:type="spellStart"/>
      <w:r w:rsidRPr="00FC5E95">
        <w:rPr>
          <w:rStyle w:val="eop"/>
          <w:rFonts w:ascii="Times New Roman" w:hAnsi="Times New Roman" w:cs="Times New Roman"/>
          <w:color w:val="000000"/>
          <w:lang w:val="en-US"/>
        </w:rPr>
        <w:t>Medyczna</w:t>
      </w:r>
      <w:proofErr w:type="spellEnd"/>
      <w:r w:rsidRPr="00FC5E95">
        <w:rPr>
          <w:rStyle w:val="eop"/>
          <w:rFonts w:ascii="Times New Roman" w:hAnsi="Times New Roman" w:cs="Times New Roman"/>
          <w:color w:val="000000"/>
          <w:lang w:val="en-US"/>
        </w:rPr>
        <w:t xml:space="preserve"> 9, 30- 688 Kraków, Poland</w:t>
      </w:r>
      <w:r w:rsidR="00B62BA6">
        <w:rPr>
          <w:lang w:val="en-US"/>
        </w:rPr>
        <w:br w:type="page"/>
      </w:r>
    </w:p>
    <w:p w14:paraId="3B9F6A9E" w14:textId="77777777" w:rsidR="00B62BA6" w:rsidRPr="00140684" w:rsidRDefault="00B62BA6" w:rsidP="00B62BA6">
      <w:pPr>
        <w:pStyle w:val="paragraph"/>
        <w:spacing w:before="0" w:after="0" w:line="480" w:lineRule="auto"/>
        <w:jc w:val="both"/>
        <w:textAlignment w:val="baseline"/>
        <w:rPr>
          <w:lang w:val="en-US"/>
        </w:rPr>
      </w:pPr>
      <w:r>
        <w:rPr>
          <w:rStyle w:val="normaltextrun"/>
          <w:b/>
          <w:bCs/>
          <w:lang w:val="en-GB"/>
        </w:rPr>
        <w:lastRenderedPageBreak/>
        <w:t>MATERIALS AND METHODS:</w:t>
      </w:r>
      <w:r>
        <w:rPr>
          <w:rStyle w:val="eop"/>
          <w:lang w:val="en-GB"/>
        </w:rPr>
        <w:t> </w:t>
      </w:r>
    </w:p>
    <w:p w14:paraId="6DC9F395" w14:textId="77777777" w:rsidR="00B62BA6" w:rsidRDefault="00B62BA6" w:rsidP="00B62BA6">
      <w:pPr>
        <w:pStyle w:val="paragraph"/>
        <w:numPr>
          <w:ilvl w:val="0"/>
          <w:numId w:val="1"/>
        </w:numPr>
        <w:spacing w:before="0" w:after="0" w:line="480" w:lineRule="auto"/>
        <w:jc w:val="both"/>
        <w:textAlignment w:val="baseline"/>
      </w:pPr>
      <w:r>
        <w:rPr>
          <w:rStyle w:val="normaltextrun"/>
          <w:b/>
          <w:bCs/>
          <w:lang w:val="en-GB"/>
        </w:rPr>
        <w:t>Cell lines and cell culture </w:t>
      </w:r>
      <w:r>
        <w:rPr>
          <w:rStyle w:val="eop"/>
          <w:lang w:val="en-GB"/>
        </w:rPr>
        <w:t> </w:t>
      </w:r>
    </w:p>
    <w:p w14:paraId="77928034" w14:textId="787C4647" w:rsidR="00B62BA6" w:rsidRPr="00423FF8" w:rsidRDefault="00B62BA6" w:rsidP="00093F30">
      <w:pPr>
        <w:pStyle w:val="paragraph"/>
        <w:spacing w:before="0" w:after="0" w:line="480" w:lineRule="auto"/>
        <w:ind w:firstLine="555"/>
        <w:jc w:val="both"/>
        <w:textAlignment w:val="baseline"/>
        <w:rPr>
          <w:lang w:val="en-US"/>
        </w:rPr>
      </w:pPr>
      <w:r>
        <w:rPr>
          <w:rStyle w:val="normaltextrun"/>
          <w:lang w:val="en-GB"/>
        </w:rPr>
        <w:t>In this study, different glioblastoma multiforme (GBM) cell lines,</w:t>
      </w:r>
      <w:r>
        <w:rPr>
          <w:color w:val="000000"/>
          <w:lang w:val="en-US"/>
        </w:rPr>
        <w:t xml:space="preserve"> methylated </w:t>
      </w:r>
      <w:r w:rsidR="00F45E05">
        <w:rPr>
          <w:color w:val="000000"/>
          <w:lang w:val="en-US"/>
        </w:rPr>
        <w:t>( U8</w:t>
      </w:r>
      <w:r w:rsidR="00093F30">
        <w:rPr>
          <w:color w:val="000000"/>
          <w:lang w:val="en-US"/>
        </w:rPr>
        <w:t xml:space="preserve">7MG, U118MG) </w:t>
      </w:r>
      <w:r>
        <w:rPr>
          <w:color w:val="000000"/>
          <w:lang w:val="en-US"/>
        </w:rPr>
        <w:t>MGMT promoters at varying concentrations.</w:t>
      </w:r>
      <w:r>
        <w:rPr>
          <w:rStyle w:val="normaltextrun"/>
          <w:lang w:val="en-GB"/>
        </w:rPr>
        <w:t xml:space="preserve"> A human fibroblast line (</w:t>
      </w:r>
      <w:proofErr w:type="spellStart"/>
      <w:r>
        <w:rPr>
          <w:rStyle w:val="normaltextrun"/>
          <w:lang w:val="en-GB"/>
        </w:rPr>
        <w:t>hFib</w:t>
      </w:r>
      <w:proofErr w:type="spellEnd"/>
      <w:r>
        <w:rPr>
          <w:rStyle w:val="normaltextrun"/>
          <w:lang w:val="en-GB"/>
        </w:rPr>
        <w:t xml:space="preserve">) obtained from a healthy donor were used as a control system. </w:t>
      </w:r>
      <w:r>
        <w:rPr>
          <w:rStyle w:val="normaltextrun"/>
          <w:lang w:val="en-US"/>
        </w:rPr>
        <w:t xml:space="preserve">Cell lines were purchased from the American Type Culture Collection (U118 MG, Cat. No. HTB-15; </w:t>
      </w:r>
      <w:r w:rsidR="00093F30">
        <w:rPr>
          <w:rStyle w:val="normaltextrun"/>
          <w:lang w:val="en-US"/>
        </w:rPr>
        <w:t>U87 MG, Cat. No</w:t>
      </w:r>
      <w:r w:rsidR="00F45E05">
        <w:rPr>
          <w:rStyle w:val="normaltextrun"/>
          <w:lang w:val="en-US"/>
        </w:rPr>
        <w:t xml:space="preserve">. </w:t>
      </w:r>
      <w:r w:rsidR="00093F30">
        <w:rPr>
          <w:rStyle w:val="normaltextrun"/>
          <w:lang w:val="en-US"/>
        </w:rPr>
        <w:t xml:space="preserve">HTB-14). </w:t>
      </w:r>
      <w:r>
        <w:rPr>
          <w:rStyle w:val="normaltextrun"/>
          <w:lang w:val="en-US"/>
        </w:rPr>
        <w:t xml:space="preserve">Cell lines U118 </w:t>
      </w:r>
      <w:r w:rsidR="00093F30">
        <w:rPr>
          <w:rStyle w:val="normaltextrun"/>
          <w:lang w:val="en-US"/>
        </w:rPr>
        <w:t>was</w:t>
      </w:r>
      <w:r>
        <w:rPr>
          <w:rStyle w:val="normaltextrun"/>
          <w:lang w:val="en-US"/>
        </w:rPr>
        <w:t xml:space="preserve"> cultured with Dulbecco’s Modified Eagle’s Medium (Cat. No. 30-2002, ATCC), and U-87 with Eagle’s Minimum Essentia</w:t>
      </w:r>
      <w:r w:rsidR="00093F30">
        <w:rPr>
          <w:rStyle w:val="normaltextrun"/>
          <w:lang w:val="en-US"/>
        </w:rPr>
        <w:t>l Medium (Cat. No. 30-2003, ATCC).</w:t>
      </w:r>
      <w:r>
        <w:rPr>
          <w:rStyle w:val="normaltextrun"/>
          <w:lang w:val="en-US"/>
        </w:rPr>
        <w:t xml:space="preserve"> Medium for U118 cell line was supplemented with 10% fetal bovine serum (Cat. No. F7524, Sigma-Aldrich Inc). In the case of the U87 cell culture, fetal bovine serum (Cat. No. 30-2020, ATCC) was applied. All cell cultures were incubated at 37˚C and 5% CO</w:t>
      </w:r>
      <w:r>
        <w:rPr>
          <w:rStyle w:val="normaltextrun"/>
          <w:vertAlign w:val="subscript"/>
          <w:lang w:val="en-US"/>
        </w:rPr>
        <w:t>2</w:t>
      </w:r>
      <w:r>
        <w:rPr>
          <w:rStyle w:val="normaltextrun"/>
          <w:lang w:val="en-US"/>
        </w:rPr>
        <w:t xml:space="preserve">. </w:t>
      </w:r>
    </w:p>
    <w:p w14:paraId="127A6724" w14:textId="101D15C6" w:rsidR="00B62BA6" w:rsidRDefault="00B62BA6" w:rsidP="007C0746">
      <w:pPr>
        <w:pStyle w:val="paragraph"/>
        <w:spacing w:before="0" w:after="0" w:line="480" w:lineRule="auto"/>
        <w:ind w:firstLine="555"/>
        <w:jc w:val="both"/>
        <w:textAlignment w:val="baseline"/>
      </w:pPr>
      <w:r>
        <w:rPr>
          <w:rStyle w:val="normaltextrun"/>
          <w:color w:val="000000"/>
          <w:lang w:val="en-GB"/>
        </w:rPr>
        <w:t xml:space="preserve">To obtain a self-derived </w:t>
      </w:r>
      <w:proofErr w:type="spellStart"/>
      <w:r>
        <w:rPr>
          <w:rStyle w:val="normaltextrun"/>
          <w:color w:val="000000"/>
          <w:lang w:val="en-GB"/>
        </w:rPr>
        <w:t>hFib</w:t>
      </w:r>
      <w:proofErr w:type="spellEnd"/>
      <w:r>
        <w:rPr>
          <w:rStyle w:val="normaltextrun"/>
          <w:color w:val="000000"/>
          <w:lang w:val="en-GB"/>
        </w:rPr>
        <w:t xml:space="preserve"> that served as a control,</w:t>
      </w:r>
      <w:r>
        <w:rPr>
          <w:rStyle w:val="eop"/>
          <w:color w:val="000000"/>
          <w:lang w:val="en-GB"/>
        </w:rPr>
        <w:t> </w:t>
      </w:r>
      <w:r>
        <w:rPr>
          <w:rStyle w:val="normaltextrun"/>
          <w:color w:val="000000"/>
          <w:lang w:val="en-GB"/>
        </w:rPr>
        <w:t xml:space="preserve">a fragment of the epidermis was taken from a healthy person (woman, 42 years). A small fragment was cut from the inner side of the forearm using a disposable scalpel and incubated for 24 hours in a Dulbecco’s Modified Eagle’s Medium (Cat. No. 31966021, </w:t>
      </w:r>
      <w:proofErr w:type="spellStart"/>
      <w:r>
        <w:rPr>
          <w:rStyle w:val="normaltextrun"/>
          <w:color w:val="000000"/>
          <w:shd w:val="clear" w:color="auto" w:fill="FFFFFF"/>
          <w:lang w:val="en-GB"/>
        </w:rPr>
        <w:t>Thermofisher</w:t>
      </w:r>
      <w:proofErr w:type="spellEnd"/>
      <w:r>
        <w:rPr>
          <w:rStyle w:val="normaltextrun"/>
          <w:color w:val="000000"/>
          <w:shd w:val="clear" w:color="auto" w:fill="FFFFFF"/>
          <w:lang w:val="en-GB"/>
        </w:rPr>
        <w:t>,</w:t>
      </w:r>
      <w:r>
        <w:rPr>
          <w:rStyle w:val="normaltextrun"/>
          <w:color w:val="000000"/>
          <w:lang w:val="en-GB"/>
        </w:rPr>
        <w:t xml:space="preserve"> </w:t>
      </w:r>
      <w:proofErr w:type="spellStart"/>
      <w:r>
        <w:rPr>
          <w:rStyle w:val="normaltextrun"/>
          <w:color w:val="000000"/>
          <w:lang w:val="en-GB"/>
        </w:rPr>
        <w:t>Walthamsupplemented</w:t>
      </w:r>
      <w:proofErr w:type="spellEnd"/>
      <w:r>
        <w:rPr>
          <w:rStyle w:val="normaltextrun"/>
          <w:color w:val="000000"/>
          <w:lang w:val="en-GB"/>
        </w:rPr>
        <w:t xml:space="preserve"> with collagenase, type I, (Cat. No. SCR103, Sigma-Aldrich, Inc.), 10% heat-inactivated </w:t>
      </w:r>
      <w:proofErr w:type="spellStart"/>
      <w:r>
        <w:rPr>
          <w:rStyle w:val="normaltextrun"/>
          <w:color w:val="000000"/>
          <w:lang w:val="en-GB"/>
        </w:rPr>
        <w:t>fetal</w:t>
      </w:r>
      <w:proofErr w:type="spellEnd"/>
      <w:r>
        <w:rPr>
          <w:rStyle w:val="normaltextrun"/>
          <w:color w:val="000000"/>
          <w:lang w:val="en-GB"/>
        </w:rPr>
        <w:t xml:space="preserve"> bovine serum (Cat. No. F9665, Sigma-Aldrich Inc.), 1% sodium pyruvate (Cat. No. P5280, Sigma-Aldrich Inc.) and antibiotic antimycotic solution (Cat. No. A5955, Sigma-Aldrich.). After 24 hours, the epidermis fragment was cut into smaller pieces and transferred to a culture bottle. Cells from 4-5 passages were used for the experiments.</w:t>
      </w:r>
      <w:r>
        <w:rPr>
          <w:rStyle w:val="eop"/>
          <w:color w:val="000000"/>
          <w:lang w:val="en-GB"/>
        </w:rPr>
        <w:t> </w:t>
      </w:r>
    </w:p>
    <w:p w14:paraId="7CD38C9E" w14:textId="561F3658" w:rsidR="00B62BA6" w:rsidRDefault="000C23B9" w:rsidP="00B62BA6">
      <w:pPr>
        <w:pStyle w:val="paragraph"/>
        <w:numPr>
          <w:ilvl w:val="0"/>
          <w:numId w:val="1"/>
        </w:numPr>
        <w:spacing w:before="0" w:after="0" w:line="480" w:lineRule="auto"/>
        <w:jc w:val="both"/>
        <w:textAlignment w:val="baseline"/>
      </w:pPr>
      <w:proofErr w:type="spellStart"/>
      <w:r>
        <w:rPr>
          <w:rStyle w:val="normaltextrun"/>
          <w:b/>
          <w:bCs/>
          <w:lang w:val="en-US"/>
        </w:rPr>
        <w:t>Chemiotherapeutics</w:t>
      </w:r>
      <w:proofErr w:type="spellEnd"/>
    </w:p>
    <w:p w14:paraId="5AC6809C" w14:textId="77777777" w:rsidR="00B62BA6" w:rsidRPr="000C23B9" w:rsidRDefault="00B62BA6" w:rsidP="00B62BA6">
      <w:pPr>
        <w:pStyle w:val="paragraph"/>
        <w:spacing w:before="0" w:after="0" w:line="480" w:lineRule="auto"/>
        <w:jc w:val="both"/>
        <w:textAlignment w:val="baseline"/>
        <w:rPr>
          <w:lang w:val="en-US"/>
        </w:rPr>
      </w:pPr>
      <w:r>
        <w:rPr>
          <w:rStyle w:val="eop"/>
          <w:color w:val="000000"/>
          <w:u w:val="single"/>
          <w:shd w:val="clear" w:color="auto" w:fill="FFFFFF"/>
          <w:lang w:val="en-GB"/>
        </w:rPr>
        <w:t>2.1 Chemotherapeutics and their chemical synthesis</w:t>
      </w:r>
    </w:p>
    <w:p w14:paraId="236D8AE7" w14:textId="55489C3D" w:rsidR="000C23B9" w:rsidRPr="007C0746" w:rsidRDefault="00B62BA6" w:rsidP="000C23B9">
      <w:pPr>
        <w:spacing w:after="0" w:line="480" w:lineRule="auto"/>
        <w:ind w:firstLine="567"/>
        <w:contextualSpacing/>
        <w:jc w:val="both"/>
        <w:rPr>
          <w:rFonts w:ascii="Times New Roman" w:hAnsi="Times New Roman" w:cs="Times New Roman"/>
          <w:color w:val="000000"/>
          <w:lang w:val="en-GB" w:eastAsia="pl-PL"/>
        </w:rPr>
      </w:pPr>
      <w:r w:rsidRPr="002B120F">
        <w:rPr>
          <w:rFonts w:ascii="Times New Roman" w:hAnsi="Times New Roman" w:cs="Times New Roman"/>
          <w:shd w:val="clear" w:color="auto" w:fill="FFFFFF"/>
          <w:lang w:val="en-GB"/>
        </w:rPr>
        <w:t xml:space="preserve">Temozolomide (TMZ) and oxaliplatin (OXA) were obtained from Sigma-Aldrich (Cat. No. T2577 and Cat. No. PHR1528, St. Louis, MO). </w:t>
      </w:r>
      <w:r w:rsidR="000C23B9" w:rsidRPr="002B120F">
        <w:rPr>
          <w:rFonts w:ascii="Times New Roman" w:eastAsia="Times New Roman" w:hAnsi="Times New Roman" w:cs="Times New Roman"/>
          <w:color w:val="000000"/>
          <w:lang w:val="en-GB" w:eastAsia="pl-PL"/>
        </w:rPr>
        <w:t xml:space="preserve">The starting reagent for OLA synthesis, 2-fluoro-5-((4-oxo-3,4-dihydrophthalazin-1-yl)methyl)benzoic acid, was commercially available </w:t>
      </w:r>
      <w:r w:rsidR="000C23B9" w:rsidRPr="002B120F">
        <w:rPr>
          <w:rFonts w:ascii="Times New Roman" w:eastAsia="Times New Roman" w:hAnsi="Times New Roman" w:cs="Times New Roman"/>
          <w:color w:val="000000"/>
          <w:lang w:val="en-GB" w:eastAsia="pl-PL"/>
        </w:rPr>
        <w:lastRenderedPageBreak/>
        <w:t xml:space="preserve">(Cat. No. A330791, </w:t>
      </w:r>
      <w:proofErr w:type="spellStart"/>
      <w:r w:rsidR="000C23B9" w:rsidRPr="002B120F">
        <w:rPr>
          <w:rFonts w:ascii="Times New Roman" w:eastAsia="Times New Roman" w:hAnsi="Times New Roman" w:cs="Times New Roman"/>
          <w:color w:val="000000"/>
          <w:lang w:val="en-GB" w:eastAsia="pl-PL"/>
        </w:rPr>
        <w:t>Angene</w:t>
      </w:r>
      <w:proofErr w:type="spellEnd"/>
      <w:r w:rsidR="000C23B9" w:rsidRPr="002B120F">
        <w:rPr>
          <w:rFonts w:ascii="Times New Roman" w:eastAsia="Times New Roman" w:hAnsi="Times New Roman" w:cs="Times New Roman"/>
          <w:color w:val="000000"/>
          <w:lang w:val="en-GB" w:eastAsia="pl-PL"/>
        </w:rPr>
        <w:t xml:space="preserve">). All three drugs were dissolved in </w:t>
      </w:r>
      <w:r w:rsidR="000C23B9" w:rsidRPr="002B120F">
        <w:rPr>
          <w:rFonts w:ascii="Times New Roman" w:eastAsia="Times New Roman" w:hAnsi="Times New Roman" w:cs="Times New Roman"/>
          <w:color w:val="000000"/>
          <w:lang w:val="en-US" w:eastAsia="pl-PL"/>
        </w:rPr>
        <w:t>dimethyl sulfoxide</w:t>
      </w:r>
      <w:r w:rsidR="000C23B9" w:rsidRPr="002B120F">
        <w:rPr>
          <w:rFonts w:ascii="Times New Roman" w:eastAsia="Times New Roman" w:hAnsi="Times New Roman" w:cs="Times New Roman"/>
          <w:color w:val="000000"/>
          <w:lang w:val="en-GB" w:eastAsia="pl-PL"/>
        </w:rPr>
        <w:t xml:space="preserve"> (DMSO) (Cat. 3176, </w:t>
      </w:r>
      <w:proofErr w:type="spellStart"/>
      <w:r w:rsidR="000C23B9" w:rsidRPr="002B120F">
        <w:rPr>
          <w:rFonts w:ascii="Times New Roman" w:eastAsia="Times New Roman" w:hAnsi="Times New Roman" w:cs="Times New Roman"/>
          <w:color w:val="000000"/>
          <w:lang w:val="en-GB" w:eastAsia="pl-PL"/>
        </w:rPr>
        <w:t>Tocris</w:t>
      </w:r>
      <w:proofErr w:type="spellEnd"/>
      <w:r w:rsidR="000C23B9" w:rsidRPr="002B120F">
        <w:rPr>
          <w:rFonts w:ascii="Times New Roman" w:eastAsia="Times New Roman" w:hAnsi="Times New Roman" w:cs="Times New Roman"/>
          <w:color w:val="000000"/>
          <w:lang w:val="en-GB" w:eastAsia="pl-PL"/>
        </w:rPr>
        <w:t xml:space="preserve">) to create a stock solution of 10 </w:t>
      </w:r>
      <w:proofErr w:type="spellStart"/>
      <w:r w:rsidR="000C23B9" w:rsidRPr="002B120F">
        <w:rPr>
          <w:rFonts w:ascii="Times New Roman" w:eastAsia="Times New Roman" w:hAnsi="Times New Roman" w:cs="Times New Roman"/>
          <w:color w:val="000000"/>
          <w:lang w:val="en-GB" w:eastAsia="pl-PL"/>
        </w:rPr>
        <w:t>mM.</w:t>
      </w:r>
      <w:proofErr w:type="spellEnd"/>
      <w:r w:rsidR="000C23B9" w:rsidRPr="002B120F">
        <w:rPr>
          <w:rFonts w:ascii="Times New Roman" w:eastAsia="Times New Roman" w:hAnsi="Times New Roman" w:cs="Times New Roman"/>
          <w:color w:val="000000"/>
          <w:lang w:val="en-GB" w:eastAsia="pl-PL"/>
        </w:rPr>
        <w:t xml:space="preserve"> In the cellular experiments, the starting concentration was OLA</w:t>
      </w:r>
      <w:r w:rsidR="000C23B9" w:rsidRPr="002B120F">
        <w:rPr>
          <w:rFonts w:ascii="Times New Roman" w:hAnsi="Times New Roman" w:cs="Times New Roman"/>
          <w:color w:val="000000"/>
          <w:lang w:val="en-GB" w:eastAsia="pl-PL"/>
        </w:rPr>
        <w:t xml:space="preserve"> 1µM, TMZ 10 µM, and OXA 50 µM.</w:t>
      </w:r>
    </w:p>
    <w:p w14:paraId="0C40BA37" w14:textId="6353DDB6" w:rsidR="00B62BA6" w:rsidRDefault="00B62BA6" w:rsidP="00B62BA6">
      <w:pPr>
        <w:pStyle w:val="paragraph"/>
        <w:spacing w:before="0" w:after="0" w:line="480" w:lineRule="auto"/>
        <w:ind w:firstLine="567"/>
        <w:jc w:val="both"/>
        <w:textAlignment w:val="baseline"/>
        <w:rPr>
          <w:shd w:val="clear" w:color="auto" w:fill="FFFFFF"/>
          <w:lang w:val="en-US"/>
        </w:rPr>
      </w:pPr>
      <w:r w:rsidRPr="0019685C">
        <w:rPr>
          <w:color w:val="000000"/>
          <w:shd w:val="clear" w:color="auto" w:fill="FFFFFF"/>
          <w:lang w:val="en-GB"/>
        </w:rPr>
        <w:t>Olaparib (OLA) was synthesized through a three-step process following the literature data [https://doi.org/10.1021/jm8001263].</w:t>
      </w:r>
      <w:r w:rsidRPr="0019685C">
        <w:rPr>
          <w:shd w:val="clear" w:color="auto" w:fill="FFFFFF"/>
          <w:lang w:val="en-GB"/>
        </w:rPr>
        <w:t xml:space="preserve"> </w:t>
      </w:r>
      <w:r w:rsidRPr="0019685C">
        <w:rPr>
          <w:shd w:val="clear" w:color="auto" w:fill="FFFFFF"/>
          <w:lang w:val="en-US"/>
        </w:rPr>
        <w:t>The starting substrate for OLA synthesis, 2-fluoro-5-((4-oxo-3,4-dihydrophthalazin-1-yl)methyl)benzoic acid was commercially available (</w:t>
      </w:r>
      <w:proofErr w:type="spellStart"/>
      <w:r w:rsidRPr="0019685C">
        <w:rPr>
          <w:shd w:val="clear" w:color="auto" w:fill="FFFFFF"/>
          <w:lang w:val="en-US"/>
        </w:rPr>
        <w:t>Angene</w:t>
      </w:r>
      <w:proofErr w:type="spellEnd"/>
      <w:r w:rsidRPr="0019685C">
        <w:rPr>
          <w:shd w:val="clear" w:color="auto" w:fill="FFFFFF"/>
          <w:lang w:val="en-US"/>
        </w:rPr>
        <w:t>).</w:t>
      </w:r>
    </w:p>
    <w:p w14:paraId="2A3485C8" w14:textId="15E0A484" w:rsidR="00B62BA6" w:rsidRPr="00423FF8" w:rsidRDefault="00B62BA6" w:rsidP="00B62BA6">
      <w:pPr>
        <w:pStyle w:val="paragraph"/>
        <w:spacing w:before="0" w:after="0" w:line="480" w:lineRule="auto"/>
        <w:ind w:firstLine="567"/>
        <w:jc w:val="both"/>
        <w:textAlignment w:val="baseline"/>
        <w:rPr>
          <w:lang w:val="en-US"/>
        </w:rPr>
      </w:pPr>
      <w:r>
        <w:rPr>
          <w:shd w:val="clear" w:color="auto" w:fill="FFFFFF"/>
          <w:lang w:val="en-US"/>
        </w:rPr>
        <w:t xml:space="preserve">Thin-layer chromatography (TLC) was performed on Merck silica gel 60 F254 aluminum sheets (Merck, Darmstadt, Germany) using the following solvent systems: S1 - dichloromethane/methanol (9:0.7, v/v) and S2 - dichloromethane/methanol/ammonia (9:0.7:0.15, v/v). Spots were visualized by their UV absorption at 254 nm. HPLC analyses were conducted using a Waters HPLC system equipped with a photodiode array detector (Waters 2998, Milford, USA) and a </w:t>
      </w:r>
      <w:proofErr w:type="spellStart"/>
      <w:r>
        <w:rPr>
          <w:shd w:val="clear" w:color="auto" w:fill="FFFFFF"/>
          <w:lang w:val="en-US"/>
        </w:rPr>
        <w:t>Chromolith</w:t>
      </w:r>
      <w:proofErr w:type="spellEnd"/>
      <w:r>
        <w:rPr>
          <w:shd w:val="clear" w:color="auto" w:fill="FFFFFF"/>
          <w:lang w:val="en-US"/>
        </w:rPr>
        <w:t xml:space="preserve"> RP-18 </w:t>
      </w:r>
      <w:proofErr w:type="spellStart"/>
      <w:r>
        <w:rPr>
          <w:shd w:val="clear" w:color="auto" w:fill="FFFFFF"/>
          <w:lang w:val="en-US"/>
        </w:rPr>
        <w:t>SpeedROD</w:t>
      </w:r>
      <w:proofErr w:type="spellEnd"/>
      <w:r>
        <w:rPr>
          <w:shd w:val="clear" w:color="auto" w:fill="FFFFFF"/>
          <w:lang w:val="en-US"/>
        </w:rPr>
        <w:t xml:space="preserve"> column (4.6 × 50 mm). The conditions included a flow rate of 5 mL/min with eluent A (water containing 0.1% TFA) and eluent B (acetonitrile containing 0.1% TFA). A gradient of 0–100% eluent B over 3 minutes was applied. Standard solutions of each compound (1 mg/mL) were prepared in acetonitrile/water (50:50, v/v) with 0.1% TFA, and detection was carried out at 214 nm. The purity of the investigated compounds (1–16) was greater than 95%. Mass spectra for the compounds were acquired using a Waters ACQUITY™ TQD system with a TQ Detector (Waters, Milford, USA) and an ACQUITY UPLC BEH C18 column (1.7 µm, 2.1 × 50 mm, Waters, Milford, USA). NMR spectra were recorded on a JEOL spectrometer operating at 500 (</w:t>
      </w:r>
      <w:r>
        <w:rPr>
          <w:shd w:val="clear" w:color="auto" w:fill="FFFFFF"/>
          <w:vertAlign w:val="superscript"/>
          <w:lang w:val="en-GB"/>
        </w:rPr>
        <w:t>1</w:t>
      </w:r>
      <w:r>
        <w:rPr>
          <w:shd w:val="clear" w:color="auto" w:fill="FFFFFF"/>
          <w:lang w:val="en-GB"/>
        </w:rPr>
        <w:t>H NMR</w:t>
      </w:r>
      <w:r>
        <w:rPr>
          <w:shd w:val="clear" w:color="auto" w:fill="FFFFFF"/>
          <w:lang w:val="en-US"/>
        </w:rPr>
        <w:t>) and 126 (</w:t>
      </w:r>
      <w:r>
        <w:rPr>
          <w:shd w:val="clear" w:color="auto" w:fill="FFFFFF"/>
          <w:vertAlign w:val="superscript"/>
          <w:lang w:val="en-GB"/>
        </w:rPr>
        <w:t>13</w:t>
      </w:r>
      <w:r>
        <w:rPr>
          <w:shd w:val="clear" w:color="auto" w:fill="FFFFFF"/>
          <w:lang w:val="en-GB"/>
        </w:rPr>
        <w:t>C NMR</w:t>
      </w:r>
      <w:r>
        <w:rPr>
          <w:shd w:val="clear" w:color="auto" w:fill="FFFFFF"/>
          <w:lang w:val="en-US"/>
        </w:rPr>
        <w:t xml:space="preserve">) </w:t>
      </w:r>
      <w:proofErr w:type="spellStart"/>
      <w:r>
        <w:rPr>
          <w:shd w:val="clear" w:color="auto" w:fill="FFFFFF"/>
          <w:lang w:val="en-US"/>
        </w:rPr>
        <w:t>MHz.</w:t>
      </w:r>
      <w:proofErr w:type="spellEnd"/>
      <w:r>
        <w:rPr>
          <w:shd w:val="clear" w:color="auto" w:fill="FFFFFF"/>
          <w:lang w:val="en-US"/>
        </w:rPr>
        <w:t xml:space="preserve"> The measurements were performed in </w:t>
      </w:r>
      <w:proofErr w:type="spellStart"/>
      <w:r>
        <w:rPr>
          <w:shd w:val="clear" w:color="auto" w:fill="FFFFFF"/>
          <w:lang w:val="en-US"/>
        </w:rPr>
        <w:t>CDCl</w:t>
      </w:r>
      <w:proofErr w:type="spellEnd"/>
      <w:r>
        <w:rPr>
          <w:shd w:val="clear" w:color="auto" w:fill="FFFFFF"/>
          <w:lang w:val="en-US"/>
        </w:rPr>
        <w:t xml:space="preserve">₃ or </w:t>
      </w:r>
      <w:proofErr w:type="spellStart"/>
      <w:r w:rsidR="00DF5948">
        <w:rPr>
          <w:shd w:val="clear" w:color="auto" w:fill="FFFFFF"/>
          <w:lang w:val="en-US"/>
        </w:rPr>
        <w:t>hatu</w:t>
      </w:r>
      <w:proofErr w:type="spellEnd"/>
      <w:r>
        <w:rPr>
          <w:shd w:val="clear" w:color="auto" w:fill="FFFFFF"/>
          <w:lang w:val="en-US"/>
        </w:rPr>
        <w:t xml:space="preserve"> solution with </w:t>
      </w:r>
      <w:proofErr w:type="spellStart"/>
      <w:r>
        <w:rPr>
          <w:shd w:val="clear" w:color="auto" w:fill="FFFFFF"/>
          <w:lang w:val="en-US"/>
        </w:rPr>
        <w:t>tetramethylsilane</w:t>
      </w:r>
      <w:proofErr w:type="spellEnd"/>
      <w:r>
        <w:rPr>
          <w:shd w:val="clear" w:color="auto" w:fill="FFFFFF"/>
          <w:lang w:val="en-US"/>
        </w:rPr>
        <w:t xml:space="preserve"> (TMS) as the internal standard. Chemical shifts are reported as δ values (ppm), and coupling constants (J) are expressed in Hertz (Hz). Signal multiplicities are denoted as follows: s (singlet), </w:t>
      </w:r>
      <w:proofErr w:type="spellStart"/>
      <w:r>
        <w:rPr>
          <w:shd w:val="clear" w:color="auto" w:fill="FFFFFF"/>
          <w:lang w:val="en-US"/>
        </w:rPr>
        <w:t>br</w:t>
      </w:r>
      <w:proofErr w:type="spellEnd"/>
      <w:r>
        <w:rPr>
          <w:shd w:val="clear" w:color="auto" w:fill="FFFFFF"/>
          <w:lang w:val="en-US"/>
        </w:rPr>
        <w:t xml:space="preserve"> s (broad singlet), d (doublet), dd (double doublet), t (triplet), dt (doublet of triplets), td (triplet of doublets), and m (</w:t>
      </w:r>
      <w:proofErr w:type="spellStart"/>
      <w:r>
        <w:rPr>
          <w:shd w:val="clear" w:color="auto" w:fill="FFFFFF"/>
          <w:lang w:val="en-US"/>
        </w:rPr>
        <w:t>multiplet</w:t>
      </w:r>
      <w:proofErr w:type="spellEnd"/>
      <w:r>
        <w:rPr>
          <w:shd w:val="clear" w:color="auto" w:fill="FFFFFF"/>
          <w:lang w:val="en-US"/>
        </w:rPr>
        <w:t>).</w:t>
      </w:r>
    </w:p>
    <w:p w14:paraId="3BFD0D2B" w14:textId="2F319F31" w:rsidR="00B62BA6" w:rsidRPr="002B120F" w:rsidRDefault="00DF6F07" w:rsidP="00B62BA6">
      <w:pPr>
        <w:pStyle w:val="paragraph"/>
        <w:spacing w:before="0" w:after="0" w:line="480" w:lineRule="auto"/>
        <w:ind w:firstLine="555"/>
        <w:jc w:val="both"/>
        <w:textAlignment w:val="baseline"/>
        <w:rPr>
          <w:lang w:val="en-US"/>
        </w:rPr>
      </w:pPr>
      <w:r w:rsidRPr="002B120F">
        <w:rPr>
          <w:rStyle w:val="normaltextrun"/>
          <w:b/>
          <w:bCs/>
          <w:lang w:val="en-US"/>
        </w:rPr>
        <w:lastRenderedPageBreak/>
        <w:t xml:space="preserve">Procedure for the synthesis of </w:t>
      </w:r>
      <w:r w:rsidRPr="002B120F">
        <w:rPr>
          <w:rStyle w:val="normaltextrun"/>
          <w:b/>
          <w:bCs/>
          <w:i/>
          <w:iCs/>
          <w:lang w:val="en-US"/>
        </w:rPr>
        <w:t>4-(4-fluoro-3-(piperazine-1-carbonyl)benzyl)phthalazin-1(2H)-one</w:t>
      </w:r>
      <w:r w:rsidRPr="002B120F">
        <w:rPr>
          <w:rStyle w:val="normaltextrun"/>
          <w:b/>
          <w:bCs/>
          <w:lang w:val="en-US"/>
        </w:rPr>
        <w:t xml:space="preserve"> </w:t>
      </w:r>
      <w:r w:rsidR="00B62BA6" w:rsidRPr="002B120F">
        <w:rPr>
          <w:rStyle w:val="normaltextrun"/>
          <w:b/>
          <w:bCs/>
          <w:lang w:val="en-US"/>
        </w:rPr>
        <w:t>(2)</w:t>
      </w:r>
      <w:r w:rsidR="00B62BA6" w:rsidRPr="002B120F">
        <w:rPr>
          <w:rStyle w:val="eop"/>
          <w:lang w:val="en-GB"/>
        </w:rPr>
        <w:t> </w:t>
      </w:r>
    </w:p>
    <w:p w14:paraId="53587D38" w14:textId="58454D53" w:rsidR="00B62BA6" w:rsidRPr="00F45E05" w:rsidRDefault="00B62BA6" w:rsidP="00B62BA6">
      <w:pPr>
        <w:pStyle w:val="paragraph"/>
        <w:spacing w:before="0" w:after="0" w:line="480" w:lineRule="auto"/>
        <w:ind w:firstLine="555"/>
        <w:jc w:val="both"/>
        <w:textAlignment w:val="baseline"/>
        <w:rPr>
          <w:lang w:val="en-US"/>
        </w:rPr>
      </w:pPr>
      <w:r w:rsidRPr="002B120F">
        <w:rPr>
          <w:rStyle w:val="normaltextrun"/>
          <w:lang w:val="en-US"/>
        </w:rPr>
        <w:t xml:space="preserve">In a round-bottom flask, 2-fluoro-5-((4-oxo-3,4-dihydrophthalazin-1-yl)methyl)benzoic acid (1.7 mmol), BOC-piperazine (2.0 mmol), and TBTU (2.0 mmol) were dissolved in 4 mL anhydrous dimethylformamide (DMF). </w:t>
      </w:r>
      <w:r w:rsidRPr="002B120F">
        <w:rPr>
          <w:rStyle w:val="normaltextrun"/>
          <w:lang w:val="en-GB"/>
        </w:rPr>
        <w:t>Following the addition of triethylamine (3.3 mmol), the mixture was stirred at room temperature for 2 hours. Then distilled water (~7 mL) was added, and the mixture was cooled to 0°C for 1 h. It was filtered and then washed with an ice-cold DMF/water mixture (1/1), distilled water, isopropanol, and diethyl ether (2x2 mL each).</w:t>
      </w:r>
      <w:r w:rsidRPr="002B120F">
        <w:rPr>
          <w:rStyle w:val="eop"/>
          <w:lang w:val="en-GB"/>
        </w:rPr>
        <w:t> </w:t>
      </w:r>
      <w:r w:rsidR="00873AC5" w:rsidRPr="002B120F">
        <w:rPr>
          <w:rStyle w:val="eop"/>
          <w:lang w:val="en-GB"/>
        </w:rPr>
        <w:t>Then, obtained compound</w:t>
      </w:r>
      <w:r w:rsidRPr="002B120F">
        <w:rPr>
          <w:rStyle w:val="normaltextrun"/>
          <w:lang w:val="en-GB"/>
        </w:rPr>
        <w:t xml:space="preserve"> (3.3 mmol) was dissolved in 4 mL of ethanol, mixed with 6N hydrochloric acid (7 mL), and stirred at room temperature for 3 hours. Then, the reaction mixture was adjusted to pH 10 using sodium bicarbonate and extracted with dichloromethane (3 x 20 mL). The organic layers were combined, dried over sodium sulphate, filtered, and concentrated.</w:t>
      </w:r>
      <w:r w:rsidRPr="00F45E05">
        <w:rPr>
          <w:rStyle w:val="eop"/>
          <w:lang w:val="en-GB"/>
        </w:rPr>
        <w:t> </w:t>
      </w:r>
    </w:p>
    <w:p w14:paraId="04C8BBB8" w14:textId="33126747" w:rsidR="00B62BA6" w:rsidRPr="00140684" w:rsidRDefault="00B62BA6" w:rsidP="00B62BA6">
      <w:pPr>
        <w:pStyle w:val="paragraph"/>
        <w:spacing w:before="0" w:after="0" w:line="480" w:lineRule="auto"/>
        <w:ind w:firstLine="555"/>
        <w:jc w:val="both"/>
        <w:textAlignment w:val="baseline"/>
        <w:rPr>
          <w:lang w:val="en-US"/>
        </w:rPr>
      </w:pPr>
      <w:r w:rsidRPr="00F45E05">
        <w:rPr>
          <w:rStyle w:val="normaltextrun"/>
          <w:lang w:val="en-US"/>
        </w:rPr>
        <w:t xml:space="preserve">White powder. </w:t>
      </w:r>
      <w:r w:rsidRPr="00F45E05">
        <w:rPr>
          <w:rStyle w:val="normaltextrun"/>
          <w:lang w:val="en-GB"/>
        </w:rPr>
        <w:t>Yield: 77%; TLC: R</w:t>
      </w:r>
      <w:r w:rsidRPr="002B120F">
        <w:rPr>
          <w:rStyle w:val="normaltextrun"/>
          <w:vertAlign w:val="subscript"/>
          <w:lang w:val="en-GB"/>
        </w:rPr>
        <w:t>f</w:t>
      </w:r>
      <w:r w:rsidRPr="00F45E05">
        <w:rPr>
          <w:rStyle w:val="normaltextrun"/>
          <w:lang w:val="en-GB"/>
        </w:rPr>
        <w:t xml:space="preserve"> = 0.2 (S2); HPLC: R</w:t>
      </w:r>
      <w:r w:rsidRPr="002B120F">
        <w:rPr>
          <w:rStyle w:val="normaltextrun"/>
          <w:lang w:val="en-GB"/>
        </w:rPr>
        <w:t>t</w:t>
      </w:r>
      <w:r w:rsidRPr="00F45E05">
        <w:rPr>
          <w:rStyle w:val="normaltextrun"/>
          <w:lang w:val="en-GB"/>
        </w:rPr>
        <w:t xml:space="preserve"> = </w:t>
      </w:r>
      <w:r w:rsidRPr="00F45E05">
        <w:rPr>
          <w:rStyle w:val="normaltextrun"/>
          <w:lang w:val="en-US"/>
        </w:rPr>
        <w:t>0,719</w:t>
      </w:r>
      <w:r w:rsidRPr="00F45E05">
        <w:rPr>
          <w:rStyle w:val="normaltextrun"/>
          <w:lang w:val="en-GB"/>
        </w:rPr>
        <w:t xml:space="preserve"> (99%), </w:t>
      </w:r>
      <w:r w:rsidRPr="002B120F">
        <w:rPr>
          <w:rStyle w:val="normaltextrun"/>
          <w:lang w:val="en-US"/>
        </w:rPr>
        <w:t>C</w:t>
      </w:r>
      <w:r w:rsidRPr="002B120F">
        <w:rPr>
          <w:rStyle w:val="normaltextrun"/>
          <w:vertAlign w:val="subscript"/>
          <w:lang w:val="en-US"/>
        </w:rPr>
        <w:t>20</w:t>
      </w:r>
      <w:r w:rsidRPr="002B120F">
        <w:rPr>
          <w:rStyle w:val="normaltextrun"/>
          <w:lang w:val="en-US"/>
        </w:rPr>
        <w:t>H</w:t>
      </w:r>
      <w:r w:rsidRPr="002B120F">
        <w:rPr>
          <w:rStyle w:val="normaltextrun"/>
          <w:vertAlign w:val="subscript"/>
          <w:lang w:val="en-US"/>
        </w:rPr>
        <w:t>19</w:t>
      </w:r>
      <w:r w:rsidRPr="002B120F">
        <w:rPr>
          <w:rStyle w:val="normaltextrun"/>
          <w:lang w:val="en-US"/>
        </w:rPr>
        <w:t>FN</w:t>
      </w:r>
      <w:r w:rsidRPr="002B120F">
        <w:rPr>
          <w:rStyle w:val="normaltextrun"/>
          <w:vertAlign w:val="subscript"/>
          <w:lang w:val="en-US"/>
        </w:rPr>
        <w:t>4</w:t>
      </w:r>
      <w:r w:rsidRPr="002B120F">
        <w:rPr>
          <w:rStyle w:val="normaltextrun"/>
          <w:lang w:val="en-US"/>
        </w:rPr>
        <w:t>O</w:t>
      </w:r>
      <w:r w:rsidRPr="002B120F">
        <w:rPr>
          <w:rStyle w:val="normaltextrun"/>
          <w:vertAlign w:val="subscript"/>
          <w:lang w:val="en-US"/>
        </w:rPr>
        <w:t>2</w:t>
      </w:r>
      <w:r w:rsidRPr="00F45E05">
        <w:rPr>
          <w:rStyle w:val="normaltextrun"/>
          <w:lang w:val="en-GB"/>
        </w:rPr>
        <w:t xml:space="preserve"> (</w:t>
      </w:r>
      <w:r w:rsidRPr="00F45E05">
        <w:rPr>
          <w:rStyle w:val="normaltextrun"/>
          <w:lang w:val="en-US"/>
        </w:rPr>
        <w:t>366.40</w:t>
      </w:r>
      <w:r w:rsidRPr="00F45E05">
        <w:rPr>
          <w:rStyle w:val="normaltextrun"/>
          <w:lang w:val="en-GB"/>
        </w:rPr>
        <w:t xml:space="preserve">); </w:t>
      </w:r>
      <w:r w:rsidRPr="00F45E05">
        <w:rPr>
          <w:rStyle w:val="normaltextrun"/>
          <w:i/>
          <w:iCs/>
          <w:lang w:val="en-GB"/>
        </w:rPr>
        <w:t>m/z</w:t>
      </w:r>
      <w:r w:rsidRPr="00F45E05">
        <w:rPr>
          <w:rStyle w:val="normaltextrun"/>
          <w:lang w:val="en-GB"/>
        </w:rPr>
        <w:t xml:space="preserve"> 366.15; [M+H]</w:t>
      </w:r>
      <w:r w:rsidRPr="002B120F">
        <w:rPr>
          <w:rStyle w:val="normaltextrun"/>
          <w:vertAlign w:val="superscript"/>
          <w:lang w:val="en-GB"/>
        </w:rPr>
        <w:t>+</w:t>
      </w:r>
      <w:r w:rsidRPr="00F45E05">
        <w:rPr>
          <w:rStyle w:val="normaltextrun"/>
          <w:lang w:val="en-GB"/>
        </w:rPr>
        <w:t xml:space="preserve"> = </w:t>
      </w:r>
      <w:r w:rsidRPr="00F45E05">
        <w:rPr>
          <w:rStyle w:val="normaltextrun"/>
          <w:lang w:val="en-US"/>
        </w:rPr>
        <w:t>367,34</w:t>
      </w:r>
      <w:r w:rsidRPr="00F45E05">
        <w:rPr>
          <w:rStyle w:val="normaltextrun"/>
          <w:lang w:val="en-GB"/>
        </w:rPr>
        <w:t xml:space="preserve">; </w:t>
      </w:r>
      <w:r w:rsidRPr="002B120F">
        <w:rPr>
          <w:rStyle w:val="normaltextrun"/>
          <w:vertAlign w:val="superscript"/>
          <w:lang w:val="en-US"/>
        </w:rPr>
        <w:t>1</w:t>
      </w:r>
      <w:r w:rsidRPr="00F45E05">
        <w:rPr>
          <w:rStyle w:val="normaltextrun"/>
          <w:lang w:val="en-US"/>
        </w:rPr>
        <w:t>H NMR (500 MHz, CDCl</w:t>
      </w:r>
      <w:r w:rsidRPr="002B120F">
        <w:rPr>
          <w:rStyle w:val="normaltextrun"/>
          <w:vertAlign w:val="subscript"/>
          <w:lang w:val="en-US"/>
        </w:rPr>
        <w:t>3</w:t>
      </w:r>
      <w:r w:rsidRPr="00F45E05">
        <w:rPr>
          <w:rStyle w:val="normaltextrun"/>
          <w:lang w:val="en-US"/>
        </w:rPr>
        <w:t>-</w:t>
      </w:r>
      <w:r w:rsidRPr="00F45E05">
        <w:rPr>
          <w:rStyle w:val="normaltextrun"/>
          <w:i/>
          <w:iCs/>
          <w:lang w:val="en-US"/>
        </w:rPr>
        <w:t>d</w:t>
      </w:r>
      <w:r w:rsidRPr="00F45E05">
        <w:rPr>
          <w:rStyle w:val="normaltextrun"/>
          <w:lang w:val="en-US"/>
        </w:rPr>
        <w:t xml:space="preserve">) </w:t>
      </w:r>
      <w:r w:rsidRPr="00F45E05">
        <w:rPr>
          <w:rStyle w:val="normaltextrun"/>
          <w:lang w:val="en-GB"/>
        </w:rPr>
        <w:t>δ</w:t>
      </w:r>
      <w:r w:rsidRPr="00F45E05">
        <w:rPr>
          <w:rStyle w:val="normaltextrun"/>
          <w:lang w:val="en-US"/>
        </w:rPr>
        <w:t xml:space="preserve"> ppm 2.91 (</w:t>
      </w:r>
      <w:proofErr w:type="spellStart"/>
      <w:r w:rsidRPr="00F45E05">
        <w:rPr>
          <w:rStyle w:val="normaltextrun"/>
          <w:lang w:val="en-US"/>
        </w:rPr>
        <w:t>br</w:t>
      </w:r>
      <w:proofErr w:type="spellEnd"/>
      <w:r w:rsidRPr="00F45E05">
        <w:rPr>
          <w:rStyle w:val="normaltextrun"/>
          <w:lang w:val="en-US"/>
        </w:rPr>
        <w:t xml:space="preserve"> t, </w:t>
      </w:r>
      <w:r w:rsidRPr="00F45E05">
        <w:rPr>
          <w:rStyle w:val="normaltextrun"/>
          <w:i/>
          <w:iCs/>
          <w:lang w:val="en-US"/>
        </w:rPr>
        <w:t>J</w:t>
      </w:r>
      <w:r w:rsidRPr="00F45E05">
        <w:rPr>
          <w:rStyle w:val="normaltextrun"/>
          <w:lang w:val="en-US"/>
        </w:rPr>
        <w:t>=4.73 Hz, 1 H) 3.04 (</w:t>
      </w:r>
      <w:proofErr w:type="spellStart"/>
      <w:r w:rsidRPr="00F45E05">
        <w:rPr>
          <w:rStyle w:val="normaltextrun"/>
          <w:lang w:val="en-US"/>
        </w:rPr>
        <w:t>br</w:t>
      </w:r>
      <w:proofErr w:type="spellEnd"/>
      <w:r w:rsidRPr="00F45E05">
        <w:rPr>
          <w:rStyle w:val="normaltextrun"/>
          <w:lang w:val="en-US"/>
        </w:rPr>
        <w:t xml:space="preserve"> s, 1 H) 3.14 (</w:t>
      </w:r>
      <w:proofErr w:type="spellStart"/>
      <w:r w:rsidRPr="00F45E05">
        <w:rPr>
          <w:rStyle w:val="normaltextrun"/>
          <w:lang w:val="en-US"/>
        </w:rPr>
        <w:t>br</w:t>
      </w:r>
      <w:proofErr w:type="spellEnd"/>
      <w:r w:rsidRPr="00F45E05">
        <w:rPr>
          <w:rStyle w:val="normaltextrun"/>
          <w:lang w:val="en-US"/>
        </w:rPr>
        <w:t xml:space="preserve"> s, 4 H) 3.40 (</w:t>
      </w:r>
      <w:proofErr w:type="spellStart"/>
      <w:r w:rsidRPr="00F45E05">
        <w:rPr>
          <w:rStyle w:val="normaltextrun"/>
          <w:lang w:val="en-US"/>
        </w:rPr>
        <w:t>br</w:t>
      </w:r>
      <w:proofErr w:type="spellEnd"/>
      <w:r w:rsidRPr="00F45E05">
        <w:rPr>
          <w:rStyle w:val="normaltextrun"/>
          <w:lang w:val="en-US"/>
        </w:rPr>
        <w:t xml:space="preserve"> s, 1 H) 3.85 (</w:t>
      </w:r>
      <w:proofErr w:type="spellStart"/>
      <w:r w:rsidRPr="00F45E05">
        <w:rPr>
          <w:rStyle w:val="normaltextrun"/>
          <w:lang w:val="en-US"/>
        </w:rPr>
        <w:t>br</w:t>
      </w:r>
      <w:proofErr w:type="spellEnd"/>
      <w:r w:rsidRPr="00F45E05">
        <w:rPr>
          <w:rStyle w:val="normaltextrun"/>
          <w:lang w:val="en-US"/>
        </w:rPr>
        <w:t xml:space="preserve"> s, 1 H) 4.23 (s, 2 H) 6.90 - 7.03 (m, 1 H) 7.20 - 7.31 (m, 2 H) 7.64 - 7.76 (m, 3 H) 8.36 (dt, </w:t>
      </w:r>
      <w:r w:rsidRPr="00F45E05">
        <w:rPr>
          <w:rStyle w:val="normaltextrun"/>
          <w:i/>
          <w:iCs/>
          <w:lang w:val="en-US"/>
        </w:rPr>
        <w:t>J</w:t>
      </w:r>
      <w:r w:rsidRPr="00F45E05">
        <w:rPr>
          <w:rStyle w:val="normaltextrun"/>
          <w:lang w:val="en-US"/>
        </w:rPr>
        <w:t>=6.44, 1.00 Hz, 1 H).</w:t>
      </w:r>
    </w:p>
    <w:p w14:paraId="23D62450" w14:textId="77777777" w:rsidR="00B62BA6" w:rsidRDefault="00B62BA6" w:rsidP="00B62BA6">
      <w:pPr>
        <w:pStyle w:val="paragraph"/>
        <w:spacing w:before="0" w:after="0" w:line="480" w:lineRule="auto"/>
        <w:jc w:val="both"/>
        <w:textAlignment w:val="baseline"/>
      </w:pPr>
      <w:r>
        <w:rPr>
          <w:noProof/>
        </w:rPr>
        <w:drawing>
          <wp:inline distT="0" distB="0" distL="0" distR="0" wp14:anchorId="58D4D30F" wp14:editId="77B1C88F">
            <wp:extent cx="5760720" cy="20110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7"/>
                    <a:stretch>
                      <a:fillRect/>
                    </a:stretch>
                  </pic:blipFill>
                  <pic:spPr bwMode="auto">
                    <a:xfrm>
                      <a:off x="0" y="0"/>
                      <a:ext cx="5760720" cy="2011045"/>
                    </a:xfrm>
                    <a:prstGeom prst="rect">
                      <a:avLst/>
                    </a:prstGeom>
                    <a:noFill/>
                  </pic:spPr>
                </pic:pic>
              </a:graphicData>
            </a:graphic>
          </wp:inline>
        </w:drawing>
      </w:r>
    </w:p>
    <w:p w14:paraId="693BD9D1" w14:textId="4CD38CE2" w:rsidR="00B62BA6" w:rsidRPr="0019685C" w:rsidRDefault="00B62BA6" w:rsidP="00B62BA6">
      <w:pPr>
        <w:pStyle w:val="paragraph"/>
        <w:spacing w:before="0" w:after="0" w:line="480" w:lineRule="auto"/>
        <w:ind w:firstLine="555"/>
        <w:jc w:val="both"/>
        <w:textAlignment w:val="baseline"/>
        <w:rPr>
          <w:lang w:val="en-GB"/>
        </w:rPr>
      </w:pPr>
      <w:r w:rsidRPr="00423FF8">
        <w:rPr>
          <w:rStyle w:val="normaltextrun"/>
          <w:b/>
          <w:bCs/>
          <w:lang w:val="en-GB"/>
        </w:rPr>
        <w:t xml:space="preserve">Procedure for the </w:t>
      </w:r>
      <w:r w:rsidRPr="0019685C">
        <w:rPr>
          <w:rStyle w:val="normaltextrun"/>
          <w:b/>
          <w:bCs/>
          <w:lang w:val="en-GB"/>
        </w:rPr>
        <w:t xml:space="preserve">synthesis </w:t>
      </w:r>
      <w:r w:rsidR="00E31BFA">
        <w:rPr>
          <w:rStyle w:val="normaltextrun"/>
          <w:b/>
          <w:bCs/>
          <w:lang w:val="en-GB"/>
        </w:rPr>
        <w:t xml:space="preserve">of </w:t>
      </w:r>
      <w:r w:rsidRPr="0019685C">
        <w:rPr>
          <w:rStyle w:val="normaltextrun"/>
          <w:b/>
          <w:bCs/>
          <w:i/>
          <w:iCs/>
          <w:lang w:val="en-GB"/>
        </w:rPr>
        <w:t>4-(3-(4-(cyclopropanecarbonyl)piperazine-1-carbonyl)-4-fluorobenzyl)phthalazin-1(2H)-one</w:t>
      </w:r>
      <w:r w:rsidRPr="0019685C">
        <w:rPr>
          <w:rStyle w:val="normaltextrun"/>
          <w:b/>
          <w:bCs/>
          <w:lang w:val="en-GB"/>
        </w:rPr>
        <w:t xml:space="preserve"> (OLA)</w:t>
      </w:r>
      <w:r w:rsidRPr="0019685C">
        <w:rPr>
          <w:rStyle w:val="eop"/>
          <w:lang w:val="en-GB"/>
        </w:rPr>
        <w:t> </w:t>
      </w:r>
    </w:p>
    <w:p w14:paraId="38200F14" w14:textId="61C4F3D2" w:rsidR="00B62BA6" w:rsidRPr="0019685C" w:rsidRDefault="00B62BA6" w:rsidP="00B62BA6">
      <w:pPr>
        <w:pStyle w:val="paragraph"/>
        <w:spacing w:before="0" w:after="0" w:line="480" w:lineRule="auto"/>
        <w:ind w:firstLine="555"/>
        <w:jc w:val="both"/>
        <w:textAlignment w:val="baseline"/>
        <w:rPr>
          <w:lang w:val="en-US"/>
        </w:rPr>
      </w:pPr>
      <w:r w:rsidRPr="0019685C">
        <w:rPr>
          <w:rStyle w:val="normaltextrun"/>
          <w:lang w:val="en-GB"/>
        </w:rPr>
        <w:lastRenderedPageBreak/>
        <w:t xml:space="preserve">Compound </w:t>
      </w:r>
      <w:r w:rsidR="00E31BFA">
        <w:rPr>
          <w:rStyle w:val="normaltextrun"/>
          <w:b/>
          <w:bCs/>
          <w:lang w:val="en-GB"/>
        </w:rPr>
        <w:t>2</w:t>
      </w:r>
      <w:r w:rsidRPr="0019685C">
        <w:rPr>
          <w:rStyle w:val="normaltextrun"/>
          <w:lang w:val="en-GB"/>
        </w:rPr>
        <w:t xml:space="preserve"> (0.8 mmol) was dissolved in dichloromethane (4.2 mL) and stirred at 0°C for 30 min. Then triethylamine (0.92 mmol) was added, followed by the gradual addition of </w:t>
      </w:r>
      <w:proofErr w:type="spellStart"/>
      <w:r w:rsidRPr="0019685C">
        <w:rPr>
          <w:rStyle w:val="normaltextrun"/>
          <w:lang w:val="en-GB"/>
        </w:rPr>
        <w:t>cyclopropanecarbonyl</w:t>
      </w:r>
      <w:proofErr w:type="spellEnd"/>
      <w:r w:rsidRPr="0019685C">
        <w:rPr>
          <w:rStyle w:val="normaltextrun"/>
          <w:lang w:val="en-GB"/>
        </w:rPr>
        <w:t xml:space="preserve"> chloride (0.92 mmol). At 0°C, the resulting reaction mixture was stirred for another 30 min. Approximately 8 mL of 10% sodium bicarbonate solution quenched the reaction, followed by extraction with dichloromethane (3 x 15 mL). The organic layers were combined, dried over sodium sulphate, filtered, and concentrated. The resulting product was purified by flash chromatography using a dichloromethane : methanol : diethyl ether (9:0.7:0.05; v/v) solvent system.</w:t>
      </w:r>
      <w:r w:rsidRPr="0019685C">
        <w:rPr>
          <w:rStyle w:val="eop"/>
          <w:lang w:val="en-GB"/>
        </w:rPr>
        <w:t> </w:t>
      </w:r>
    </w:p>
    <w:p w14:paraId="40EF382D" w14:textId="397AE5D3" w:rsidR="00B62BA6" w:rsidRPr="0019685C" w:rsidRDefault="00B62BA6" w:rsidP="00B62BA6">
      <w:pPr>
        <w:pStyle w:val="paragraph"/>
        <w:spacing w:before="0" w:after="0" w:line="480" w:lineRule="auto"/>
        <w:ind w:firstLine="555"/>
        <w:jc w:val="both"/>
        <w:textAlignment w:val="baseline"/>
        <w:rPr>
          <w:lang w:val="en-US"/>
        </w:rPr>
      </w:pPr>
      <w:r w:rsidRPr="0019685C">
        <w:rPr>
          <w:rStyle w:val="normaltextrun"/>
          <w:lang w:val="en-US"/>
        </w:rPr>
        <w:t xml:space="preserve">White </w:t>
      </w:r>
      <w:r w:rsidRPr="00F45E05">
        <w:rPr>
          <w:rStyle w:val="normaltextrun"/>
          <w:lang w:val="en-US"/>
        </w:rPr>
        <w:t xml:space="preserve">powder. </w:t>
      </w:r>
      <w:r w:rsidRPr="00F45E05">
        <w:rPr>
          <w:rStyle w:val="normaltextrun"/>
          <w:lang w:val="en-GB"/>
        </w:rPr>
        <w:t>Yield: 60%; TLC: R</w:t>
      </w:r>
      <w:r w:rsidRPr="002B120F">
        <w:rPr>
          <w:rStyle w:val="normaltextrun"/>
          <w:vertAlign w:val="subscript"/>
          <w:lang w:val="en-GB"/>
        </w:rPr>
        <w:t>f</w:t>
      </w:r>
      <w:r w:rsidRPr="00F45E05">
        <w:rPr>
          <w:rStyle w:val="normaltextrun"/>
          <w:lang w:val="en-GB"/>
        </w:rPr>
        <w:t xml:space="preserve"> = 0.39 (S1); HPLC: R</w:t>
      </w:r>
      <w:r w:rsidRPr="002B120F">
        <w:rPr>
          <w:rStyle w:val="normaltextrun"/>
          <w:vertAlign w:val="subscript"/>
          <w:lang w:val="en-GB"/>
        </w:rPr>
        <w:t>t</w:t>
      </w:r>
      <w:r w:rsidRPr="00F45E05">
        <w:rPr>
          <w:rStyle w:val="normaltextrun"/>
          <w:lang w:val="en-GB"/>
        </w:rPr>
        <w:t xml:space="preserve"> = 1.045 (99%), </w:t>
      </w:r>
      <w:r w:rsidRPr="002B120F">
        <w:rPr>
          <w:rStyle w:val="normaltextrun"/>
          <w:lang w:val="en-GB"/>
        </w:rPr>
        <w:t>C</w:t>
      </w:r>
      <w:r w:rsidRPr="002B120F">
        <w:rPr>
          <w:rStyle w:val="normaltextrun"/>
          <w:vertAlign w:val="subscript"/>
          <w:lang w:val="en-GB"/>
        </w:rPr>
        <w:t>24</w:t>
      </w:r>
      <w:r w:rsidRPr="002B120F">
        <w:rPr>
          <w:rStyle w:val="normaltextrun"/>
          <w:lang w:val="en-GB"/>
        </w:rPr>
        <w:t>H</w:t>
      </w:r>
      <w:r w:rsidRPr="002B120F">
        <w:rPr>
          <w:rStyle w:val="normaltextrun"/>
          <w:vertAlign w:val="subscript"/>
          <w:lang w:val="en-GB"/>
        </w:rPr>
        <w:t>23</w:t>
      </w:r>
      <w:r w:rsidRPr="002B120F">
        <w:rPr>
          <w:rStyle w:val="normaltextrun"/>
          <w:lang w:val="en-GB"/>
        </w:rPr>
        <w:t>FN</w:t>
      </w:r>
      <w:r w:rsidRPr="002B120F">
        <w:rPr>
          <w:rStyle w:val="normaltextrun"/>
          <w:vertAlign w:val="subscript"/>
          <w:lang w:val="en-GB"/>
        </w:rPr>
        <w:t>4</w:t>
      </w:r>
      <w:r w:rsidRPr="002B120F">
        <w:rPr>
          <w:rStyle w:val="normaltextrun"/>
          <w:lang w:val="en-GB"/>
        </w:rPr>
        <w:t>O</w:t>
      </w:r>
      <w:r w:rsidRPr="002B120F">
        <w:rPr>
          <w:rStyle w:val="normaltextrun"/>
          <w:vertAlign w:val="subscript"/>
          <w:lang w:val="en-GB"/>
        </w:rPr>
        <w:t>3</w:t>
      </w:r>
      <w:r w:rsidRPr="00F45E05">
        <w:rPr>
          <w:rStyle w:val="normaltextrun"/>
          <w:lang w:val="en-GB"/>
        </w:rPr>
        <w:t xml:space="preserve"> (</w:t>
      </w:r>
      <w:r w:rsidRPr="00F45E05">
        <w:rPr>
          <w:rStyle w:val="normaltextrun"/>
          <w:lang w:val="en-US"/>
        </w:rPr>
        <w:t>434.47</w:t>
      </w:r>
      <w:r w:rsidRPr="00F45E05">
        <w:rPr>
          <w:rStyle w:val="normaltextrun"/>
          <w:lang w:val="en-GB"/>
        </w:rPr>
        <w:t xml:space="preserve">), </w:t>
      </w:r>
      <w:r w:rsidRPr="00F45E05">
        <w:rPr>
          <w:rStyle w:val="normaltextrun"/>
          <w:i/>
          <w:iCs/>
          <w:lang w:val="en-GB"/>
        </w:rPr>
        <w:t>m/z</w:t>
      </w:r>
      <w:r w:rsidRPr="00F45E05">
        <w:rPr>
          <w:rStyle w:val="normaltextrun"/>
          <w:lang w:val="en-GB"/>
        </w:rPr>
        <w:t xml:space="preserve"> 434.18 [M+H]</w:t>
      </w:r>
      <w:r w:rsidRPr="002B120F">
        <w:rPr>
          <w:rStyle w:val="normaltextrun"/>
          <w:vertAlign w:val="superscript"/>
          <w:lang w:val="en-GB"/>
        </w:rPr>
        <w:t>+</w:t>
      </w:r>
      <w:r w:rsidRPr="00F45E05">
        <w:rPr>
          <w:rStyle w:val="normaltextrun"/>
          <w:lang w:val="en-GB"/>
        </w:rPr>
        <w:t xml:space="preserve"> = </w:t>
      </w:r>
      <w:r w:rsidRPr="00F45E05">
        <w:rPr>
          <w:rStyle w:val="normaltextrun"/>
          <w:lang w:val="en-US"/>
        </w:rPr>
        <w:t>435.12</w:t>
      </w:r>
      <w:r w:rsidRPr="00F45E05">
        <w:rPr>
          <w:rStyle w:val="normaltextrun"/>
          <w:color w:val="657C9C"/>
          <w:lang w:val="en-GB"/>
        </w:rPr>
        <w:t xml:space="preserve">; </w:t>
      </w:r>
      <w:r w:rsidRPr="002B120F">
        <w:rPr>
          <w:rStyle w:val="normaltextrun"/>
          <w:vertAlign w:val="superscript"/>
          <w:lang w:val="en-GB"/>
        </w:rPr>
        <w:t>1</w:t>
      </w:r>
      <w:r w:rsidRPr="00F45E05">
        <w:rPr>
          <w:rStyle w:val="normaltextrun"/>
          <w:lang w:val="en-GB"/>
        </w:rPr>
        <w:t>H NMR (500 MHz, DMSO-</w:t>
      </w:r>
      <w:r w:rsidRPr="00F45E05">
        <w:rPr>
          <w:rStyle w:val="normaltextrun"/>
          <w:i/>
          <w:iCs/>
          <w:lang w:val="en-GB"/>
        </w:rPr>
        <w:t>d</w:t>
      </w:r>
      <w:r w:rsidRPr="002B120F">
        <w:rPr>
          <w:rStyle w:val="normaltextrun"/>
          <w:vertAlign w:val="subscript"/>
          <w:lang w:val="en-GB"/>
        </w:rPr>
        <w:t>6</w:t>
      </w:r>
      <w:r w:rsidRPr="00F45E05">
        <w:rPr>
          <w:rStyle w:val="normaltextrun"/>
          <w:lang w:val="en-GB"/>
        </w:rPr>
        <w:t>) δ pp</w:t>
      </w:r>
      <w:r w:rsidRPr="002B120F">
        <w:rPr>
          <w:rStyle w:val="normaltextrun"/>
          <w:lang w:val="en-GB"/>
        </w:rPr>
        <w:t xml:space="preserve">m </w:t>
      </w:r>
      <w:r w:rsidRPr="002B120F">
        <w:rPr>
          <w:rStyle w:val="normaltextrun"/>
          <w:lang w:val="en-US"/>
        </w:rPr>
        <w:t>0</w:t>
      </w:r>
      <w:r w:rsidRPr="00F45E05">
        <w:rPr>
          <w:rStyle w:val="normaltextrun"/>
          <w:lang w:val="en-US"/>
        </w:rPr>
        <w:t>.65 - 0.72 (m, 4 H) 1.79 - 2.04 (m, 1 H) 3.08 - 3.23 (m, 2 H) 3.36 (</w:t>
      </w:r>
      <w:proofErr w:type="spellStart"/>
      <w:r w:rsidRPr="00F45E05">
        <w:rPr>
          <w:rStyle w:val="normaltextrun"/>
          <w:lang w:val="en-US"/>
        </w:rPr>
        <w:t>br</w:t>
      </w:r>
      <w:proofErr w:type="spellEnd"/>
      <w:r w:rsidRPr="00F45E05">
        <w:rPr>
          <w:rStyle w:val="normaltextrun"/>
          <w:lang w:val="en-US"/>
        </w:rPr>
        <w:t xml:space="preserve"> s, 1 H) 3.46 - 3.77 (m, 5 H) 4.29 (s, 2 H) 7.20 (</w:t>
      </w:r>
      <w:proofErr w:type="spellStart"/>
      <w:r w:rsidRPr="00F45E05">
        <w:rPr>
          <w:rStyle w:val="normaltextrun"/>
          <w:lang w:val="en-US"/>
        </w:rPr>
        <w:t>br</w:t>
      </w:r>
      <w:proofErr w:type="spellEnd"/>
      <w:r w:rsidRPr="00F45E05">
        <w:rPr>
          <w:rStyle w:val="normaltextrun"/>
          <w:lang w:val="en-US"/>
        </w:rPr>
        <w:t xml:space="preserve"> t, </w:t>
      </w:r>
      <w:r w:rsidRPr="00F45E05">
        <w:rPr>
          <w:rStyle w:val="normaltextrun"/>
          <w:i/>
          <w:iCs/>
          <w:lang w:val="en-US"/>
        </w:rPr>
        <w:t>J</w:t>
      </w:r>
      <w:r w:rsidRPr="00F45E05">
        <w:rPr>
          <w:rStyle w:val="normaltextrun"/>
          <w:lang w:val="en-US"/>
        </w:rPr>
        <w:t>=8.95 Hz, 1 H) 7.34 (</w:t>
      </w:r>
      <w:proofErr w:type="spellStart"/>
      <w:r w:rsidRPr="00F45E05">
        <w:rPr>
          <w:rStyle w:val="normaltextrun"/>
          <w:lang w:val="en-US"/>
        </w:rPr>
        <w:t>br</w:t>
      </w:r>
      <w:proofErr w:type="spellEnd"/>
      <w:r w:rsidRPr="00F45E05">
        <w:rPr>
          <w:rStyle w:val="normaltextrun"/>
          <w:lang w:val="en-US"/>
        </w:rPr>
        <w:t> s, 1 H) 7.39 - 7.42 (m, 1 H) 7.77 - 7.80 (m, 1 H) 7.85 (</w:t>
      </w:r>
      <w:proofErr w:type="spellStart"/>
      <w:r w:rsidRPr="00F45E05">
        <w:rPr>
          <w:rStyle w:val="normaltextrun"/>
          <w:lang w:val="en-US"/>
        </w:rPr>
        <w:t>br</w:t>
      </w:r>
      <w:proofErr w:type="spellEnd"/>
      <w:r w:rsidRPr="00F45E05">
        <w:rPr>
          <w:rStyle w:val="normaltextrun"/>
          <w:lang w:val="en-US"/>
        </w:rPr>
        <w:t xml:space="preserve"> t, </w:t>
      </w:r>
      <w:r w:rsidRPr="00F45E05">
        <w:rPr>
          <w:rStyle w:val="normaltextrun"/>
          <w:i/>
          <w:iCs/>
          <w:lang w:val="en-US"/>
        </w:rPr>
        <w:t>J</w:t>
      </w:r>
      <w:r w:rsidRPr="00F45E05">
        <w:rPr>
          <w:rStyle w:val="normaltextrun"/>
          <w:lang w:val="en-US"/>
        </w:rPr>
        <w:t xml:space="preserve">=7.41 Hz, 1 H) 7.91 - 7.93 (m, 1 H) 8.22 (d, </w:t>
      </w:r>
      <w:r w:rsidRPr="00F45E05">
        <w:rPr>
          <w:rStyle w:val="normaltextrun"/>
          <w:i/>
          <w:iCs/>
          <w:lang w:val="en-US"/>
        </w:rPr>
        <w:t>J</w:t>
      </w:r>
      <w:r w:rsidRPr="00F45E05">
        <w:rPr>
          <w:rStyle w:val="normaltextrun"/>
          <w:lang w:val="en-US"/>
        </w:rPr>
        <w:t>=7.80 Hz, 1 H) 12.57 (s, 1 H)</w:t>
      </w:r>
      <w:r w:rsidR="009579B1" w:rsidRPr="002B120F">
        <w:rPr>
          <w:rStyle w:val="normaltextrun"/>
          <w:lang w:val="en-US"/>
        </w:rPr>
        <w:t>;</w:t>
      </w:r>
      <w:r w:rsidRPr="00F45E05">
        <w:rPr>
          <w:rStyle w:val="normaltextrun"/>
          <w:lang w:val="en-US"/>
        </w:rPr>
        <w:t xml:space="preserve"> </w:t>
      </w:r>
      <w:r w:rsidRPr="002B120F">
        <w:rPr>
          <w:rStyle w:val="eop"/>
          <w:rFonts w:ascii="Aptos;Aptos EmbeddedFont;Aptos" w:hAnsi="Aptos;Aptos EmbeddedFont;Aptos"/>
          <w:color w:val="000000"/>
          <w:vertAlign w:val="superscript"/>
          <w:lang w:val="en-GB"/>
        </w:rPr>
        <w:t>13</w:t>
      </w:r>
      <w:r w:rsidRPr="00F45E05">
        <w:rPr>
          <w:rStyle w:val="eop"/>
          <w:rFonts w:ascii="Aptos;Aptos EmbeddedFont;Aptos" w:hAnsi="Aptos;Aptos EmbeddedFont;Aptos"/>
          <w:color w:val="000000"/>
          <w:lang w:val="en-GB"/>
        </w:rPr>
        <w:t>C NMR (DMSO-</w:t>
      </w:r>
      <w:r w:rsidRPr="00F45E05">
        <w:rPr>
          <w:rStyle w:val="eop"/>
          <w:rFonts w:ascii="Aptos;Aptos EmbeddedFont;Aptos" w:hAnsi="Aptos;Aptos EmbeddedFont;Aptos"/>
          <w:i/>
          <w:iCs/>
          <w:color w:val="000000"/>
          <w:lang w:val="en-GB"/>
        </w:rPr>
        <w:t>d</w:t>
      </w:r>
      <w:r w:rsidRPr="002B120F">
        <w:rPr>
          <w:rStyle w:val="eop"/>
          <w:rFonts w:ascii="Aptos;Aptos EmbeddedFont;Aptos" w:hAnsi="Aptos;Aptos EmbeddedFont;Aptos"/>
          <w:i/>
          <w:iCs/>
          <w:color w:val="000000"/>
          <w:vertAlign w:val="subscript"/>
          <w:lang w:val="en-GB"/>
        </w:rPr>
        <w:t>6</w:t>
      </w:r>
      <w:r w:rsidRPr="00F45E05">
        <w:rPr>
          <w:rStyle w:val="eop"/>
          <w:rFonts w:ascii="Aptos;Aptos EmbeddedFont;Aptos" w:hAnsi="Aptos;Aptos EmbeddedFont;Aptos"/>
          <w:color w:val="000000"/>
          <w:lang w:val="en-GB"/>
        </w:rPr>
        <w:t>, 126 MHz) δ 171.8, 164.6, 159.9 (d, </w:t>
      </w:r>
      <w:r w:rsidRPr="002B120F">
        <w:rPr>
          <w:rStyle w:val="eop"/>
          <w:rFonts w:ascii="Aptos;Aptos EmbeddedFont;Aptos" w:hAnsi="Aptos;Aptos EmbeddedFont;Aptos"/>
          <w:i/>
          <w:iCs/>
          <w:color w:val="000000"/>
          <w:lang w:val="en-GB"/>
        </w:rPr>
        <w:t>J</w:t>
      </w:r>
      <w:r w:rsidRPr="00F45E05">
        <w:rPr>
          <w:rStyle w:val="eop"/>
          <w:color w:val="000000"/>
          <w:lang w:val="en-GB"/>
        </w:rPr>
        <w:t> </w:t>
      </w:r>
      <w:r w:rsidRPr="00F45E05">
        <w:rPr>
          <w:rStyle w:val="eop"/>
          <w:rFonts w:ascii="Aptos;Aptos EmbeddedFont;Aptos" w:hAnsi="Aptos;Aptos EmbeddedFont;Aptos"/>
          <w:color w:val="000000"/>
          <w:lang w:val="en-GB"/>
        </w:rPr>
        <w:t>= 244.9), 156.9, 145.4, 135.4 (d, </w:t>
      </w:r>
      <w:r w:rsidRPr="002B120F">
        <w:rPr>
          <w:rStyle w:val="eop"/>
          <w:rFonts w:ascii="Aptos;Aptos EmbeddedFont;Aptos" w:hAnsi="Aptos;Aptos EmbeddedFont;Aptos"/>
          <w:i/>
          <w:iCs/>
          <w:color w:val="000000"/>
          <w:lang w:val="en-GB"/>
        </w:rPr>
        <w:t>J</w:t>
      </w:r>
      <w:r w:rsidRPr="00F45E05">
        <w:rPr>
          <w:rStyle w:val="eop"/>
          <w:color w:val="000000"/>
          <w:lang w:val="en-GB"/>
        </w:rPr>
        <w:t> </w:t>
      </w:r>
      <w:r w:rsidRPr="00F45E05">
        <w:rPr>
          <w:rStyle w:val="eop"/>
          <w:rFonts w:ascii="Aptos;Aptos EmbeddedFont;Aptos" w:hAnsi="Aptos;Aptos EmbeddedFont;Aptos"/>
          <w:color w:val="000000"/>
          <w:lang w:val="en-GB"/>
        </w:rPr>
        <w:t>= 3), 134.0, 132.3, 132.1, 129.6, 129.5 (d, </w:t>
      </w:r>
      <w:r w:rsidRPr="002B120F">
        <w:rPr>
          <w:rStyle w:val="eop"/>
          <w:rFonts w:ascii="Aptos;Aptos EmbeddedFont;Aptos" w:hAnsi="Aptos;Aptos EmbeddedFont;Aptos"/>
          <w:i/>
          <w:iCs/>
          <w:color w:val="000000"/>
          <w:lang w:val="en-GB"/>
        </w:rPr>
        <w:t>J</w:t>
      </w:r>
      <w:r w:rsidRPr="00F45E05">
        <w:rPr>
          <w:rStyle w:val="eop"/>
          <w:color w:val="000000"/>
          <w:lang w:val="en-GB"/>
        </w:rPr>
        <w:t> </w:t>
      </w:r>
      <w:r w:rsidRPr="00F45E05">
        <w:rPr>
          <w:rStyle w:val="eop"/>
          <w:rFonts w:ascii="Aptos;Aptos EmbeddedFont;Aptos" w:hAnsi="Aptos;Aptos EmbeddedFont;Aptos"/>
          <w:color w:val="000000"/>
          <w:lang w:val="en-GB"/>
        </w:rPr>
        <w:t>= 3.8), 128.4, 126.6, 126.0, 124.1 (d, </w:t>
      </w:r>
      <w:r w:rsidRPr="002B120F">
        <w:rPr>
          <w:rStyle w:val="eop"/>
          <w:rFonts w:ascii="Aptos;Aptos EmbeddedFont;Aptos" w:hAnsi="Aptos;Aptos EmbeddedFont;Aptos"/>
          <w:i/>
          <w:iCs/>
          <w:color w:val="000000"/>
          <w:lang w:val="en-GB"/>
        </w:rPr>
        <w:t>J</w:t>
      </w:r>
      <w:r w:rsidRPr="00F45E05">
        <w:rPr>
          <w:rStyle w:val="eop"/>
          <w:color w:val="000000"/>
          <w:lang w:val="en-GB"/>
        </w:rPr>
        <w:t> </w:t>
      </w:r>
      <w:r w:rsidRPr="00F45E05">
        <w:rPr>
          <w:rStyle w:val="eop"/>
          <w:rFonts w:ascii="Aptos;Aptos EmbeddedFont;Aptos" w:hAnsi="Aptos;Aptos EmbeddedFont;Aptos"/>
          <w:color w:val="000000"/>
          <w:lang w:val="en-GB"/>
        </w:rPr>
        <w:t>= 18.4), 116.5 (d, </w:t>
      </w:r>
      <w:r w:rsidRPr="002B120F">
        <w:rPr>
          <w:rStyle w:val="eop"/>
          <w:rFonts w:ascii="Aptos;Aptos EmbeddedFont;Aptos" w:hAnsi="Aptos;Aptos EmbeddedFont;Aptos"/>
          <w:i/>
          <w:iCs/>
          <w:color w:val="000000"/>
          <w:lang w:val="en-GB"/>
        </w:rPr>
        <w:t>J</w:t>
      </w:r>
      <w:r w:rsidRPr="00F45E05">
        <w:rPr>
          <w:rStyle w:val="eop"/>
          <w:color w:val="000000"/>
          <w:lang w:val="en-GB"/>
        </w:rPr>
        <w:t> </w:t>
      </w:r>
      <w:r w:rsidRPr="00F45E05">
        <w:rPr>
          <w:rStyle w:val="eop"/>
          <w:rFonts w:ascii="Aptos;Aptos EmbeddedFont;Aptos" w:hAnsi="Aptos;Aptos EmbeddedFont;Aptos"/>
          <w:color w:val="000000"/>
          <w:lang w:val="en-GB"/>
        </w:rPr>
        <w:t>= 27.7), 55.4, 37.0, 10.9, 7.7.</w:t>
      </w:r>
      <w:r w:rsidRPr="0019685C">
        <w:rPr>
          <w:rStyle w:val="eop"/>
          <w:lang w:val="en-GB"/>
        </w:rPr>
        <w:t xml:space="preserve"> </w:t>
      </w:r>
    </w:p>
    <w:p w14:paraId="344ADBE2" w14:textId="1B216082" w:rsidR="00B62BA6" w:rsidRPr="0019685C" w:rsidRDefault="00B62BA6" w:rsidP="00B62BA6">
      <w:pPr>
        <w:pStyle w:val="paragraph"/>
        <w:spacing w:before="0" w:after="0" w:line="480" w:lineRule="auto"/>
        <w:jc w:val="both"/>
        <w:textAlignment w:val="baseline"/>
      </w:pPr>
      <w:r w:rsidRPr="0019685C">
        <w:rPr>
          <w:noProof/>
        </w:rPr>
        <w:drawing>
          <wp:inline distT="0" distB="0" distL="0" distR="0" wp14:anchorId="7A681C4B" wp14:editId="07125D50">
            <wp:extent cx="6113145" cy="201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8"/>
                    <a:stretch>
                      <a:fillRect/>
                    </a:stretch>
                  </pic:blipFill>
                  <pic:spPr bwMode="auto">
                    <a:xfrm>
                      <a:off x="0" y="0"/>
                      <a:ext cx="6113145" cy="2012950"/>
                    </a:xfrm>
                    <a:prstGeom prst="rect">
                      <a:avLst/>
                    </a:prstGeom>
                    <a:noFill/>
                  </pic:spPr>
                </pic:pic>
              </a:graphicData>
            </a:graphic>
          </wp:inline>
        </w:drawing>
      </w:r>
    </w:p>
    <w:p w14:paraId="36E23628" w14:textId="77777777" w:rsidR="00B62BA6" w:rsidRDefault="00B62BA6" w:rsidP="00B62BA6">
      <w:pPr>
        <w:pStyle w:val="paragraph"/>
        <w:spacing w:before="0" w:after="0" w:line="480" w:lineRule="auto"/>
        <w:jc w:val="both"/>
        <w:textAlignment w:val="baseline"/>
      </w:pPr>
      <w:r w:rsidRPr="0019685C">
        <w:rPr>
          <w:noProof/>
        </w:rPr>
        <w:lastRenderedPageBreak/>
        <w:drawing>
          <wp:inline distT="0" distB="0" distL="0" distR="0" wp14:anchorId="66928779" wp14:editId="1E641CC1">
            <wp:extent cx="6113145" cy="2404110"/>
            <wp:effectExtent l="0" t="0" r="0" b="0"/>
            <wp:docPr id="4" name="Obraz5" descr="Obraz zawierający diagram, linia, zrzut ekranu, Równolegl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5" descr="Obraz zawierający diagram, linia, zrzut ekranu, Równolegle&#10;&#10;Zawartość wygenerowana przez sztuczną inteligencję może być niepoprawna."/>
                    <pic:cNvPicPr>
                      <a:picLocks noChangeAspect="1" noChangeArrowheads="1"/>
                    </pic:cNvPicPr>
                  </pic:nvPicPr>
                  <pic:blipFill>
                    <a:blip r:embed="rId9"/>
                    <a:stretch>
                      <a:fillRect/>
                    </a:stretch>
                  </pic:blipFill>
                  <pic:spPr bwMode="auto">
                    <a:xfrm>
                      <a:off x="0" y="0"/>
                      <a:ext cx="6113145" cy="2404110"/>
                    </a:xfrm>
                    <a:prstGeom prst="rect">
                      <a:avLst/>
                    </a:prstGeom>
                    <a:noFill/>
                  </pic:spPr>
                </pic:pic>
              </a:graphicData>
            </a:graphic>
          </wp:inline>
        </w:drawing>
      </w:r>
    </w:p>
    <w:p w14:paraId="46816978" w14:textId="77777777" w:rsidR="00172DE8" w:rsidRDefault="00172DE8" w:rsidP="00B62BA6">
      <w:pPr>
        <w:pStyle w:val="paragraph"/>
        <w:spacing w:before="0" w:after="0" w:line="480" w:lineRule="auto"/>
        <w:jc w:val="both"/>
        <w:textAlignment w:val="baseline"/>
        <w:rPr>
          <w:lang w:val="en-GB"/>
        </w:rPr>
      </w:pPr>
    </w:p>
    <w:p w14:paraId="33C8561B" w14:textId="31CCC42D" w:rsidR="00172DE8" w:rsidRDefault="00172DE8" w:rsidP="00172DE8">
      <w:pPr>
        <w:pStyle w:val="Akapitzlist"/>
        <w:numPr>
          <w:ilvl w:val="0"/>
          <w:numId w:val="3"/>
        </w:numPr>
        <w:suppressAutoHyphens w:val="0"/>
        <w:spacing w:before="240" w:after="0" w:line="360" w:lineRule="auto"/>
        <w:jc w:val="both"/>
        <w:rPr>
          <w:rFonts w:ascii="Times New Roman" w:hAnsi="Times New Roman" w:cs="Times New Roman"/>
          <w:b/>
          <w:bCs/>
          <w:lang w:val="en-US"/>
        </w:rPr>
      </w:pPr>
      <w:r w:rsidRPr="00172DE8">
        <w:rPr>
          <w:rFonts w:ascii="Times New Roman" w:hAnsi="Times New Roman" w:cs="Times New Roman"/>
          <w:b/>
          <w:bCs/>
          <w:lang w:val="en-US"/>
        </w:rPr>
        <w:t>Irradiation with a Cobalt-60 (Co-60) beam and dosimetry</w:t>
      </w:r>
    </w:p>
    <w:p w14:paraId="33A0E37C" w14:textId="3E43CA63" w:rsidR="00796FA8" w:rsidRPr="00F45E05" w:rsidRDefault="00796FA8" w:rsidP="00C50AF0">
      <w:pPr>
        <w:suppressAutoHyphens w:val="0"/>
        <w:spacing w:before="240" w:after="0" w:line="480" w:lineRule="auto"/>
        <w:ind w:firstLine="567"/>
        <w:jc w:val="both"/>
        <w:rPr>
          <w:rFonts w:ascii="Times New Roman" w:hAnsi="Times New Roman" w:cs="Times New Roman"/>
          <w:b/>
          <w:bCs/>
          <w:lang w:val="en-US"/>
        </w:rPr>
      </w:pPr>
      <w:r w:rsidRPr="002B120F">
        <w:rPr>
          <w:rFonts w:ascii="Times New Roman" w:hAnsi="Times New Roman" w:cs="Times New Roman"/>
          <w:lang w:val="en-US"/>
        </w:rPr>
        <w:t>The</w:t>
      </w:r>
      <w:r w:rsidRPr="00F45E05">
        <w:rPr>
          <w:rFonts w:ascii="Times New Roman" w:hAnsi="Times New Roman" w:cs="Times New Roman"/>
          <w:lang w:val="en-US"/>
        </w:rPr>
        <w:t xml:space="preserve"> </w:t>
      </w:r>
      <w:proofErr w:type="spellStart"/>
      <w:r w:rsidRPr="00F45E05">
        <w:rPr>
          <w:rFonts w:ascii="Times New Roman" w:hAnsi="Times New Roman" w:cs="Times New Roman"/>
          <w:lang w:val="en-US"/>
        </w:rPr>
        <w:t>dosimetric</w:t>
      </w:r>
      <w:proofErr w:type="spellEnd"/>
      <w:r w:rsidRPr="00F45E05">
        <w:rPr>
          <w:rFonts w:ascii="Times New Roman" w:hAnsi="Times New Roman" w:cs="Times New Roman"/>
          <w:lang w:val="en-US"/>
        </w:rPr>
        <w:t xml:space="preserve"> equipment was calibrated at the Secondary Standard Dosimetry Laboratory (SSDL) of the National Institute of Oncology (NIO PIB), Warsaw, following the IAEA TRS-398 protocol. Dose measurements were performed at the </w:t>
      </w:r>
      <w:proofErr w:type="spellStart"/>
      <w:r w:rsidRPr="00F45E05">
        <w:rPr>
          <w:rFonts w:ascii="Times New Roman" w:hAnsi="Times New Roman" w:cs="Times New Roman"/>
          <w:lang w:val="en-US"/>
        </w:rPr>
        <w:t>isocentre</w:t>
      </w:r>
      <w:proofErr w:type="spellEnd"/>
      <w:r w:rsidRPr="00F45E05">
        <w:rPr>
          <w:rFonts w:ascii="Times New Roman" w:hAnsi="Times New Roman" w:cs="Times New Roman"/>
          <w:lang w:val="en-US"/>
        </w:rPr>
        <w:t>, at a depth of 5 cm, using a solid PMMA phantom. The radiation field size was 25 × 21 cm², and the source-to-chamber distance was 80 cm. For all irradiations, the dose rate remained within the range of 0.0115–0.0136 Gy/s, with an average of 0.0125 Gy/s. Irradiations were performed in ambient conditions, and immediately after irradiation, the cells were transported to the radiobiological laboratory located at IFJ PAN for further processing. Non-irradiated part of the sample served as a control (0.0 Gy).</w:t>
      </w:r>
    </w:p>
    <w:p w14:paraId="1C7446AF" w14:textId="77777777" w:rsidR="00172DE8" w:rsidRPr="00F45E05" w:rsidRDefault="00172DE8" w:rsidP="00B62BA6">
      <w:pPr>
        <w:pStyle w:val="paragraph"/>
        <w:spacing w:before="0" w:after="0" w:line="480" w:lineRule="auto"/>
        <w:jc w:val="both"/>
        <w:textAlignment w:val="baseline"/>
        <w:rPr>
          <w:lang w:val="en-US"/>
        </w:rPr>
      </w:pPr>
    </w:p>
    <w:p w14:paraId="1F447A32" w14:textId="77777777" w:rsidR="00B62BA6" w:rsidRPr="00F45E05" w:rsidRDefault="00B62BA6" w:rsidP="00B62BA6">
      <w:pPr>
        <w:pStyle w:val="paragraph"/>
        <w:numPr>
          <w:ilvl w:val="0"/>
          <w:numId w:val="3"/>
        </w:numPr>
        <w:spacing w:before="0" w:after="0" w:line="480" w:lineRule="auto"/>
        <w:ind w:left="907" w:hanging="340"/>
        <w:jc w:val="both"/>
        <w:textAlignment w:val="baseline"/>
        <w:rPr>
          <w:lang w:val="en-US"/>
        </w:rPr>
      </w:pPr>
      <w:r w:rsidRPr="00F45E05">
        <w:rPr>
          <w:rStyle w:val="normaltextrun"/>
          <w:b/>
          <w:bCs/>
          <w:shd w:val="clear" w:color="auto" w:fill="FFFFFF"/>
          <w:lang w:val="en-US"/>
        </w:rPr>
        <w:t>C</w:t>
      </w:r>
      <w:r w:rsidRPr="00F45E05">
        <w:rPr>
          <w:rStyle w:val="normaltextrun"/>
          <w:b/>
          <w:bCs/>
          <w:shd w:val="clear" w:color="auto" w:fill="FFFFFF"/>
          <w:lang w:val="en-GB"/>
        </w:rPr>
        <w:t>ell viability assessment </w:t>
      </w:r>
      <w:r w:rsidRPr="00F45E05">
        <w:rPr>
          <w:rStyle w:val="normaltextrun"/>
          <w:b/>
          <w:shd w:val="clear" w:color="auto" w:fill="FFFFFF"/>
          <w:lang w:val="en-GB"/>
        </w:rPr>
        <w:t>of OLA, TMZ, OXA, and their combination with radiotherapy by MTS test</w:t>
      </w:r>
    </w:p>
    <w:p w14:paraId="2DA7E6FC" w14:textId="62836A7D" w:rsidR="006F5FE3" w:rsidRDefault="00B62BA6" w:rsidP="00C50AF0">
      <w:pPr>
        <w:pStyle w:val="paragraph"/>
        <w:spacing w:before="0" w:after="0" w:line="480" w:lineRule="auto"/>
        <w:ind w:firstLine="567"/>
        <w:jc w:val="both"/>
        <w:textAlignment w:val="baseline"/>
        <w:rPr>
          <w:color w:val="000000"/>
          <w:lang w:val="en-US"/>
        </w:rPr>
      </w:pPr>
      <w:r w:rsidRPr="002B120F">
        <w:rPr>
          <w:lang w:val="en-US"/>
        </w:rPr>
        <w:t>Cell</w:t>
      </w:r>
      <w:r w:rsidRPr="00F45E05">
        <w:rPr>
          <w:lang w:val="en-US"/>
        </w:rPr>
        <w:t xml:space="preserve"> viability test </w:t>
      </w:r>
      <w:r w:rsidRPr="00F45E05">
        <w:rPr>
          <w:rStyle w:val="eop"/>
          <w:bCs/>
          <w:shd w:val="clear" w:color="auto" w:fill="FFFFFF"/>
          <w:lang w:val="en-GB"/>
        </w:rPr>
        <w:t xml:space="preserve">was evaluated by </w:t>
      </w:r>
      <w:proofErr w:type="spellStart"/>
      <w:r w:rsidRPr="00F45E05">
        <w:rPr>
          <w:rStyle w:val="eop"/>
          <w:bCs/>
          <w:shd w:val="clear" w:color="auto" w:fill="FFFFFF"/>
          <w:lang w:val="en-GB"/>
        </w:rPr>
        <w:t>Multiskan</w:t>
      </w:r>
      <w:proofErr w:type="spellEnd"/>
      <w:r w:rsidRPr="00F45E05">
        <w:rPr>
          <w:rStyle w:val="eop"/>
          <w:bCs/>
          <w:shd w:val="clear" w:color="auto" w:fill="FFFFFF"/>
          <w:lang w:val="en-GB"/>
        </w:rPr>
        <w:t xml:space="preserve"> </w:t>
      </w:r>
      <w:proofErr w:type="spellStart"/>
      <w:r w:rsidRPr="00F45E05">
        <w:rPr>
          <w:rStyle w:val="eop"/>
          <w:bCs/>
          <w:shd w:val="clear" w:color="auto" w:fill="FFFFFF"/>
          <w:lang w:val="en-GB"/>
        </w:rPr>
        <w:t>SkyHigh</w:t>
      </w:r>
      <w:proofErr w:type="spellEnd"/>
      <w:r w:rsidRPr="00F45E05">
        <w:rPr>
          <w:rStyle w:val="eop"/>
          <w:bCs/>
          <w:shd w:val="clear" w:color="auto" w:fill="FFFFFF"/>
          <w:lang w:val="en-GB"/>
        </w:rPr>
        <w:t xml:space="preserve"> Microplate Spectrophotometer (</w:t>
      </w:r>
      <w:proofErr w:type="spellStart"/>
      <w:r w:rsidRPr="00F45E05">
        <w:rPr>
          <w:rStyle w:val="eop"/>
          <w:bCs/>
          <w:shd w:val="clear" w:color="auto" w:fill="FFFFFF"/>
          <w:lang w:val="en-GB"/>
        </w:rPr>
        <w:t>ThermoFisher</w:t>
      </w:r>
      <w:proofErr w:type="spellEnd"/>
      <w:r w:rsidRPr="00F45E05">
        <w:rPr>
          <w:rStyle w:val="eop"/>
          <w:bCs/>
          <w:shd w:val="clear" w:color="auto" w:fill="FFFFFF"/>
          <w:lang w:val="en-GB"/>
        </w:rPr>
        <w:t xml:space="preserve"> Scientific)with MTS test. </w:t>
      </w:r>
      <w:r w:rsidRPr="00F45E05">
        <w:rPr>
          <w:rStyle w:val="normaltextrun"/>
          <w:bCs/>
          <w:lang w:val="en-GB"/>
        </w:rPr>
        <w:t xml:space="preserve">All cells </w:t>
      </w:r>
      <w:proofErr w:type="spellStart"/>
      <w:r w:rsidRPr="00F45E05">
        <w:rPr>
          <w:rStyle w:val="normaltextrun"/>
          <w:bCs/>
          <w:lang w:val="en-GB"/>
        </w:rPr>
        <w:t>hFib</w:t>
      </w:r>
      <w:proofErr w:type="spellEnd"/>
      <w:r w:rsidRPr="00F45E05">
        <w:rPr>
          <w:rStyle w:val="normaltextrun"/>
          <w:bCs/>
          <w:lang w:val="en-GB"/>
        </w:rPr>
        <w:t>, U87, U118, were seeded</w:t>
      </w:r>
      <w:r w:rsidRPr="004F60A0">
        <w:rPr>
          <w:rStyle w:val="normaltextrun"/>
          <w:bCs/>
          <w:lang w:val="en-GB"/>
        </w:rPr>
        <w:t xml:space="preserve"> in 96-well plates (4×10</w:t>
      </w:r>
      <w:r w:rsidRPr="004F60A0">
        <w:rPr>
          <w:rStyle w:val="normaltextrun"/>
          <w:bCs/>
          <w:vertAlign w:val="superscript"/>
          <w:lang w:val="en-GB"/>
        </w:rPr>
        <w:t>3</w:t>
      </w:r>
      <w:r w:rsidRPr="004F60A0">
        <w:rPr>
          <w:rStyle w:val="normaltextrun"/>
          <w:bCs/>
          <w:lang w:val="en-GB"/>
        </w:rPr>
        <w:t xml:space="preserve"> cells/well, Sarstedt, </w:t>
      </w:r>
      <w:proofErr w:type="spellStart"/>
      <w:r w:rsidRPr="004F60A0">
        <w:rPr>
          <w:rStyle w:val="normaltextrun"/>
          <w:bCs/>
          <w:lang w:val="en-GB"/>
        </w:rPr>
        <w:t>Numbrecht</w:t>
      </w:r>
      <w:proofErr w:type="spellEnd"/>
      <w:r w:rsidRPr="004F60A0">
        <w:rPr>
          <w:rStyle w:val="normaltextrun"/>
          <w:bCs/>
          <w:lang w:val="en-GB"/>
        </w:rPr>
        <w:t xml:space="preserve">, Germany) and incubated for 24 h. Then the </w:t>
      </w:r>
      <w:r w:rsidRPr="004F60A0">
        <w:rPr>
          <w:rStyle w:val="normaltextrun"/>
          <w:bCs/>
          <w:lang w:val="en-GB"/>
        </w:rPr>
        <w:lastRenderedPageBreak/>
        <w:t xml:space="preserve">media were replaced with 200 </w:t>
      </w:r>
      <w:proofErr w:type="spellStart"/>
      <w:r w:rsidRPr="004F60A0">
        <w:rPr>
          <w:rStyle w:val="normaltextrun"/>
          <w:bCs/>
          <w:lang w:val="en-GB"/>
        </w:rPr>
        <w:t>μl</w:t>
      </w:r>
      <w:proofErr w:type="spellEnd"/>
      <w:r w:rsidRPr="004F60A0">
        <w:rPr>
          <w:rStyle w:val="normaltextrun"/>
          <w:bCs/>
          <w:lang w:val="en-GB"/>
        </w:rPr>
        <w:t xml:space="preserve"> of complete media mixture containing concentrations of </w:t>
      </w:r>
      <w:r w:rsidRPr="004F60A0">
        <w:rPr>
          <w:rStyle w:val="normaltextrun"/>
          <w:lang w:val="en-GB"/>
        </w:rPr>
        <w:t>OLA</w:t>
      </w:r>
      <w:r w:rsidRPr="004F60A0">
        <w:rPr>
          <w:rStyle w:val="normaltextrun"/>
          <w:bCs/>
          <w:lang w:val="en-GB"/>
        </w:rPr>
        <w:t xml:space="preserve">  (1</w:t>
      </w:r>
      <w:r w:rsidRPr="004F60A0">
        <w:rPr>
          <w:rStyle w:val="normaltextrun"/>
          <w:lang w:val="en-GB"/>
        </w:rPr>
        <w:t xml:space="preserve"> </w:t>
      </w:r>
      <w:proofErr w:type="spellStart"/>
      <w:r w:rsidRPr="004F60A0">
        <w:rPr>
          <w:rStyle w:val="normaltextrun"/>
          <w:lang w:val="en-GB"/>
        </w:rPr>
        <w:t>μM</w:t>
      </w:r>
      <w:proofErr w:type="spellEnd"/>
      <w:r w:rsidRPr="004F60A0">
        <w:rPr>
          <w:rStyle w:val="normaltextrun"/>
          <w:bCs/>
          <w:lang w:val="en-GB"/>
        </w:rPr>
        <w:t xml:space="preserve">, </w:t>
      </w:r>
      <w:r w:rsidRPr="004F60A0">
        <w:rPr>
          <w:rStyle w:val="normaltextrun"/>
          <w:lang w:val="en-GB"/>
        </w:rPr>
        <w:t xml:space="preserve">100 </w:t>
      </w:r>
      <w:proofErr w:type="spellStart"/>
      <w:r w:rsidRPr="004F60A0">
        <w:rPr>
          <w:rStyle w:val="normaltextrun"/>
          <w:lang w:val="en-GB"/>
        </w:rPr>
        <w:t>μM</w:t>
      </w:r>
      <w:proofErr w:type="spellEnd"/>
      <w:r w:rsidRPr="004F60A0">
        <w:rPr>
          <w:rStyle w:val="normaltextrun"/>
          <w:lang w:val="en-GB"/>
        </w:rPr>
        <w:t xml:space="preserve">), TMZ (10 </w:t>
      </w:r>
      <w:proofErr w:type="spellStart"/>
      <w:r w:rsidRPr="004F60A0">
        <w:rPr>
          <w:rStyle w:val="normaltextrun"/>
          <w:lang w:val="en-GB"/>
        </w:rPr>
        <w:t>μM</w:t>
      </w:r>
      <w:proofErr w:type="spellEnd"/>
      <w:r w:rsidRPr="004F60A0">
        <w:rPr>
          <w:rStyle w:val="normaltextrun"/>
          <w:lang w:val="en-GB"/>
        </w:rPr>
        <w:t xml:space="preserve">, 100 </w:t>
      </w:r>
      <w:proofErr w:type="spellStart"/>
      <w:r w:rsidRPr="004F60A0">
        <w:rPr>
          <w:rStyle w:val="normaltextrun"/>
          <w:lang w:val="en-GB"/>
        </w:rPr>
        <w:t>μM</w:t>
      </w:r>
      <w:proofErr w:type="spellEnd"/>
      <w:r w:rsidRPr="004F60A0">
        <w:rPr>
          <w:rStyle w:val="normaltextrun"/>
          <w:lang w:val="en-GB"/>
        </w:rPr>
        <w:t xml:space="preserve">) and OXA (50 </w:t>
      </w:r>
      <w:proofErr w:type="spellStart"/>
      <w:r w:rsidRPr="004F60A0">
        <w:rPr>
          <w:rStyle w:val="normaltextrun"/>
          <w:lang w:val="en-GB"/>
        </w:rPr>
        <w:t>μM</w:t>
      </w:r>
      <w:proofErr w:type="spellEnd"/>
      <w:r w:rsidRPr="004F60A0">
        <w:rPr>
          <w:rStyle w:val="normaltextrun"/>
          <w:lang w:val="en-GB"/>
        </w:rPr>
        <w:t xml:space="preserve">, 100 </w:t>
      </w:r>
      <w:proofErr w:type="spellStart"/>
      <w:r w:rsidRPr="004F60A0">
        <w:rPr>
          <w:rStyle w:val="normaltextrun"/>
          <w:lang w:val="en-GB"/>
        </w:rPr>
        <w:t>μM</w:t>
      </w:r>
      <w:proofErr w:type="spellEnd"/>
      <w:r w:rsidRPr="004F60A0">
        <w:rPr>
          <w:rStyle w:val="normaltextrun"/>
          <w:lang w:val="en-GB"/>
        </w:rPr>
        <w:t xml:space="preserve">, 200 </w:t>
      </w:r>
      <w:proofErr w:type="spellStart"/>
      <w:r w:rsidRPr="004F60A0">
        <w:rPr>
          <w:rStyle w:val="normaltextrun"/>
          <w:lang w:val="en-GB"/>
        </w:rPr>
        <w:t>Μm</w:t>
      </w:r>
      <w:proofErr w:type="spellEnd"/>
      <w:r w:rsidRPr="004F60A0">
        <w:rPr>
          <w:rStyle w:val="normaltextrun"/>
          <w:lang w:val="en-GB"/>
        </w:rPr>
        <w:t xml:space="preserve">) and in combination: </w:t>
      </w:r>
      <w:r w:rsidRPr="004F60A0">
        <w:rPr>
          <w:lang w:val="en-US"/>
        </w:rPr>
        <w:t xml:space="preserve">50 </w:t>
      </w:r>
      <w:r w:rsidRPr="0019685C">
        <w:t>μ</w:t>
      </w:r>
      <w:r w:rsidRPr="004F60A0">
        <w:rPr>
          <w:lang w:val="en-US"/>
        </w:rPr>
        <w:t xml:space="preserve">M OLA with 50 </w:t>
      </w:r>
      <w:r w:rsidRPr="0019685C">
        <w:t>μ</w:t>
      </w:r>
      <w:r w:rsidRPr="004F60A0">
        <w:rPr>
          <w:lang w:val="en-US"/>
        </w:rPr>
        <w:t xml:space="preserve">M TMZ, or 50 </w:t>
      </w:r>
      <w:r w:rsidRPr="0019685C">
        <w:t>μ</w:t>
      </w:r>
      <w:r w:rsidRPr="004F60A0">
        <w:rPr>
          <w:lang w:val="en-US"/>
        </w:rPr>
        <w:t xml:space="preserve">M OXA with 50 </w:t>
      </w:r>
      <w:r w:rsidRPr="0019685C">
        <w:t>μ</w:t>
      </w:r>
      <w:r w:rsidRPr="004F60A0">
        <w:rPr>
          <w:lang w:val="en-US"/>
        </w:rPr>
        <w:t xml:space="preserve">M TMZ, or 50 </w:t>
      </w:r>
      <w:r w:rsidRPr="0019685C">
        <w:t>μ</w:t>
      </w:r>
      <w:r w:rsidRPr="004F60A0">
        <w:rPr>
          <w:lang w:val="en-US"/>
        </w:rPr>
        <w:t xml:space="preserve">M OXA with 50 </w:t>
      </w:r>
      <w:r w:rsidRPr="0019685C">
        <w:t>μ</w:t>
      </w:r>
      <w:r w:rsidRPr="004F60A0">
        <w:rPr>
          <w:lang w:val="en-US"/>
        </w:rPr>
        <w:t xml:space="preserve">M OLA, and in triplet 50 </w:t>
      </w:r>
      <w:r w:rsidRPr="0019685C">
        <w:t>μ</w:t>
      </w:r>
      <w:r w:rsidRPr="004F60A0">
        <w:rPr>
          <w:lang w:val="en-US"/>
        </w:rPr>
        <w:t xml:space="preserve">M OXA+50 </w:t>
      </w:r>
      <w:r w:rsidRPr="0019685C">
        <w:t>μ</w:t>
      </w:r>
      <w:r w:rsidRPr="004F60A0">
        <w:rPr>
          <w:lang w:val="en-US"/>
        </w:rPr>
        <w:t xml:space="preserve">M OLA+50 </w:t>
      </w:r>
      <w:r w:rsidRPr="0019685C">
        <w:t>μ</w:t>
      </w:r>
      <w:r w:rsidRPr="004F60A0">
        <w:rPr>
          <w:lang w:val="en-US"/>
        </w:rPr>
        <w:t xml:space="preserve">M TMZ.  </w:t>
      </w:r>
    </w:p>
    <w:p w14:paraId="75815CB8" w14:textId="3845DF4F" w:rsidR="00BA7C57" w:rsidRPr="00BA7C57" w:rsidRDefault="00BA7C57" w:rsidP="00BA7C57">
      <w:pPr>
        <w:pStyle w:val="Akapitzlist"/>
        <w:tabs>
          <w:tab w:val="left" w:pos="0"/>
        </w:tabs>
        <w:spacing w:line="480" w:lineRule="auto"/>
        <w:ind w:left="0" w:firstLine="567"/>
        <w:jc w:val="both"/>
        <w:rPr>
          <w:rFonts w:ascii="Times New Roman" w:eastAsia="Times New Roman" w:hAnsi="Times New Roman" w:cs="Times New Roman"/>
          <w:color w:val="000000"/>
          <w:lang w:val="en-US" w:eastAsia="pl-PL"/>
        </w:rPr>
      </w:pPr>
      <w:r w:rsidRPr="001D60C8">
        <w:rPr>
          <w:rFonts w:ascii="Times New Roman" w:eastAsia="Times New Roman" w:hAnsi="Times New Roman" w:cs="Times New Roman"/>
          <w:color w:val="000000"/>
          <w:lang w:val="en-US" w:eastAsia="pl-PL"/>
        </w:rPr>
        <w:t xml:space="preserve">Immediately after drug addition, the plates were exposed to ionizing radiation using a cobalt-60 (Co-60) source at doses of 2 Gy or 4 Gy. This experimental setup was designed to assess potential synergistic effects between chemotherapeutics and radiotherapy. Following 72 hours of incubation, cell viability was measured using the MTS assay and quantified with a </w:t>
      </w:r>
      <w:proofErr w:type="spellStart"/>
      <w:r w:rsidRPr="001D60C8">
        <w:rPr>
          <w:rFonts w:ascii="Times New Roman" w:eastAsia="Times New Roman" w:hAnsi="Times New Roman" w:cs="Times New Roman"/>
          <w:color w:val="000000"/>
          <w:lang w:val="en-US" w:eastAsia="pl-PL"/>
        </w:rPr>
        <w:t>Multiskan</w:t>
      </w:r>
      <w:proofErr w:type="spellEnd"/>
      <w:r w:rsidRPr="001D60C8">
        <w:rPr>
          <w:rFonts w:ascii="Times New Roman" w:eastAsia="Times New Roman" w:hAnsi="Times New Roman" w:cs="Times New Roman"/>
          <w:color w:val="000000"/>
          <w:lang w:val="en-US" w:eastAsia="pl-PL"/>
        </w:rPr>
        <w:t xml:space="preserve"> </w:t>
      </w:r>
      <w:proofErr w:type="spellStart"/>
      <w:r w:rsidRPr="001D60C8">
        <w:rPr>
          <w:rFonts w:ascii="Times New Roman" w:eastAsia="Times New Roman" w:hAnsi="Times New Roman" w:cs="Times New Roman"/>
          <w:color w:val="000000"/>
          <w:lang w:val="en-US" w:eastAsia="pl-PL"/>
        </w:rPr>
        <w:t>SkyHigh</w:t>
      </w:r>
      <w:proofErr w:type="spellEnd"/>
      <w:r w:rsidRPr="001D60C8">
        <w:rPr>
          <w:rFonts w:ascii="Times New Roman" w:eastAsia="Times New Roman" w:hAnsi="Times New Roman" w:cs="Times New Roman"/>
          <w:color w:val="000000"/>
          <w:lang w:val="en-US" w:eastAsia="pl-PL"/>
        </w:rPr>
        <w:t xml:space="preserve"> Microplate Spectrophotometer (</w:t>
      </w:r>
      <w:proofErr w:type="spellStart"/>
      <w:r w:rsidRPr="001D60C8">
        <w:rPr>
          <w:rFonts w:ascii="Times New Roman" w:eastAsia="Times New Roman" w:hAnsi="Times New Roman" w:cs="Times New Roman"/>
          <w:color w:val="000000"/>
          <w:lang w:val="en-US" w:eastAsia="pl-PL"/>
        </w:rPr>
        <w:t>ThermoFisher</w:t>
      </w:r>
      <w:proofErr w:type="spellEnd"/>
      <w:r w:rsidRPr="001D60C8">
        <w:rPr>
          <w:rFonts w:ascii="Times New Roman" w:eastAsia="Times New Roman" w:hAnsi="Times New Roman" w:cs="Times New Roman"/>
          <w:color w:val="000000"/>
          <w:lang w:val="en-US" w:eastAsia="pl-PL"/>
        </w:rPr>
        <w:t xml:space="preserve"> Scientific) as previously described.</w:t>
      </w:r>
    </w:p>
    <w:p w14:paraId="11E1B8E4" w14:textId="77777777" w:rsidR="00B62BA6" w:rsidRPr="004F60A0" w:rsidRDefault="00B62BA6" w:rsidP="00C50AF0">
      <w:pPr>
        <w:pStyle w:val="paragraph"/>
        <w:spacing w:before="0" w:after="0" w:line="480" w:lineRule="auto"/>
        <w:ind w:firstLine="567"/>
        <w:jc w:val="both"/>
        <w:textAlignment w:val="baseline"/>
        <w:rPr>
          <w:lang w:val="en-US"/>
        </w:rPr>
      </w:pPr>
      <w:r w:rsidRPr="002B120F">
        <w:rPr>
          <w:rStyle w:val="normaltextrun"/>
          <w:rFonts w:eastAsiaTheme="majorEastAsia"/>
          <w:lang w:val="en-GB"/>
        </w:rPr>
        <w:t>All</w:t>
      </w:r>
      <w:r w:rsidRPr="00F45E05">
        <w:rPr>
          <w:rStyle w:val="normaltextrun"/>
          <w:rFonts w:eastAsiaTheme="majorEastAsia"/>
          <w:lang w:val="en-GB"/>
        </w:rPr>
        <w:t xml:space="preserve"> groups of cells were initially plated in triplicate and later in quadruplicate for statistical analysis. Cell viability was tested using</w:t>
      </w:r>
      <w:r w:rsidRPr="004F60A0">
        <w:rPr>
          <w:rStyle w:val="normaltextrun"/>
          <w:rFonts w:eastAsiaTheme="majorEastAsia"/>
          <w:lang w:val="en-GB"/>
        </w:rPr>
        <w:t xml:space="preserve"> MTS (3-(4,5,-dimethylthiazol-2-yl)-5-(3-carboxymethoxyphenyl)-2-(4-sulfophe[1]nyl)-2H-tetrazolium) test (</w:t>
      </w:r>
      <w:proofErr w:type="spellStart"/>
      <w:r w:rsidRPr="004F60A0">
        <w:rPr>
          <w:rStyle w:val="normaltextrun"/>
          <w:rFonts w:eastAsiaTheme="majorEastAsia"/>
          <w:lang w:val="en-GB"/>
        </w:rPr>
        <w:t>CellTiter</w:t>
      </w:r>
      <w:proofErr w:type="spellEnd"/>
      <w:r w:rsidRPr="004F60A0">
        <w:rPr>
          <w:rStyle w:val="normaltextrun"/>
          <w:rFonts w:eastAsiaTheme="majorEastAsia"/>
          <w:lang w:val="en-GB"/>
        </w:rPr>
        <w:t xml:space="preserve"> 96® Aqueous One Solution Cell Proliferation Assay, Cat. No. G3582) </w:t>
      </w:r>
    </w:p>
    <w:p w14:paraId="1B7EBDCD" w14:textId="5CC04ADB" w:rsidR="00B62BA6" w:rsidRDefault="00B62BA6" w:rsidP="00B62BA6">
      <w:pPr>
        <w:pStyle w:val="paragraph"/>
        <w:spacing w:before="0" w:after="0" w:line="480" w:lineRule="auto"/>
        <w:ind w:firstLine="567"/>
        <w:jc w:val="both"/>
        <w:textAlignment w:val="baseline"/>
        <w:rPr>
          <w:rStyle w:val="eop"/>
          <w:lang w:val="en-GB"/>
        </w:rPr>
      </w:pPr>
      <w:r w:rsidRPr="0019685C">
        <w:rPr>
          <w:rStyle w:val="normaltextrun"/>
          <w:shd w:val="clear" w:color="auto" w:fill="FFFFFF"/>
          <w:lang w:val="en-GB"/>
        </w:rPr>
        <w:t>Briefly, after an incubation period of 72 h with chemotherapeutics</w:t>
      </w:r>
      <w:r>
        <w:rPr>
          <w:rStyle w:val="normaltextrun"/>
          <w:shd w:val="clear" w:color="auto" w:fill="FFFFFF"/>
          <w:lang w:val="en-GB"/>
        </w:rPr>
        <w:t xml:space="preserve"> </w:t>
      </w:r>
      <w:r w:rsidRPr="0019685C">
        <w:rPr>
          <w:rStyle w:val="normaltextrun"/>
          <w:shd w:val="clear" w:color="auto" w:fill="FFFFFF"/>
          <w:lang w:val="en-GB"/>
        </w:rPr>
        <w:t>100 µL medium without drugs and 20 µL of MTS dye solution were added per well and incubated for 2 h. The quantity of formazan product, directly proportional to the number of living cells in culture was detected by absorbance measurements at 490 nm with a 96-well plate reader program</w:t>
      </w:r>
      <w:r w:rsidRPr="0019685C">
        <w:rPr>
          <w:rStyle w:val="normaltextrun"/>
          <w:color w:val="000000"/>
          <w:shd w:val="clear" w:color="auto" w:fill="FFFFFF"/>
          <w:lang w:val="en-GB"/>
        </w:rPr>
        <w:t xml:space="preserve"> (Spark® Tecan, </w:t>
      </w:r>
      <w:proofErr w:type="spellStart"/>
      <w:r w:rsidRPr="0019685C">
        <w:rPr>
          <w:rStyle w:val="normaltextrun"/>
          <w:color w:val="000000"/>
          <w:shd w:val="clear" w:color="auto" w:fill="FFFFFF"/>
          <w:lang w:val="en-GB"/>
        </w:rPr>
        <w:t>Mannedorf</w:t>
      </w:r>
      <w:proofErr w:type="spellEnd"/>
      <w:r w:rsidRPr="0019685C">
        <w:rPr>
          <w:rStyle w:val="normaltextrun"/>
          <w:color w:val="000000"/>
          <w:shd w:val="clear" w:color="auto" w:fill="FFFFFF"/>
          <w:lang w:val="en-GB"/>
        </w:rPr>
        <w:t xml:space="preserve">, Switzerland) and </w:t>
      </w:r>
      <w:r w:rsidRPr="0019685C">
        <w:rPr>
          <w:color w:val="000000"/>
          <w:shd w:val="clear" w:color="auto" w:fill="FFFFFF"/>
          <w:lang w:val="en-US"/>
        </w:rPr>
        <w:t>pro</w:t>
      </w:r>
      <w:r w:rsidRPr="0019685C">
        <w:rPr>
          <w:color w:val="000000"/>
          <w:lang w:val="en-US"/>
        </w:rPr>
        <w:t>gram (</w:t>
      </w:r>
      <w:proofErr w:type="spellStart"/>
      <w:r w:rsidRPr="0019685C">
        <w:rPr>
          <w:color w:val="000000"/>
          <w:lang w:val="en-US"/>
        </w:rPr>
        <w:t>SkanIt</w:t>
      </w:r>
      <w:proofErr w:type="spellEnd"/>
      <w:r w:rsidRPr="0019685C">
        <w:rPr>
          <w:color w:val="000000"/>
          <w:lang w:val="en-US"/>
        </w:rPr>
        <w:t xml:space="preserve"> RE 7.0.2.) by </w:t>
      </w:r>
      <w:r w:rsidR="00621788">
        <w:rPr>
          <w:color w:val="000000"/>
          <w:lang w:val="en-US"/>
        </w:rPr>
        <w:t>two</w:t>
      </w:r>
      <w:r w:rsidRPr="0019685C">
        <w:rPr>
          <w:color w:val="000000"/>
          <w:lang w:val="en-US"/>
        </w:rPr>
        <w:t xml:space="preserve">-way ANOVA with Tukey’s post hoc test (p &lt; 0.05) and visualized using GraphPad Prism 8 software. </w:t>
      </w:r>
      <w:r w:rsidRPr="0019685C">
        <w:rPr>
          <w:rStyle w:val="normaltextrun"/>
          <w:color w:val="000000"/>
          <w:lang w:val="en-GB"/>
        </w:rPr>
        <w:t>Each sa</w:t>
      </w:r>
      <w:r w:rsidRPr="0019685C">
        <w:rPr>
          <w:rStyle w:val="normaltextrun"/>
          <w:lang w:val="en-GB"/>
        </w:rPr>
        <w:t>mple was measured three times. The measurements were stopped when the absorbance of the control exceeded the value of 2.0. </w:t>
      </w:r>
      <w:r w:rsidRPr="0019685C">
        <w:rPr>
          <w:rStyle w:val="eop"/>
          <w:lang w:val="en-GB"/>
        </w:rPr>
        <w:t> </w:t>
      </w:r>
    </w:p>
    <w:p w14:paraId="4367C7B3" w14:textId="77777777" w:rsidR="00BA7C57" w:rsidRPr="00BA7C57" w:rsidRDefault="00BA7C57" w:rsidP="00B62BA6">
      <w:pPr>
        <w:pStyle w:val="paragraph"/>
        <w:spacing w:before="0" w:after="0" w:line="480" w:lineRule="auto"/>
        <w:ind w:firstLine="567"/>
        <w:jc w:val="both"/>
        <w:textAlignment w:val="baseline"/>
        <w:rPr>
          <w:lang w:val="en-US"/>
        </w:rPr>
      </w:pPr>
    </w:p>
    <w:p w14:paraId="7931C206" w14:textId="77777777" w:rsidR="00C50AF0" w:rsidRDefault="00C50AF0">
      <w:pPr>
        <w:suppressAutoHyphens w:val="0"/>
        <w:spacing w:line="278" w:lineRule="auto"/>
        <w:rPr>
          <w:rStyle w:val="normaltextrun"/>
          <w:rFonts w:ascii="Times New Roman" w:eastAsia="Times New Roman" w:hAnsi="Times New Roman" w:cs="Times New Roman"/>
          <w:b/>
          <w:bCs/>
          <w:kern w:val="0"/>
          <w:lang w:val="en-GB" w:eastAsia="pl-PL"/>
        </w:rPr>
      </w:pPr>
      <w:r>
        <w:rPr>
          <w:rStyle w:val="normaltextrun"/>
          <w:b/>
          <w:bCs/>
          <w:lang w:val="en-GB"/>
        </w:rPr>
        <w:br w:type="page"/>
      </w:r>
    </w:p>
    <w:p w14:paraId="68441313" w14:textId="36C686E5" w:rsidR="00B62BA6" w:rsidRPr="0019685C" w:rsidRDefault="00B62BA6" w:rsidP="00B62BA6">
      <w:pPr>
        <w:pStyle w:val="paragraph"/>
        <w:spacing w:before="0" w:after="0" w:line="480" w:lineRule="auto"/>
        <w:ind w:left="720"/>
        <w:jc w:val="both"/>
        <w:textAlignment w:val="baseline"/>
        <w:rPr>
          <w:lang w:val="en-US"/>
        </w:rPr>
      </w:pPr>
      <w:r w:rsidRPr="0019685C">
        <w:rPr>
          <w:rStyle w:val="normaltextrun"/>
          <w:b/>
          <w:bCs/>
          <w:lang w:val="en-GB"/>
        </w:rPr>
        <w:lastRenderedPageBreak/>
        <w:t>4. Cell death analysis</w:t>
      </w:r>
      <w:r w:rsidRPr="0019685C">
        <w:rPr>
          <w:rStyle w:val="eop"/>
          <w:lang w:val="en-GB"/>
        </w:rPr>
        <w:t> </w:t>
      </w:r>
    </w:p>
    <w:p w14:paraId="7123A824" w14:textId="7FF6645C" w:rsidR="00FD2218" w:rsidRPr="0019685C" w:rsidRDefault="00FD2218" w:rsidP="00B62BA6">
      <w:pPr>
        <w:pStyle w:val="paragraph"/>
        <w:spacing w:before="0" w:after="0" w:line="480" w:lineRule="auto"/>
        <w:ind w:firstLine="555"/>
        <w:jc w:val="both"/>
        <w:textAlignment w:val="baseline"/>
        <w:rPr>
          <w:lang w:val="en-US"/>
        </w:rPr>
      </w:pPr>
      <w:r w:rsidRPr="001D60C8">
        <w:rPr>
          <w:lang w:val="en-GB"/>
        </w:rPr>
        <w:t xml:space="preserve">After 72 hours of combined treatment, cell death was assessed using the Apoptotic, Necrotic &amp; Healthy Cells Quantification Kit (Cat. 37-30018-1, </w:t>
      </w:r>
      <w:proofErr w:type="spellStart"/>
      <w:r w:rsidRPr="001D60C8">
        <w:rPr>
          <w:lang w:val="en-GB"/>
        </w:rPr>
        <w:t>Biotium</w:t>
      </w:r>
      <w:proofErr w:type="spellEnd"/>
      <w:r w:rsidRPr="001D60C8">
        <w:rPr>
          <w:lang w:val="en-GB"/>
        </w:rPr>
        <w:t xml:space="preserve">) following the manufacturer’s protocol, in combination with fluorescence microscopy (Zeiss </w:t>
      </w:r>
      <w:proofErr w:type="spellStart"/>
      <w:r w:rsidRPr="001D60C8">
        <w:rPr>
          <w:lang w:val="en-GB"/>
        </w:rPr>
        <w:t>Axio</w:t>
      </w:r>
      <w:proofErr w:type="spellEnd"/>
      <w:r w:rsidRPr="001D60C8">
        <w:rPr>
          <w:lang w:val="en-GB"/>
        </w:rPr>
        <w:t xml:space="preserve"> Imager Z2, </w:t>
      </w:r>
      <w:proofErr w:type="spellStart"/>
      <w:r w:rsidRPr="001D60C8">
        <w:rPr>
          <w:lang w:val="en-GB"/>
        </w:rPr>
        <w:t>MetaSystems</w:t>
      </w:r>
      <w:proofErr w:type="spellEnd"/>
      <w:r w:rsidRPr="001D60C8">
        <w:rPr>
          <w:lang w:val="en-GB"/>
        </w:rPr>
        <w:t xml:space="preserve">™, </w:t>
      </w:r>
      <w:proofErr w:type="spellStart"/>
      <w:r w:rsidRPr="001D60C8">
        <w:rPr>
          <w:lang w:val="en-GB"/>
        </w:rPr>
        <w:t>Altlussheim</w:t>
      </w:r>
      <w:proofErr w:type="spellEnd"/>
      <w:r w:rsidRPr="001D60C8">
        <w:rPr>
          <w:lang w:val="en-GB"/>
        </w:rPr>
        <w:t xml:space="preserve">, Germany). Images were acquired and </w:t>
      </w:r>
      <w:proofErr w:type="spellStart"/>
      <w:r w:rsidRPr="001D60C8">
        <w:rPr>
          <w:lang w:val="en-GB"/>
        </w:rPr>
        <w:t>analyzed</w:t>
      </w:r>
      <w:proofErr w:type="spellEnd"/>
      <w:r w:rsidRPr="001D60C8">
        <w:rPr>
          <w:lang w:val="en-GB"/>
        </w:rPr>
        <w:t xml:space="preserve"> with ISIS software (</w:t>
      </w:r>
      <w:proofErr w:type="spellStart"/>
      <w:r w:rsidRPr="001D60C8">
        <w:rPr>
          <w:lang w:val="en-GB"/>
        </w:rPr>
        <w:t>MetaSystems</w:t>
      </w:r>
      <w:proofErr w:type="spellEnd"/>
      <w:r w:rsidRPr="001D60C8">
        <w:rPr>
          <w:lang w:val="en-GB"/>
        </w:rPr>
        <w:t xml:space="preserve">™) to quantify early and late apoptosis, necrosis, and live cell populations. For each condition, 4–6 representative fields containing at least 100 cells per field were evaluated. All slides were coded and </w:t>
      </w:r>
      <w:proofErr w:type="spellStart"/>
      <w:r w:rsidRPr="001D60C8">
        <w:rPr>
          <w:lang w:val="en-GB"/>
        </w:rPr>
        <w:t>analyzed</w:t>
      </w:r>
      <w:proofErr w:type="spellEnd"/>
      <w:r w:rsidRPr="001D60C8">
        <w:rPr>
          <w:lang w:val="en-GB"/>
        </w:rPr>
        <w:t xml:space="preserve"> in a blinded manner. Results are presented as percentages of total cells for each population (early apoptosis, late apoptosis, necrosis, live cells) after 72 hours of treatment.</w:t>
      </w:r>
    </w:p>
    <w:p w14:paraId="122D0F67"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Pr>
          <w:rStyle w:val="normaltextrun"/>
          <w:lang w:val="en-GB"/>
        </w:rPr>
        <w:t>Three</w:t>
      </w:r>
      <w:r w:rsidRPr="0019685C">
        <w:rPr>
          <w:rStyle w:val="normaltextrun"/>
          <w:lang w:val="en-GB"/>
        </w:rPr>
        <w:t xml:space="preserve"> cell lines (3×10</w:t>
      </w:r>
      <w:r w:rsidRPr="0019685C">
        <w:rPr>
          <w:rStyle w:val="normaltextrun"/>
          <w:sz w:val="28"/>
          <w:vertAlign w:val="superscript"/>
          <w:lang w:val="en-GB"/>
        </w:rPr>
        <w:t>4</w:t>
      </w:r>
      <w:r w:rsidRPr="0019685C">
        <w:rPr>
          <w:rStyle w:val="normaltextrun"/>
          <w:lang w:val="en-GB"/>
        </w:rPr>
        <w:t xml:space="preserve">) were seeded in Tissue Culture Plate – 6 well test plates for adherent and suspension cultures (Cat. </w:t>
      </w:r>
      <w:r w:rsidRPr="0019685C">
        <w:rPr>
          <w:rStyle w:val="normaltextrun"/>
          <w:lang w:val="en-US"/>
        </w:rPr>
        <w:t>92406, TPP)</w:t>
      </w:r>
      <w:r w:rsidRPr="0019685C">
        <w:rPr>
          <w:rStyle w:val="normaltextrun"/>
          <w:lang w:val="en-GB"/>
        </w:rPr>
        <w:t>, sterile, individually packed, and incubated in a complete medium without the drug for 24 h. Further incubation was performed for 72 h after changing the medium to the following:  </w:t>
      </w:r>
      <w:r w:rsidRPr="0019685C">
        <w:rPr>
          <w:rStyle w:val="eop"/>
          <w:lang w:val="en-GB"/>
        </w:rPr>
        <w:t> </w:t>
      </w:r>
      <w:r w:rsidRPr="0019685C">
        <w:rPr>
          <w:rStyle w:val="normaltextrun"/>
          <w:lang w:val="en-GB"/>
        </w:rPr>
        <w:t>serum-free DMEM (control groups),  </w:t>
      </w:r>
      <w:r w:rsidRPr="0019685C">
        <w:rPr>
          <w:rStyle w:val="eop"/>
          <w:lang w:val="en-GB"/>
        </w:rPr>
        <w:t> </w:t>
      </w:r>
    </w:p>
    <w:p w14:paraId="65B4A746"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sidRPr="0019685C">
        <w:rPr>
          <w:rStyle w:val="normaltextrun"/>
          <w:lang w:val="en-GB"/>
        </w:rPr>
        <w:t>10</w:t>
      </w:r>
      <w:r>
        <w:rPr>
          <w:rStyle w:val="normaltextrun"/>
          <w:lang w:val="en-GB"/>
        </w:rPr>
        <w:t>0</w:t>
      </w:r>
      <w:r w:rsidRPr="0019685C">
        <w:rPr>
          <w:rStyle w:val="normaltextrun"/>
          <w:lang w:val="en-GB"/>
        </w:rPr>
        <w:t xml:space="preserve"> </w:t>
      </w:r>
      <w:proofErr w:type="spellStart"/>
      <w:r w:rsidRPr="0019685C">
        <w:rPr>
          <w:rStyle w:val="normaltextrun"/>
          <w:lang w:val="en-GB"/>
        </w:rPr>
        <w:t>μM</w:t>
      </w:r>
      <w:proofErr w:type="spellEnd"/>
      <w:r w:rsidRPr="0019685C">
        <w:rPr>
          <w:rStyle w:val="normaltextrun"/>
          <w:lang w:val="en-GB"/>
        </w:rPr>
        <w:t xml:space="preserve"> OLA in serum-free DMEM (OLA group) </w:t>
      </w:r>
      <w:r w:rsidRPr="0019685C">
        <w:rPr>
          <w:rStyle w:val="eop"/>
          <w:lang w:val="en-GB"/>
        </w:rPr>
        <w:t> </w:t>
      </w:r>
    </w:p>
    <w:p w14:paraId="5E8225DC"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sidRPr="0019685C">
        <w:rPr>
          <w:rStyle w:val="normaltextrun"/>
          <w:lang w:val="en-GB"/>
        </w:rPr>
        <w:t xml:space="preserve">100 </w:t>
      </w:r>
      <w:proofErr w:type="spellStart"/>
      <w:r w:rsidRPr="0019685C">
        <w:rPr>
          <w:rStyle w:val="normaltextrun"/>
          <w:lang w:val="en-GB"/>
        </w:rPr>
        <w:t>μM</w:t>
      </w:r>
      <w:proofErr w:type="spellEnd"/>
      <w:r w:rsidRPr="0019685C">
        <w:rPr>
          <w:rStyle w:val="normaltextrun"/>
          <w:lang w:val="en-GB"/>
        </w:rPr>
        <w:t xml:space="preserve"> TMZ in serum-free DMEM (TMZ group),  </w:t>
      </w:r>
      <w:r w:rsidRPr="0019685C">
        <w:rPr>
          <w:rStyle w:val="eop"/>
          <w:lang w:val="en-GB"/>
        </w:rPr>
        <w:t> </w:t>
      </w:r>
    </w:p>
    <w:p w14:paraId="41F3454F"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sidRPr="0019685C">
        <w:rPr>
          <w:rStyle w:val="normaltextrun"/>
          <w:lang w:val="en-GB"/>
        </w:rPr>
        <w:t xml:space="preserve">50 </w:t>
      </w:r>
      <w:proofErr w:type="spellStart"/>
      <w:r w:rsidRPr="0019685C">
        <w:rPr>
          <w:rStyle w:val="normaltextrun"/>
          <w:lang w:val="en-GB"/>
        </w:rPr>
        <w:t>μM</w:t>
      </w:r>
      <w:proofErr w:type="spellEnd"/>
      <w:r w:rsidRPr="0019685C">
        <w:rPr>
          <w:rStyle w:val="normaltextrun"/>
          <w:lang w:val="en-GB"/>
        </w:rPr>
        <w:t xml:space="preserve"> OXA in serum-free DMEM (OXA group) </w:t>
      </w:r>
      <w:r w:rsidRPr="0019685C">
        <w:rPr>
          <w:rStyle w:val="eop"/>
          <w:lang w:val="en-GB"/>
        </w:rPr>
        <w:t> </w:t>
      </w:r>
    </w:p>
    <w:p w14:paraId="2CB6C01E"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sidRPr="0019685C">
        <w:rPr>
          <w:rStyle w:val="normaltextrun"/>
          <w:lang w:val="en-GB"/>
        </w:rPr>
        <w:t xml:space="preserve">100 </w:t>
      </w:r>
      <w:proofErr w:type="spellStart"/>
      <w:r w:rsidRPr="0019685C">
        <w:rPr>
          <w:rStyle w:val="normaltextrun"/>
          <w:lang w:val="en-GB"/>
        </w:rPr>
        <w:t>μM</w:t>
      </w:r>
      <w:proofErr w:type="spellEnd"/>
      <w:r w:rsidRPr="0019685C">
        <w:rPr>
          <w:rStyle w:val="normaltextrun"/>
          <w:lang w:val="en-GB"/>
        </w:rPr>
        <w:t xml:space="preserve"> OXA in serum-free DMEM (OXA group)  </w:t>
      </w:r>
      <w:r w:rsidRPr="0019685C">
        <w:rPr>
          <w:rStyle w:val="eop"/>
          <w:lang w:val="en-GB"/>
        </w:rPr>
        <w:t> </w:t>
      </w:r>
    </w:p>
    <w:p w14:paraId="79F4FF42"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sidRPr="0019685C">
        <w:rPr>
          <w:rStyle w:val="normaltextrun"/>
          <w:lang w:val="en-GB"/>
        </w:rPr>
        <w:t xml:space="preserve">200 </w:t>
      </w:r>
      <w:proofErr w:type="spellStart"/>
      <w:r w:rsidRPr="0019685C">
        <w:rPr>
          <w:rStyle w:val="normaltextrun"/>
          <w:lang w:val="en-GB"/>
        </w:rPr>
        <w:t>μM</w:t>
      </w:r>
      <w:proofErr w:type="spellEnd"/>
      <w:r w:rsidRPr="0019685C">
        <w:rPr>
          <w:rStyle w:val="normaltextrun"/>
          <w:lang w:val="en-GB"/>
        </w:rPr>
        <w:t xml:space="preserve"> OXA in serum-free DMEM (OXA group) </w:t>
      </w:r>
      <w:r w:rsidRPr="0019685C">
        <w:rPr>
          <w:rStyle w:val="eop"/>
          <w:lang w:val="en-GB"/>
        </w:rPr>
        <w:t> </w:t>
      </w:r>
    </w:p>
    <w:p w14:paraId="46F1884D"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sidRPr="0019685C">
        <w:rPr>
          <w:rStyle w:val="normaltextrun"/>
          <w:lang w:val="en-GB"/>
        </w:rPr>
        <w:t xml:space="preserve">50 </w:t>
      </w:r>
      <w:proofErr w:type="spellStart"/>
      <w:r w:rsidRPr="0019685C">
        <w:rPr>
          <w:rStyle w:val="normaltextrun"/>
          <w:lang w:val="en-GB"/>
        </w:rPr>
        <w:t>μM</w:t>
      </w:r>
      <w:proofErr w:type="spellEnd"/>
      <w:r w:rsidRPr="0019685C">
        <w:rPr>
          <w:rStyle w:val="normaltextrun"/>
          <w:lang w:val="en-GB"/>
        </w:rPr>
        <w:t xml:space="preserve"> TMZ + 50 </w:t>
      </w:r>
      <w:proofErr w:type="spellStart"/>
      <w:r w:rsidRPr="0019685C">
        <w:rPr>
          <w:rStyle w:val="normaltextrun"/>
          <w:lang w:val="en-GB"/>
        </w:rPr>
        <w:t>μM</w:t>
      </w:r>
      <w:proofErr w:type="spellEnd"/>
      <w:r w:rsidRPr="0019685C">
        <w:rPr>
          <w:rStyle w:val="normaltextrun"/>
          <w:lang w:val="en-GB"/>
        </w:rPr>
        <w:t xml:space="preserve"> OLA in serum-free DMEM (TMZ + OLA group). </w:t>
      </w:r>
      <w:r w:rsidRPr="0019685C">
        <w:rPr>
          <w:rStyle w:val="eop"/>
          <w:lang w:val="en-GB"/>
        </w:rPr>
        <w:t> </w:t>
      </w:r>
    </w:p>
    <w:p w14:paraId="3B06DF98"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sidRPr="0019685C">
        <w:rPr>
          <w:rStyle w:val="normaltextrun"/>
          <w:lang w:val="en-GB"/>
        </w:rPr>
        <w:t xml:space="preserve">50 </w:t>
      </w:r>
      <w:proofErr w:type="spellStart"/>
      <w:r w:rsidRPr="0019685C">
        <w:rPr>
          <w:rStyle w:val="normaltextrun"/>
          <w:lang w:val="en-GB"/>
        </w:rPr>
        <w:t>μM</w:t>
      </w:r>
      <w:proofErr w:type="spellEnd"/>
      <w:r w:rsidRPr="0019685C">
        <w:rPr>
          <w:rStyle w:val="normaltextrun"/>
          <w:lang w:val="en-GB"/>
        </w:rPr>
        <w:t xml:space="preserve"> TMZ + 50 </w:t>
      </w:r>
      <w:proofErr w:type="spellStart"/>
      <w:r w:rsidRPr="0019685C">
        <w:rPr>
          <w:rStyle w:val="normaltextrun"/>
          <w:lang w:val="en-GB"/>
        </w:rPr>
        <w:t>μM</w:t>
      </w:r>
      <w:proofErr w:type="spellEnd"/>
      <w:r w:rsidRPr="0019685C">
        <w:rPr>
          <w:rStyle w:val="normaltextrun"/>
          <w:lang w:val="en-GB"/>
        </w:rPr>
        <w:t xml:space="preserve"> OLA + 50 </w:t>
      </w:r>
      <w:proofErr w:type="spellStart"/>
      <w:r w:rsidRPr="0019685C">
        <w:rPr>
          <w:rStyle w:val="normaltextrun"/>
          <w:lang w:val="en-GB"/>
        </w:rPr>
        <w:t>μM</w:t>
      </w:r>
      <w:proofErr w:type="spellEnd"/>
      <w:r w:rsidRPr="0019685C">
        <w:rPr>
          <w:rStyle w:val="normaltextrun"/>
          <w:lang w:val="en-GB"/>
        </w:rPr>
        <w:t xml:space="preserve"> OXA in serum-free DMEM (TMZ + OLA+ OXA group)</w:t>
      </w:r>
      <w:r w:rsidRPr="0019685C">
        <w:rPr>
          <w:rStyle w:val="eop"/>
          <w:lang w:val="en-GB"/>
        </w:rPr>
        <w:t> </w:t>
      </w:r>
    </w:p>
    <w:p w14:paraId="11BC9A18" w14:textId="77777777" w:rsidR="00B62BA6" w:rsidRPr="0019685C" w:rsidRDefault="00B62BA6" w:rsidP="00B62BA6">
      <w:pPr>
        <w:pStyle w:val="paragraph"/>
        <w:numPr>
          <w:ilvl w:val="0"/>
          <w:numId w:val="2"/>
        </w:numPr>
        <w:spacing w:before="0" w:after="0" w:line="480" w:lineRule="auto"/>
        <w:ind w:left="737" w:hanging="737"/>
        <w:jc w:val="both"/>
        <w:textAlignment w:val="baseline"/>
        <w:rPr>
          <w:lang w:val="en-US"/>
        </w:rPr>
      </w:pPr>
      <w:r w:rsidRPr="0019685C">
        <w:rPr>
          <w:rStyle w:val="normaltextrun"/>
          <w:lang w:val="en-GB"/>
        </w:rPr>
        <w:t xml:space="preserve">50 </w:t>
      </w:r>
      <w:proofErr w:type="spellStart"/>
      <w:r w:rsidRPr="0019685C">
        <w:rPr>
          <w:rStyle w:val="normaltextrun"/>
          <w:lang w:val="en-GB"/>
        </w:rPr>
        <w:t>μM</w:t>
      </w:r>
      <w:proofErr w:type="spellEnd"/>
      <w:r w:rsidRPr="0019685C">
        <w:rPr>
          <w:rStyle w:val="normaltextrun"/>
          <w:lang w:val="en-GB"/>
        </w:rPr>
        <w:t xml:space="preserve"> OXA + 50 </w:t>
      </w:r>
      <w:proofErr w:type="spellStart"/>
      <w:r w:rsidRPr="0019685C">
        <w:rPr>
          <w:rStyle w:val="normaltextrun"/>
          <w:lang w:val="en-GB"/>
        </w:rPr>
        <w:t>μM</w:t>
      </w:r>
      <w:proofErr w:type="spellEnd"/>
      <w:r w:rsidRPr="0019685C">
        <w:rPr>
          <w:rStyle w:val="normaltextrun"/>
          <w:lang w:val="en-GB"/>
        </w:rPr>
        <w:t xml:space="preserve"> OLA in serum-free DMEM (OXA + OLA group)</w:t>
      </w:r>
      <w:r w:rsidRPr="0019685C">
        <w:rPr>
          <w:rStyle w:val="eop"/>
          <w:lang w:val="en-GB"/>
        </w:rPr>
        <w:t> </w:t>
      </w:r>
    </w:p>
    <w:p w14:paraId="0B705653" w14:textId="77777777" w:rsidR="00B62BA6" w:rsidRPr="0019685C" w:rsidRDefault="00B62BA6" w:rsidP="00B62BA6">
      <w:pPr>
        <w:pStyle w:val="paragraph"/>
        <w:spacing w:before="0" w:after="0" w:line="480" w:lineRule="auto"/>
        <w:ind w:firstLine="555"/>
        <w:jc w:val="both"/>
        <w:textAlignment w:val="baseline"/>
        <w:rPr>
          <w:lang w:val="en-US"/>
        </w:rPr>
      </w:pPr>
      <w:r w:rsidRPr="0019685C">
        <w:rPr>
          <w:rStyle w:val="normaltextrun"/>
          <w:lang w:val="en-GB"/>
        </w:rPr>
        <w:lastRenderedPageBreak/>
        <w:t>The medium from each well was transferred into a pre-</w:t>
      </w:r>
      <w:proofErr w:type="spellStart"/>
      <w:r w:rsidRPr="0019685C">
        <w:rPr>
          <w:rStyle w:val="normaltextrun"/>
          <w:lang w:val="en-GB"/>
        </w:rPr>
        <w:t>labeled</w:t>
      </w:r>
      <w:proofErr w:type="spellEnd"/>
      <w:r w:rsidRPr="0019685C">
        <w:rPr>
          <w:rStyle w:val="normaltextrun"/>
          <w:lang w:val="en-GB"/>
        </w:rPr>
        <w:t xml:space="preserve"> separate centrifuge tube. Adherent cells from the same well were then </w:t>
      </w:r>
      <w:proofErr w:type="spellStart"/>
      <w:r w:rsidRPr="0019685C">
        <w:rPr>
          <w:rStyle w:val="normaltextrun"/>
          <w:lang w:val="en-GB"/>
        </w:rPr>
        <w:t>trypsinized</w:t>
      </w:r>
      <w:proofErr w:type="spellEnd"/>
      <w:r w:rsidRPr="0019685C">
        <w:rPr>
          <w:rStyle w:val="normaltextrun"/>
          <w:lang w:val="en-GB"/>
        </w:rPr>
        <w:t xml:space="preserve"> and transferred to the same tubes. All samples were centrifuged, and the supernatant was discarded. Pellets were re-suspended in a solution containing 5 </w:t>
      </w:r>
      <w:proofErr w:type="spellStart"/>
      <w:r w:rsidRPr="0019685C">
        <w:rPr>
          <w:rStyle w:val="normaltextrun"/>
          <w:lang w:val="en-GB"/>
        </w:rPr>
        <w:t>μl</w:t>
      </w:r>
      <w:proofErr w:type="spellEnd"/>
      <w:r w:rsidRPr="0019685C">
        <w:rPr>
          <w:rStyle w:val="normaltextrun"/>
          <w:lang w:val="en-GB"/>
        </w:rPr>
        <w:t xml:space="preserve"> Annexin V-FITC conjugated and 5 </w:t>
      </w:r>
      <w:proofErr w:type="spellStart"/>
      <w:r w:rsidRPr="0019685C">
        <w:rPr>
          <w:rStyle w:val="normaltextrun"/>
          <w:lang w:val="en-GB"/>
        </w:rPr>
        <w:t>μl</w:t>
      </w:r>
      <w:proofErr w:type="spellEnd"/>
      <w:r w:rsidRPr="0019685C">
        <w:rPr>
          <w:rStyle w:val="normaltextrun"/>
          <w:lang w:val="en-GB"/>
        </w:rPr>
        <w:t xml:space="preserve"> </w:t>
      </w:r>
      <w:r w:rsidRPr="0019685C">
        <w:rPr>
          <w:color w:val="000000" w:themeColor="dark1"/>
          <w:shd w:val="clear" w:color="auto" w:fill="FFFFFF"/>
          <w:lang w:val="en-GB"/>
        </w:rPr>
        <w:t>Ethidium Homodimer III (</w:t>
      </w:r>
      <w:proofErr w:type="spellStart"/>
      <w:r w:rsidRPr="0019685C">
        <w:rPr>
          <w:rStyle w:val="normaltextrun"/>
          <w:lang w:val="en-GB"/>
        </w:rPr>
        <w:t>EthD</w:t>
      </w:r>
      <w:proofErr w:type="spellEnd"/>
      <w:r w:rsidRPr="0019685C">
        <w:rPr>
          <w:rStyle w:val="normaltextrun"/>
          <w:lang w:val="en-GB"/>
        </w:rPr>
        <w:t>-III) and incubated for 15 minutes in the dark at room temperature.</w:t>
      </w:r>
    </w:p>
    <w:p w14:paraId="6FAC6C31" w14:textId="469C08E8" w:rsidR="00B62BA6" w:rsidRPr="005321D2" w:rsidRDefault="00B62BA6" w:rsidP="005321D2">
      <w:pPr>
        <w:pStyle w:val="paragraph"/>
        <w:spacing w:before="0" w:after="0" w:line="480" w:lineRule="auto"/>
        <w:ind w:firstLine="555"/>
        <w:jc w:val="both"/>
        <w:textAlignment w:val="baseline"/>
        <w:rPr>
          <w:color w:val="000000" w:themeColor="dark1"/>
          <w:shd w:val="clear" w:color="auto" w:fill="FFFFFF"/>
          <w:lang w:val="en-GB"/>
        </w:rPr>
      </w:pPr>
      <w:proofErr w:type="spellStart"/>
      <w:r w:rsidRPr="0019685C">
        <w:rPr>
          <w:rStyle w:val="normaltextrun"/>
          <w:color w:val="000000" w:themeColor="dark1"/>
          <w:lang w:val="en-GB"/>
        </w:rPr>
        <w:t>EthD</w:t>
      </w:r>
      <w:proofErr w:type="spellEnd"/>
      <w:r w:rsidRPr="0019685C">
        <w:rPr>
          <w:rStyle w:val="normaltextrun"/>
          <w:color w:val="000000" w:themeColor="dark1"/>
          <w:lang w:val="en-GB"/>
        </w:rPr>
        <w:t>-III</w:t>
      </w:r>
      <w:r w:rsidRPr="0019685C">
        <w:rPr>
          <w:color w:val="000000" w:themeColor="dark1"/>
          <w:shd w:val="clear" w:color="auto" w:fill="FFFFFF"/>
          <w:lang w:val="en-GB"/>
        </w:rPr>
        <w:t xml:space="preserve"> is a highly positively charged nucleic acid probe, which is impermeant to live cells, but stains cells with compromised membrane integrity with red fluorescence. </w:t>
      </w:r>
      <w:r w:rsidRPr="0019685C">
        <w:rPr>
          <w:rStyle w:val="eop"/>
          <w:color w:val="000000" w:themeColor="dark1"/>
          <w:lang w:val="en-GB"/>
        </w:rPr>
        <w:t> </w:t>
      </w:r>
      <w:proofErr w:type="spellStart"/>
      <w:r w:rsidRPr="0019685C">
        <w:rPr>
          <w:color w:val="000000" w:themeColor="dark1"/>
          <w:shd w:val="clear" w:color="auto" w:fill="FFFFFF"/>
          <w:lang w:val="en-GB"/>
        </w:rPr>
        <w:t>EthD</w:t>
      </w:r>
      <w:proofErr w:type="spellEnd"/>
      <w:r w:rsidRPr="0019685C">
        <w:rPr>
          <w:color w:val="000000" w:themeColor="dark1"/>
          <w:shd w:val="clear" w:color="auto" w:fill="FFFFFF"/>
          <w:lang w:val="en-GB"/>
        </w:rPr>
        <w:t>-III is a superior alternative to Propidium Iodide (PI) because of its significantly higher affinity for DNA and higher fluorescence quantum yield. </w:t>
      </w:r>
      <w:r w:rsidRPr="0019685C">
        <w:rPr>
          <w:rStyle w:val="normaltextrun"/>
          <w:color w:val="000000" w:themeColor="dark1"/>
          <w:lang w:val="en-GB"/>
        </w:rPr>
        <w:t xml:space="preserve">The number of apoptotic and necrotic cells was assessed by manually counting 100 random microscopic fields per person. </w:t>
      </w:r>
      <w:r w:rsidRPr="0019685C">
        <w:rPr>
          <w:color w:val="000000" w:themeColor="dark1"/>
          <w:shd w:val="clear" w:color="auto" w:fill="FFFFFF"/>
          <w:lang w:val="en-GB"/>
        </w:rPr>
        <w:t>The Apoptosis and Necrosis Quantitation Kit provides a convenient assay for quantifying apoptotic (green) and necrotic (red) cells within the same cell population by fluorescence microscopy</w:t>
      </w:r>
      <w:r w:rsidR="005321D2">
        <w:rPr>
          <w:color w:val="000000" w:themeColor="dark1"/>
          <w:shd w:val="clear" w:color="auto" w:fill="FFFFFF"/>
          <w:lang w:val="en-GB"/>
        </w:rPr>
        <w:t xml:space="preserve">[    </w:t>
      </w:r>
      <w:r w:rsidR="005321D2" w:rsidRPr="005321D2">
        <w:rPr>
          <w:color w:val="000000" w:themeColor="dark1"/>
          <w:shd w:val="clear" w:color="auto" w:fill="FFFFFF"/>
          <w:lang w:val="en-GB"/>
        </w:rPr>
        <w:t>https://doi.org/10.1007/s43440-025-00783-w</w:t>
      </w:r>
      <w:r w:rsidRPr="0019685C">
        <w:rPr>
          <w:color w:val="000000" w:themeColor="dark1"/>
          <w:shd w:val="clear" w:color="auto" w:fill="FFFFFF"/>
          <w:lang w:val="en-GB"/>
        </w:rPr>
        <w:t xml:space="preserve">]. Apoptosis can be determined using morphological analysis of cells. Fluorescence microscopy is a basic technique enabling the recognition of morphological changes associated with apoptosis and necrosis. Typical features of an apoptotic cell are chromatin condensation, reduction of cell volume, and formation of apoptotic bodies. Fluorescence microscopy, using dyes such as Hoechst and annexin V, enables selective staining of dead and live cells, as well as cells in the early phases of apoptosis, which combine with phosphatidylserine, which moves to the outer side of the cell membrane in the </w:t>
      </w:r>
      <w:r w:rsidRPr="00F45E05">
        <w:rPr>
          <w:color w:val="000000" w:themeColor="dark1"/>
          <w:shd w:val="clear" w:color="auto" w:fill="FFFFFF"/>
          <w:lang w:val="en-GB"/>
        </w:rPr>
        <w:t>apoptotic process [</w:t>
      </w:r>
      <w:r w:rsidRPr="00F45E05">
        <w:rPr>
          <w:shd w:val="clear" w:color="auto" w:fill="FFFFFF"/>
          <w:lang w:val="en-GB"/>
        </w:rPr>
        <w:t>https://doi.org/10.3390/cancers13246287</w:t>
      </w:r>
      <w:r w:rsidRPr="00F45E05">
        <w:rPr>
          <w:color w:val="000000" w:themeColor="dark1"/>
          <w:shd w:val="clear" w:color="auto" w:fill="FFFFFF"/>
          <w:lang w:val="en-GB"/>
        </w:rPr>
        <w:t xml:space="preserve">]. Additional staining with </w:t>
      </w:r>
      <w:proofErr w:type="spellStart"/>
      <w:r w:rsidRPr="00F45E05">
        <w:rPr>
          <w:color w:val="000000" w:themeColor="dark1"/>
          <w:shd w:val="clear" w:color="auto" w:fill="FFFFFF"/>
          <w:lang w:val="en-GB"/>
        </w:rPr>
        <w:t>EthD</w:t>
      </w:r>
      <w:proofErr w:type="spellEnd"/>
      <w:r w:rsidRPr="00F45E05">
        <w:rPr>
          <w:color w:val="000000" w:themeColor="dark1"/>
          <w:shd w:val="clear" w:color="auto" w:fill="FFFFFF"/>
          <w:lang w:val="en-GB"/>
        </w:rPr>
        <w:t>-III allows the identification of dead necrotic cells and their differentiation from those undergoing apoptosis [</w:t>
      </w:r>
      <w:r w:rsidR="005321D2" w:rsidRPr="00F45E05">
        <w:rPr>
          <w:color w:val="000000" w:themeColor="dark1"/>
          <w:shd w:val="clear" w:color="auto" w:fill="FFFFFF"/>
          <w:lang w:val="en-GB"/>
        </w:rPr>
        <w:t>https://doi.org/10.1007/s43440-025-00783-w</w:t>
      </w:r>
      <w:r w:rsidRPr="00F45E05">
        <w:rPr>
          <w:rStyle w:val="Hipercze"/>
          <w:color w:val="000000" w:themeColor="dark1"/>
          <w:shd w:val="clear" w:color="auto" w:fill="FFFFFF"/>
          <w:lang w:val="en-GB"/>
        </w:rPr>
        <w:t xml:space="preserve">; </w:t>
      </w:r>
      <w:r w:rsidR="00430CFF" w:rsidRPr="002B120F">
        <w:rPr>
          <w:rFonts w:eastAsia="Calibri"/>
          <w:shd w:val="clear" w:color="auto" w:fill="FFFFFF"/>
          <w:lang w:val="en-GB"/>
        </w:rPr>
        <w:t>https://doi.org/10.1038/sj.bjc.6604856</w:t>
      </w:r>
      <w:r w:rsidR="00430CFF" w:rsidRPr="002B120F">
        <w:rPr>
          <w:rStyle w:val="Hipercze"/>
          <w:rFonts w:eastAsia="Calibri"/>
          <w:color w:val="000000" w:themeColor="dark1"/>
          <w:u w:val="none"/>
          <w:shd w:val="clear" w:color="auto" w:fill="FFFFFF"/>
          <w:lang w:val="en-GB"/>
        </w:rPr>
        <w:t xml:space="preserve">; </w:t>
      </w:r>
      <w:r w:rsidRPr="002B120F">
        <w:rPr>
          <w:rFonts w:eastAsia="Calibri"/>
          <w:shd w:val="clear" w:color="auto" w:fill="FFFFFF"/>
          <w:lang w:val="en-GB"/>
        </w:rPr>
        <w:t>https://biotium.com/product/apoptotic-necrotic-healthy-cells-quantification-kit/</w:t>
      </w:r>
      <w:r w:rsidRPr="00F45E05">
        <w:rPr>
          <w:color w:val="000000" w:themeColor="dark1"/>
          <w:shd w:val="clear" w:color="auto" w:fill="FFFFFF"/>
          <w:lang w:val="en-GB"/>
        </w:rPr>
        <w:t>].</w:t>
      </w:r>
    </w:p>
    <w:p w14:paraId="44BF7CED" w14:textId="0AC89BDE" w:rsidR="00B62BA6" w:rsidRDefault="00B62BA6" w:rsidP="00B62BA6">
      <w:pPr>
        <w:pStyle w:val="paragraph"/>
        <w:spacing w:before="0" w:after="0" w:line="480" w:lineRule="auto"/>
        <w:ind w:firstLine="555"/>
        <w:jc w:val="both"/>
        <w:textAlignment w:val="baseline"/>
        <w:rPr>
          <w:color w:val="000000" w:themeColor="dark1"/>
          <w:shd w:val="clear" w:color="auto" w:fill="FFFFFF"/>
          <w:lang w:val="en-GB"/>
        </w:rPr>
      </w:pPr>
      <w:r w:rsidRPr="0019685C">
        <w:rPr>
          <w:color w:val="000000" w:themeColor="dark1"/>
          <w:shd w:val="clear" w:color="auto" w:fill="FFFFFF"/>
          <w:lang w:val="en-GB"/>
        </w:rPr>
        <w:lastRenderedPageBreak/>
        <w:t xml:space="preserve">As demonstrated by Annexin V and </w:t>
      </w:r>
      <w:proofErr w:type="spellStart"/>
      <w:r w:rsidRPr="0019685C">
        <w:rPr>
          <w:color w:val="000000" w:themeColor="dark1"/>
          <w:shd w:val="clear" w:color="auto" w:fill="FFFFFF"/>
          <w:lang w:val="en-GB"/>
        </w:rPr>
        <w:t>EthD</w:t>
      </w:r>
      <w:proofErr w:type="spellEnd"/>
      <w:r w:rsidRPr="0019685C">
        <w:rPr>
          <w:color w:val="000000" w:themeColor="dark1"/>
          <w:shd w:val="clear" w:color="auto" w:fill="FFFFFF"/>
          <w:lang w:val="en-GB"/>
        </w:rPr>
        <w:t xml:space="preserve">-III staining, heterogeneous cell populations, including live and dead cells, were present after induction of apoptosis as well as after induction of necrosis </w:t>
      </w:r>
      <w:r w:rsidRPr="00F45E05">
        <w:rPr>
          <w:color w:val="000000" w:themeColor="dark1"/>
          <w:shd w:val="clear" w:color="auto" w:fill="FFFFFF"/>
          <w:lang w:val="en-GB"/>
        </w:rPr>
        <w:t>by chemotherapy exposure [</w:t>
      </w:r>
      <w:r w:rsidR="005321D2" w:rsidRPr="00F45E05">
        <w:rPr>
          <w:color w:val="000000" w:themeColor="dark1"/>
          <w:shd w:val="clear" w:color="auto" w:fill="FFFFFF"/>
          <w:lang w:val="en-GB"/>
        </w:rPr>
        <w:t>https://doi.org/10.1007/s43440-025-00783-w</w:t>
      </w:r>
      <w:r w:rsidRPr="00F45E05">
        <w:rPr>
          <w:rStyle w:val="Hipercze"/>
          <w:color w:val="000000" w:themeColor="dark1"/>
          <w:shd w:val="clear" w:color="auto" w:fill="FFFFFF"/>
          <w:lang w:val="en-GB"/>
        </w:rPr>
        <w:t xml:space="preserve">; </w:t>
      </w:r>
      <w:r w:rsidRPr="002B120F">
        <w:rPr>
          <w:rFonts w:eastAsia="Calibri"/>
          <w:shd w:val="clear" w:color="auto" w:fill="FFFFFF"/>
          <w:lang w:val="en-GB"/>
        </w:rPr>
        <w:t>https://doi.org/10.1038/sj.bjc.6604856</w:t>
      </w:r>
      <w:r w:rsidRPr="00F45E05">
        <w:rPr>
          <w:color w:val="000000" w:themeColor="dark1"/>
          <w:shd w:val="clear" w:color="auto" w:fill="FFFFFF"/>
          <w:lang w:val="en-GB"/>
        </w:rPr>
        <w:t xml:space="preserve">]. Selective collection and analysis of live cells (Annexin V-FITC−/ </w:t>
      </w:r>
      <w:proofErr w:type="spellStart"/>
      <w:r w:rsidRPr="00F45E05">
        <w:rPr>
          <w:color w:val="000000" w:themeColor="dark1"/>
          <w:shd w:val="clear" w:color="auto" w:fill="FFFFFF"/>
          <w:lang w:val="en-GB"/>
        </w:rPr>
        <w:t>EthD</w:t>
      </w:r>
      <w:proofErr w:type="spellEnd"/>
      <w:r w:rsidRPr="00F45E05">
        <w:rPr>
          <w:color w:val="000000" w:themeColor="dark1"/>
          <w:shd w:val="clear" w:color="auto" w:fill="FFFFFF"/>
          <w:lang w:val="en-GB"/>
        </w:rPr>
        <w:t>-III − population), early apoptotic cells (Annexin V-</w:t>
      </w:r>
      <w:r w:rsidRPr="0019685C">
        <w:rPr>
          <w:color w:val="000000" w:themeColor="dark1"/>
          <w:shd w:val="clear" w:color="auto" w:fill="FFFFFF"/>
          <w:lang w:val="en-GB"/>
        </w:rPr>
        <w:t xml:space="preserve">FITC+/ </w:t>
      </w:r>
      <w:proofErr w:type="spellStart"/>
      <w:r w:rsidRPr="0019685C">
        <w:rPr>
          <w:color w:val="000000" w:themeColor="dark1"/>
          <w:shd w:val="clear" w:color="auto" w:fill="FFFFFF"/>
          <w:lang w:val="en-GB"/>
        </w:rPr>
        <w:t>EthD</w:t>
      </w:r>
      <w:proofErr w:type="spellEnd"/>
      <w:r w:rsidRPr="0019685C">
        <w:rPr>
          <w:color w:val="000000" w:themeColor="dark1"/>
          <w:shd w:val="clear" w:color="auto" w:fill="FFFFFF"/>
          <w:lang w:val="en-GB"/>
        </w:rPr>
        <w:t xml:space="preserve">-III −), late apoptotic cells (Annexin V-FITC+/ </w:t>
      </w:r>
      <w:proofErr w:type="spellStart"/>
      <w:r w:rsidRPr="0019685C">
        <w:rPr>
          <w:color w:val="000000" w:themeColor="dark1"/>
          <w:shd w:val="clear" w:color="auto" w:fill="FFFFFF"/>
          <w:lang w:val="en-GB"/>
        </w:rPr>
        <w:t>EthD</w:t>
      </w:r>
      <w:proofErr w:type="spellEnd"/>
      <w:r w:rsidRPr="0019685C">
        <w:rPr>
          <w:color w:val="000000" w:themeColor="dark1"/>
          <w:shd w:val="clear" w:color="auto" w:fill="FFFFFF"/>
          <w:lang w:val="en-GB"/>
        </w:rPr>
        <w:t xml:space="preserve">-III +), and necrotic cells (Annexin V-FITC+/ </w:t>
      </w:r>
      <w:proofErr w:type="spellStart"/>
      <w:r w:rsidRPr="0019685C">
        <w:rPr>
          <w:color w:val="000000" w:themeColor="dark1"/>
          <w:shd w:val="clear" w:color="auto" w:fill="FFFFFF"/>
          <w:lang w:val="en-GB"/>
        </w:rPr>
        <w:t>EthD</w:t>
      </w:r>
      <w:proofErr w:type="spellEnd"/>
      <w:r w:rsidRPr="0019685C">
        <w:rPr>
          <w:color w:val="000000" w:themeColor="dark1"/>
          <w:shd w:val="clear" w:color="auto" w:fill="FFFFFF"/>
          <w:lang w:val="en-GB"/>
        </w:rPr>
        <w:t>-III +) by fluorescence imaging (Isis FISH Imaging System V 5.7).</w:t>
      </w:r>
    </w:p>
    <w:p w14:paraId="35EF611D" w14:textId="77777777" w:rsidR="003E252B" w:rsidRPr="00B62BA6" w:rsidRDefault="003E252B">
      <w:pPr>
        <w:rPr>
          <w:lang w:val="en-US"/>
        </w:rPr>
      </w:pPr>
    </w:p>
    <w:sectPr w:rsidR="003E252B" w:rsidRPr="00B62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Aptos EmbeddedFont;Apto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01DF8"/>
    <w:multiLevelType w:val="multilevel"/>
    <w:tmpl w:val="D6063302"/>
    <w:lvl w:ilvl="0">
      <w:start w:val="3"/>
      <w:numFmt w:val="decimal"/>
      <w:lvlText w:val="%1."/>
      <w:lvlJc w:val="left"/>
      <w:pPr>
        <w:tabs>
          <w:tab w:val="num" w:pos="720"/>
        </w:tabs>
        <w:ind w:left="720" w:hanging="360"/>
      </w:pPr>
      <w:rPr>
        <w:rFonts w:ascii="Times New Roman" w:hAnsi="Times New Roman"/>
        <w:b/>
        <w:bCs/>
      </w:rPr>
    </w:lvl>
    <w:lvl w:ilvl="1">
      <w:start w:val="1"/>
      <w:numFmt w:val="decimal"/>
      <w:lvlText w:val="%2."/>
      <w:lvlJc w:val="left"/>
      <w:pPr>
        <w:tabs>
          <w:tab w:val="num" w:pos="1080"/>
        </w:tabs>
        <w:ind w:left="1080" w:hanging="360"/>
      </w:pPr>
      <w:rPr>
        <w:rFonts w:ascii="Times New Roman" w:hAnsi="Times New Roman"/>
        <w:b/>
        <w:bCs/>
      </w:rPr>
    </w:lvl>
    <w:lvl w:ilvl="2">
      <w:start w:val="1"/>
      <w:numFmt w:val="decimal"/>
      <w:lvlText w:val="%3."/>
      <w:lvlJc w:val="left"/>
      <w:pPr>
        <w:tabs>
          <w:tab w:val="num" w:pos="1440"/>
        </w:tabs>
        <w:ind w:left="1440" w:hanging="360"/>
      </w:pPr>
      <w:rPr>
        <w:rFonts w:ascii="Times New Roman" w:hAnsi="Times New Roman"/>
        <w:b/>
        <w:bCs/>
      </w:rPr>
    </w:lvl>
    <w:lvl w:ilvl="3">
      <w:start w:val="1"/>
      <w:numFmt w:val="decimal"/>
      <w:lvlText w:val="%4."/>
      <w:lvlJc w:val="left"/>
      <w:pPr>
        <w:tabs>
          <w:tab w:val="num" w:pos="1800"/>
        </w:tabs>
        <w:ind w:left="1800" w:hanging="360"/>
      </w:pPr>
      <w:rPr>
        <w:rFonts w:ascii="Times New Roman" w:hAnsi="Times New Roman"/>
        <w:b/>
        <w:bCs/>
      </w:rPr>
    </w:lvl>
    <w:lvl w:ilvl="4">
      <w:start w:val="1"/>
      <w:numFmt w:val="decimal"/>
      <w:lvlText w:val="%5."/>
      <w:lvlJc w:val="left"/>
      <w:pPr>
        <w:tabs>
          <w:tab w:val="num" w:pos="2160"/>
        </w:tabs>
        <w:ind w:left="2160" w:hanging="360"/>
      </w:pPr>
      <w:rPr>
        <w:rFonts w:ascii="Times New Roman" w:hAnsi="Times New Roman"/>
        <w:b/>
        <w:bCs/>
      </w:rPr>
    </w:lvl>
    <w:lvl w:ilvl="5">
      <w:start w:val="1"/>
      <w:numFmt w:val="decimal"/>
      <w:lvlText w:val="%6."/>
      <w:lvlJc w:val="left"/>
      <w:pPr>
        <w:tabs>
          <w:tab w:val="num" w:pos="2520"/>
        </w:tabs>
        <w:ind w:left="2520" w:hanging="360"/>
      </w:pPr>
      <w:rPr>
        <w:rFonts w:ascii="Times New Roman" w:hAnsi="Times New Roman"/>
        <w:b/>
        <w:bCs/>
      </w:rPr>
    </w:lvl>
    <w:lvl w:ilvl="6">
      <w:start w:val="1"/>
      <w:numFmt w:val="decimal"/>
      <w:lvlText w:val="%7."/>
      <w:lvlJc w:val="left"/>
      <w:pPr>
        <w:tabs>
          <w:tab w:val="num" w:pos="2880"/>
        </w:tabs>
        <w:ind w:left="2880" w:hanging="360"/>
      </w:pPr>
      <w:rPr>
        <w:rFonts w:ascii="Times New Roman" w:hAnsi="Times New Roman"/>
        <w:b/>
        <w:bCs/>
      </w:rPr>
    </w:lvl>
    <w:lvl w:ilvl="7">
      <w:start w:val="1"/>
      <w:numFmt w:val="decimal"/>
      <w:lvlText w:val="%8."/>
      <w:lvlJc w:val="left"/>
      <w:pPr>
        <w:tabs>
          <w:tab w:val="num" w:pos="3240"/>
        </w:tabs>
        <w:ind w:left="3240" w:hanging="360"/>
      </w:pPr>
      <w:rPr>
        <w:rFonts w:ascii="Times New Roman" w:hAnsi="Times New Roman"/>
        <w:b/>
        <w:bCs/>
      </w:rPr>
    </w:lvl>
    <w:lvl w:ilvl="8">
      <w:start w:val="1"/>
      <w:numFmt w:val="decimal"/>
      <w:lvlText w:val="%9."/>
      <w:lvlJc w:val="left"/>
      <w:pPr>
        <w:tabs>
          <w:tab w:val="num" w:pos="3600"/>
        </w:tabs>
        <w:ind w:left="3600" w:hanging="360"/>
      </w:pPr>
      <w:rPr>
        <w:rFonts w:ascii="Times New Roman" w:hAnsi="Times New Roman"/>
        <w:b/>
        <w:bCs/>
      </w:rPr>
    </w:lvl>
  </w:abstractNum>
  <w:abstractNum w:abstractNumId="1" w15:restartNumberingAfterBreak="0">
    <w:nsid w:val="36550B9A"/>
    <w:multiLevelType w:val="multilevel"/>
    <w:tmpl w:val="78528390"/>
    <w:lvl w:ilvl="0">
      <w:start w:val="1"/>
      <w:numFmt w:val="decimal"/>
      <w:lvlText w:val="%1."/>
      <w:lvlJc w:val="left"/>
      <w:pPr>
        <w:tabs>
          <w:tab w:val="num" w:pos="0"/>
        </w:tabs>
        <w:ind w:left="915" w:hanging="360"/>
      </w:pPr>
      <w:rPr>
        <w:rFonts w:eastAsia="Calibri"/>
        <w:b/>
      </w:rPr>
    </w:lvl>
    <w:lvl w:ilvl="1">
      <w:start w:val="1"/>
      <w:numFmt w:val="lowerLetter"/>
      <w:lvlText w:val="%2."/>
      <w:lvlJc w:val="left"/>
      <w:pPr>
        <w:tabs>
          <w:tab w:val="num" w:pos="0"/>
        </w:tabs>
        <w:ind w:left="1635" w:hanging="360"/>
      </w:pPr>
    </w:lvl>
    <w:lvl w:ilvl="2">
      <w:start w:val="1"/>
      <w:numFmt w:val="lowerRoman"/>
      <w:lvlText w:val="%3."/>
      <w:lvlJc w:val="right"/>
      <w:pPr>
        <w:tabs>
          <w:tab w:val="num" w:pos="0"/>
        </w:tabs>
        <w:ind w:left="2355" w:hanging="180"/>
      </w:pPr>
    </w:lvl>
    <w:lvl w:ilvl="3">
      <w:start w:val="1"/>
      <w:numFmt w:val="decimal"/>
      <w:lvlText w:val="%4."/>
      <w:lvlJc w:val="left"/>
      <w:pPr>
        <w:tabs>
          <w:tab w:val="num" w:pos="0"/>
        </w:tabs>
        <w:ind w:left="3075" w:hanging="360"/>
      </w:pPr>
    </w:lvl>
    <w:lvl w:ilvl="4">
      <w:start w:val="1"/>
      <w:numFmt w:val="lowerLetter"/>
      <w:lvlText w:val="%5."/>
      <w:lvlJc w:val="left"/>
      <w:pPr>
        <w:tabs>
          <w:tab w:val="num" w:pos="0"/>
        </w:tabs>
        <w:ind w:left="3795" w:hanging="360"/>
      </w:pPr>
    </w:lvl>
    <w:lvl w:ilvl="5">
      <w:start w:val="1"/>
      <w:numFmt w:val="lowerRoman"/>
      <w:lvlText w:val="%6."/>
      <w:lvlJc w:val="right"/>
      <w:pPr>
        <w:tabs>
          <w:tab w:val="num" w:pos="0"/>
        </w:tabs>
        <w:ind w:left="4515" w:hanging="180"/>
      </w:pPr>
    </w:lvl>
    <w:lvl w:ilvl="6">
      <w:start w:val="1"/>
      <w:numFmt w:val="decimal"/>
      <w:lvlText w:val="%7."/>
      <w:lvlJc w:val="left"/>
      <w:pPr>
        <w:tabs>
          <w:tab w:val="num" w:pos="0"/>
        </w:tabs>
        <w:ind w:left="5235" w:hanging="360"/>
      </w:pPr>
    </w:lvl>
    <w:lvl w:ilvl="7">
      <w:start w:val="1"/>
      <w:numFmt w:val="lowerLetter"/>
      <w:lvlText w:val="%8."/>
      <w:lvlJc w:val="left"/>
      <w:pPr>
        <w:tabs>
          <w:tab w:val="num" w:pos="0"/>
        </w:tabs>
        <w:ind w:left="5955" w:hanging="360"/>
      </w:pPr>
    </w:lvl>
    <w:lvl w:ilvl="8">
      <w:start w:val="1"/>
      <w:numFmt w:val="lowerRoman"/>
      <w:lvlText w:val="%9."/>
      <w:lvlJc w:val="right"/>
      <w:pPr>
        <w:tabs>
          <w:tab w:val="num" w:pos="0"/>
        </w:tabs>
        <w:ind w:left="6675" w:hanging="180"/>
      </w:pPr>
    </w:lvl>
  </w:abstractNum>
  <w:abstractNum w:abstractNumId="2" w15:restartNumberingAfterBreak="0">
    <w:nsid w:val="47FA7F54"/>
    <w:multiLevelType w:val="multilevel"/>
    <w:tmpl w:val="3D740F9E"/>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6918B6"/>
    <w:multiLevelType w:val="multilevel"/>
    <w:tmpl w:val="88A470BE"/>
    <w:lvl w:ilvl="0">
      <w:start w:val="1"/>
      <w:numFmt w:val="decimal"/>
      <w:lvlText w:val="%1."/>
      <w:lvlJc w:val="left"/>
      <w:pPr>
        <w:tabs>
          <w:tab w:val="num" w:pos="0"/>
        </w:tabs>
        <w:ind w:left="927" w:hanging="360"/>
      </w:pPr>
      <w:rPr>
        <w:b/>
        <w:bCs/>
        <w:color w:val="000000"/>
        <w:sz w:val="24"/>
        <w:szCs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16cid:durableId="432290156">
    <w:abstractNumId w:val="1"/>
  </w:num>
  <w:num w:numId="2" w16cid:durableId="960384683">
    <w:abstractNumId w:val="2"/>
  </w:num>
  <w:num w:numId="3" w16cid:durableId="668093064">
    <w:abstractNumId w:val="0"/>
  </w:num>
  <w:num w:numId="4" w16cid:durableId="140810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xNzcwMDI0s7Q0MTBU0lEKTi0uzszPAykwrAUAei/aLSwAAAA="/>
  </w:docVars>
  <w:rsids>
    <w:rsidRoot w:val="00B62BA6"/>
    <w:rsid w:val="00071E87"/>
    <w:rsid w:val="00093F30"/>
    <w:rsid w:val="000C23B9"/>
    <w:rsid w:val="00117BE6"/>
    <w:rsid w:val="00172DE8"/>
    <w:rsid w:val="001F0CD8"/>
    <w:rsid w:val="002B120F"/>
    <w:rsid w:val="002B50C4"/>
    <w:rsid w:val="002D05A5"/>
    <w:rsid w:val="002D3FFD"/>
    <w:rsid w:val="002F255F"/>
    <w:rsid w:val="00310514"/>
    <w:rsid w:val="003E252B"/>
    <w:rsid w:val="00430CFF"/>
    <w:rsid w:val="005321D2"/>
    <w:rsid w:val="005546BF"/>
    <w:rsid w:val="005C5D09"/>
    <w:rsid w:val="00621788"/>
    <w:rsid w:val="006F5FE3"/>
    <w:rsid w:val="00720374"/>
    <w:rsid w:val="00757C5C"/>
    <w:rsid w:val="007837C1"/>
    <w:rsid w:val="00796FA8"/>
    <w:rsid w:val="007C0746"/>
    <w:rsid w:val="007C5387"/>
    <w:rsid w:val="00873AC5"/>
    <w:rsid w:val="009579B1"/>
    <w:rsid w:val="00974954"/>
    <w:rsid w:val="00976569"/>
    <w:rsid w:val="00984CD1"/>
    <w:rsid w:val="00995D54"/>
    <w:rsid w:val="009A1CB3"/>
    <w:rsid w:val="00AA4838"/>
    <w:rsid w:val="00B36A90"/>
    <w:rsid w:val="00B62BA6"/>
    <w:rsid w:val="00BA7C57"/>
    <w:rsid w:val="00C50AF0"/>
    <w:rsid w:val="00C95709"/>
    <w:rsid w:val="00D327E5"/>
    <w:rsid w:val="00DE2FC4"/>
    <w:rsid w:val="00DF5948"/>
    <w:rsid w:val="00DF6F07"/>
    <w:rsid w:val="00DF797A"/>
    <w:rsid w:val="00E31BFA"/>
    <w:rsid w:val="00E50234"/>
    <w:rsid w:val="00E72033"/>
    <w:rsid w:val="00F22E3E"/>
    <w:rsid w:val="00F45E05"/>
    <w:rsid w:val="00FD2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4CA7"/>
  <w15:docId w15:val="{36B3D737-7061-4CE4-96E0-89C423FC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BA6"/>
    <w:pPr>
      <w:suppressAutoHyphens/>
      <w:spacing w:line="276" w:lineRule="auto"/>
    </w:pPr>
    <w:rPr>
      <w:rFonts w:ascii="Calibri" w:eastAsia="Calibri" w:hAnsi="Calibri" w:cs="Tahoma"/>
      <w14:ligatures w14:val="none"/>
    </w:rPr>
  </w:style>
  <w:style w:type="paragraph" w:styleId="Nagwek1">
    <w:name w:val="heading 1"/>
    <w:basedOn w:val="Normalny"/>
    <w:next w:val="Normalny"/>
    <w:link w:val="Nagwek1Znak"/>
    <w:uiPriority w:val="9"/>
    <w:qFormat/>
    <w:rsid w:val="00B62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62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62BA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62BA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62BA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2B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2B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2B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2B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2BA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62BA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62BA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62BA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62BA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2B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2B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2B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2BA6"/>
    <w:rPr>
      <w:rFonts w:eastAsiaTheme="majorEastAsia" w:cstheme="majorBidi"/>
      <w:color w:val="272727" w:themeColor="text1" w:themeTint="D8"/>
    </w:rPr>
  </w:style>
  <w:style w:type="paragraph" w:styleId="Tytu">
    <w:name w:val="Title"/>
    <w:basedOn w:val="Normalny"/>
    <w:next w:val="Normalny"/>
    <w:link w:val="TytuZnak"/>
    <w:uiPriority w:val="10"/>
    <w:qFormat/>
    <w:rsid w:val="00B62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2B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2B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2B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2BA6"/>
    <w:pPr>
      <w:spacing w:before="160"/>
      <w:jc w:val="center"/>
    </w:pPr>
    <w:rPr>
      <w:i/>
      <w:iCs/>
      <w:color w:val="404040" w:themeColor="text1" w:themeTint="BF"/>
    </w:rPr>
  </w:style>
  <w:style w:type="character" w:customStyle="1" w:styleId="CytatZnak">
    <w:name w:val="Cytat Znak"/>
    <w:basedOn w:val="Domylnaczcionkaakapitu"/>
    <w:link w:val="Cytat"/>
    <w:uiPriority w:val="29"/>
    <w:rsid w:val="00B62BA6"/>
    <w:rPr>
      <w:i/>
      <w:iCs/>
      <w:color w:val="404040" w:themeColor="text1" w:themeTint="BF"/>
    </w:rPr>
  </w:style>
  <w:style w:type="paragraph" w:styleId="Akapitzlist">
    <w:name w:val="List Paragraph"/>
    <w:basedOn w:val="Normalny"/>
    <w:qFormat/>
    <w:rsid w:val="00B62BA6"/>
    <w:pPr>
      <w:ind w:left="720"/>
      <w:contextualSpacing/>
    </w:pPr>
  </w:style>
  <w:style w:type="character" w:styleId="Wyrnienieintensywne">
    <w:name w:val="Intense Emphasis"/>
    <w:basedOn w:val="Domylnaczcionkaakapitu"/>
    <w:uiPriority w:val="21"/>
    <w:qFormat/>
    <w:rsid w:val="00B62BA6"/>
    <w:rPr>
      <w:i/>
      <w:iCs/>
      <w:color w:val="0F4761" w:themeColor="accent1" w:themeShade="BF"/>
    </w:rPr>
  </w:style>
  <w:style w:type="paragraph" w:styleId="Cytatintensywny">
    <w:name w:val="Intense Quote"/>
    <w:basedOn w:val="Normalny"/>
    <w:next w:val="Normalny"/>
    <w:link w:val="CytatintensywnyZnak"/>
    <w:uiPriority w:val="30"/>
    <w:qFormat/>
    <w:rsid w:val="00B62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2BA6"/>
    <w:rPr>
      <w:i/>
      <w:iCs/>
      <w:color w:val="0F4761" w:themeColor="accent1" w:themeShade="BF"/>
    </w:rPr>
  </w:style>
  <w:style w:type="character" w:styleId="Odwoanieintensywne">
    <w:name w:val="Intense Reference"/>
    <w:basedOn w:val="Domylnaczcionkaakapitu"/>
    <w:uiPriority w:val="32"/>
    <w:qFormat/>
    <w:rsid w:val="00B62BA6"/>
    <w:rPr>
      <w:b/>
      <w:bCs/>
      <w:smallCaps/>
      <w:color w:val="0F4761" w:themeColor="accent1" w:themeShade="BF"/>
      <w:spacing w:val="5"/>
    </w:rPr>
  </w:style>
  <w:style w:type="character" w:customStyle="1" w:styleId="normaltextrun">
    <w:name w:val="normaltextrun"/>
    <w:basedOn w:val="Domylnaczcionkaakapitu"/>
    <w:qFormat/>
    <w:rsid w:val="00B62BA6"/>
  </w:style>
  <w:style w:type="character" w:customStyle="1" w:styleId="eop">
    <w:name w:val="eop"/>
    <w:basedOn w:val="Domylnaczcionkaakapitu"/>
    <w:qFormat/>
    <w:rsid w:val="00B62BA6"/>
  </w:style>
  <w:style w:type="character" w:styleId="Hipercze">
    <w:name w:val="Hyperlink"/>
    <w:basedOn w:val="Domylnaczcionkaakapitu"/>
    <w:rsid w:val="00B62BA6"/>
    <w:rPr>
      <w:color w:val="0000FF"/>
      <w:u w:val="single"/>
    </w:rPr>
  </w:style>
  <w:style w:type="paragraph" w:customStyle="1" w:styleId="paragraph">
    <w:name w:val="paragraph"/>
    <w:basedOn w:val="Normalny"/>
    <w:qFormat/>
    <w:rsid w:val="00B62BA6"/>
    <w:pPr>
      <w:spacing w:before="280" w:after="280" w:line="240" w:lineRule="auto"/>
    </w:pPr>
    <w:rPr>
      <w:rFonts w:ascii="Times New Roman" w:eastAsia="Times New Roman" w:hAnsi="Times New Roman" w:cs="Times New Roman"/>
      <w:kern w:val="0"/>
      <w:lang w:eastAsia="pl-PL"/>
    </w:rPr>
  </w:style>
  <w:style w:type="paragraph" w:styleId="Tekstdymka">
    <w:name w:val="Balloon Text"/>
    <w:basedOn w:val="Normalny"/>
    <w:link w:val="TekstdymkaZnak"/>
    <w:uiPriority w:val="99"/>
    <w:semiHidden/>
    <w:unhideWhenUsed/>
    <w:rsid w:val="00093F30"/>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093F30"/>
    <w:rPr>
      <w:rFonts w:ascii="Tahoma" w:eastAsia="Calibri" w:hAnsi="Tahoma" w:cs="Tahoma"/>
      <w:sz w:val="16"/>
      <w:szCs w:val="16"/>
      <w14:ligatures w14:val="none"/>
    </w:rPr>
  </w:style>
  <w:style w:type="character" w:styleId="UyteHipercze">
    <w:name w:val="FollowedHyperlink"/>
    <w:basedOn w:val="Domylnaczcionkaakapitu"/>
    <w:uiPriority w:val="99"/>
    <w:semiHidden/>
    <w:unhideWhenUsed/>
    <w:rsid w:val="005546BF"/>
    <w:rPr>
      <w:color w:val="96607D" w:themeColor="followedHyperlink"/>
      <w:u w:val="single"/>
    </w:rPr>
  </w:style>
  <w:style w:type="character" w:styleId="Nierozpoznanawzmianka">
    <w:name w:val="Unresolved Mention"/>
    <w:basedOn w:val="Domylnaczcionkaakapitu"/>
    <w:uiPriority w:val="99"/>
    <w:semiHidden/>
    <w:unhideWhenUsed/>
    <w:rsid w:val="00430CFF"/>
    <w:rPr>
      <w:color w:val="605E5C"/>
      <w:shd w:val="clear" w:color="auto" w:fill="E1DFDD"/>
    </w:rPr>
  </w:style>
  <w:style w:type="paragraph" w:styleId="Poprawka">
    <w:name w:val="Revision"/>
    <w:hidden/>
    <w:uiPriority w:val="99"/>
    <w:semiHidden/>
    <w:rsid w:val="00F45E05"/>
    <w:pPr>
      <w:spacing w:after="0" w:line="240" w:lineRule="auto"/>
    </w:pPr>
    <w:rPr>
      <w:rFonts w:ascii="Calibri" w:eastAsia="Calibri" w:hAnsi="Calibri" w:cs="Tahom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czopek@uj.edu.pl" TargetMode="External"/><Relationship Id="rId11" Type="http://schemas.openxmlformats.org/officeDocument/2006/relationships/theme" Target="theme/theme1.xml"/><Relationship Id="rId5" Type="http://schemas.openxmlformats.org/officeDocument/2006/relationships/hyperlink" Target="mailto:anna.zajac-grabiec@ifj.edu.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2299</Words>
  <Characters>13799</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Zając Grabiec</dc:creator>
  <cp:keywords/>
  <dc:description/>
  <cp:lastModifiedBy>Anna Zając Grabiec</cp:lastModifiedBy>
  <cp:revision>2</cp:revision>
  <dcterms:created xsi:type="dcterms:W3CDTF">2025-12-29T14:23:00Z</dcterms:created>
  <dcterms:modified xsi:type="dcterms:W3CDTF">2025-12-29T14:23:00Z</dcterms:modified>
</cp:coreProperties>
</file>