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12D05" w14:textId="1699D3E3" w:rsidR="005261D7" w:rsidRDefault="00767D8A" w:rsidP="00767D8A">
      <w:pPr>
        <w:spacing w:line="480" w:lineRule="auto"/>
        <w:rPr>
          <w:rFonts w:ascii="Times New Roman" w:hAnsi="Times New Roman"/>
          <w:b/>
          <w:bCs/>
          <w:sz w:val="24"/>
        </w:rPr>
      </w:pPr>
      <w:r w:rsidRPr="00767D8A">
        <w:rPr>
          <w:rFonts w:ascii="Times New Roman" w:hAnsi="Times New Roman"/>
          <w:b/>
          <w:bCs/>
          <w:sz w:val="24"/>
        </w:rPr>
        <w:t>Supplementary Figure legends</w:t>
      </w:r>
    </w:p>
    <w:p w14:paraId="601A0DC8" w14:textId="48C1A812" w:rsidR="00B21C40" w:rsidRPr="00AF25E5" w:rsidRDefault="00B21C40" w:rsidP="00767D8A">
      <w:pPr>
        <w:spacing w:line="480" w:lineRule="auto"/>
        <w:rPr>
          <w:rFonts w:ascii="Times New Roman" w:hAnsi="Times New Roman"/>
          <w:sz w:val="24"/>
        </w:rPr>
      </w:pPr>
      <w:r w:rsidRPr="00AF25E5">
        <w:rPr>
          <w:rFonts w:ascii="Times New Roman" w:hAnsi="Times New Roman"/>
          <w:b/>
          <w:bCs/>
          <w:sz w:val="24"/>
        </w:rPr>
        <w:t>Supplementary Fig</w:t>
      </w:r>
      <w:r w:rsidR="007665C0">
        <w:rPr>
          <w:rFonts w:ascii="Times New Roman" w:hAnsi="Times New Roman" w:hint="eastAsia"/>
          <w:b/>
          <w:bCs/>
          <w:sz w:val="24"/>
        </w:rPr>
        <w:t>ure</w:t>
      </w:r>
      <w:r w:rsidRPr="00AF25E5">
        <w:rPr>
          <w:rFonts w:ascii="Times New Roman" w:hAnsi="Times New Roman"/>
          <w:b/>
          <w:bCs/>
          <w:sz w:val="24"/>
        </w:rPr>
        <w:t xml:space="preserve"> S1. Prediction of protein-protein interactions and construction of a cell model.</w:t>
      </w:r>
      <w:r w:rsidRPr="00AF25E5">
        <w:rPr>
          <w:rFonts w:ascii="Times New Roman" w:hAnsi="Times New Roman"/>
          <w:sz w:val="24"/>
        </w:rPr>
        <w:br/>
        <w:t>(</w:t>
      </w:r>
      <w:r w:rsidRPr="00C93A79">
        <w:rPr>
          <w:rFonts w:ascii="Times New Roman" w:hAnsi="Times New Roman"/>
          <w:b/>
          <w:bCs/>
          <w:sz w:val="24"/>
        </w:rPr>
        <w:t>A</w:t>
      </w:r>
      <w:r w:rsidRPr="00AF25E5">
        <w:rPr>
          <w:rFonts w:ascii="Times New Roman" w:hAnsi="Times New Roman"/>
          <w:sz w:val="24"/>
        </w:rPr>
        <w:t>) The mass spectrum of the VPLQQNFQDNQFQGK proteolysis product of LCN2 protein from the LOXL2 interactome. (</w:t>
      </w:r>
      <w:r w:rsidRPr="00C93A79">
        <w:rPr>
          <w:rFonts w:ascii="Times New Roman" w:hAnsi="Times New Roman"/>
          <w:b/>
          <w:bCs/>
          <w:sz w:val="24"/>
        </w:rPr>
        <w:t>B</w:t>
      </w:r>
      <w:r w:rsidRPr="00AF25E5">
        <w:rPr>
          <w:rFonts w:ascii="Times New Roman" w:hAnsi="Times New Roman"/>
          <w:sz w:val="24"/>
        </w:rPr>
        <w:t>) Construction of protein-protein interaction networks using LCN2 and LOXL2 as seed proteins. Circles represent protein molecules, and links represent protein-protein interactions. (</w:t>
      </w:r>
      <w:r w:rsidRPr="00C93A79">
        <w:rPr>
          <w:rFonts w:ascii="Times New Roman" w:hAnsi="Times New Roman"/>
          <w:b/>
          <w:bCs/>
          <w:sz w:val="24"/>
        </w:rPr>
        <w:t>C</w:t>
      </w:r>
      <w:r w:rsidRPr="00AF25E5">
        <w:rPr>
          <w:rFonts w:ascii="Times New Roman" w:hAnsi="Times New Roman"/>
          <w:sz w:val="24"/>
        </w:rPr>
        <w:t>) Pearson expression correlation between LCN2, LOXL2 and MMP9. (</w:t>
      </w:r>
      <w:r w:rsidRPr="00C93A79">
        <w:rPr>
          <w:rFonts w:ascii="Times New Roman" w:hAnsi="Times New Roman"/>
          <w:b/>
          <w:bCs/>
          <w:sz w:val="24"/>
        </w:rPr>
        <w:t>D</w:t>
      </w:r>
      <w:r w:rsidRPr="00AF25E5">
        <w:rPr>
          <w:rFonts w:ascii="Times New Roman" w:hAnsi="Times New Roman"/>
          <w:sz w:val="24"/>
        </w:rPr>
        <w:t>) Endogenous expression level of LCN2 and LOXL2 protein in esophageal cancer cell lines. (</w:t>
      </w:r>
      <w:r w:rsidRPr="00C93A79">
        <w:rPr>
          <w:rFonts w:ascii="Times New Roman" w:hAnsi="Times New Roman"/>
          <w:b/>
          <w:bCs/>
          <w:sz w:val="24"/>
        </w:rPr>
        <w:t>E</w:t>
      </w:r>
      <w:r w:rsidRPr="00AF25E5">
        <w:rPr>
          <w:rFonts w:ascii="Times New Roman" w:hAnsi="Times New Roman"/>
          <w:sz w:val="24"/>
        </w:rPr>
        <w:t>) Successful expression of LCN2-HA/LOXL2-Flag, LCN2-HA/MMP9-Flag, and LOXL2-HA/MMP9-Flag in the KYSE410 and KYSE150 esophageal cancer cell lines following co-transfection.</w:t>
      </w:r>
    </w:p>
    <w:p w14:paraId="628F996E" w14:textId="48598DEF" w:rsidR="00B21C40" w:rsidRDefault="00B21C40" w:rsidP="00767D8A">
      <w:pPr>
        <w:spacing w:line="480" w:lineRule="auto"/>
        <w:rPr>
          <w:rFonts w:ascii="Times New Roman" w:hAnsi="Times New Roman"/>
          <w:sz w:val="24"/>
        </w:rPr>
      </w:pPr>
    </w:p>
    <w:p w14:paraId="3B1572CC" w14:textId="17C140B1" w:rsidR="00B21C40" w:rsidRPr="00AF25E5" w:rsidRDefault="00B21C40" w:rsidP="00767D8A">
      <w:pPr>
        <w:spacing w:line="480" w:lineRule="auto"/>
        <w:rPr>
          <w:rFonts w:ascii="Times New Roman" w:hAnsi="Times New Roman"/>
          <w:sz w:val="24"/>
        </w:rPr>
      </w:pPr>
      <w:r w:rsidRPr="00AF25E5">
        <w:rPr>
          <w:rFonts w:ascii="Times New Roman" w:hAnsi="Times New Roman"/>
          <w:b/>
          <w:bCs/>
          <w:sz w:val="24"/>
        </w:rPr>
        <w:t>Supplementary Fig</w:t>
      </w:r>
      <w:r w:rsidR="007665C0">
        <w:rPr>
          <w:rFonts w:ascii="Times New Roman" w:hAnsi="Times New Roman"/>
          <w:b/>
          <w:bCs/>
          <w:sz w:val="24"/>
        </w:rPr>
        <w:t>ure</w:t>
      </w:r>
      <w:r w:rsidRPr="00AF25E5">
        <w:rPr>
          <w:rFonts w:ascii="Times New Roman" w:hAnsi="Times New Roman"/>
          <w:b/>
          <w:bCs/>
          <w:sz w:val="24"/>
        </w:rPr>
        <w:t xml:space="preserve"> S2. Effect of LCN2/LOXL2/MMP9 protein-protein interaction on the function of ESCC cells.</w:t>
      </w:r>
    </w:p>
    <w:p w14:paraId="40E1C504" w14:textId="77777777" w:rsidR="00B21C40" w:rsidRPr="00AF25E5" w:rsidRDefault="00B21C40" w:rsidP="00767D8A">
      <w:pPr>
        <w:spacing w:line="480" w:lineRule="auto"/>
        <w:rPr>
          <w:rFonts w:ascii="Times New Roman" w:hAnsi="Times New Roman"/>
          <w:sz w:val="24"/>
        </w:rPr>
      </w:pPr>
      <w:r w:rsidRPr="00AF25E5">
        <w:rPr>
          <w:rFonts w:ascii="Times New Roman" w:hAnsi="Times New Roman"/>
          <w:sz w:val="24"/>
        </w:rPr>
        <w:t>LCN2-HA/LOXL2-Flag, LCN2-HA/MMP9-Flag, or LOXL2-HA/MMP9-Flag were co-transfected into KYSE410 cells. Wound-healing (</w:t>
      </w:r>
      <w:r w:rsidRPr="00C93A79">
        <w:rPr>
          <w:rFonts w:ascii="Times New Roman" w:hAnsi="Times New Roman"/>
          <w:b/>
          <w:bCs/>
          <w:sz w:val="24"/>
        </w:rPr>
        <w:t>A</w:t>
      </w:r>
      <w:r w:rsidRPr="00AF25E5">
        <w:rPr>
          <w:rFonts w:ascii="Times New Roman" w:hAnsi="Times New Roman"/>
          <w:sz w:val="24"/>
        </w:rPr>
        <w:t>) and migration assays (</w:t>
      </w:r>
      <w:r w:rsidRPr="00C93A79">
        <w:rPr>
          <w:rFonts w:ascii="Times New Roman" w:hAnsi="Times New Roman"/>
          <w:b/>
          <w:bCs/>
          <w:sz w:val="24"/>
        </w:rPr>
        <w:t>B</w:t>
      </w:r>
      <w:r w:rsidRPr="00AF25E5">
        <w:rPr>
          <w:rFonts w:ascii="Times New Roman" w:hAnsi="Times New Roman"/>
          <w:sz w:val="24"/>
        </w:rPr>
        <w:t>) were used to measure cell migration. (</w:t>
      </w:r>
      <w:r w:rsidRPr="00C93A79">
        <w:rPr>
          <w:rFonts w:ascii="Times New Roman" w:hAnsi="Times New Roman"/>
          <w:b/>
          <w:bCs/>
          <w:sz w:val="24"/>
        </w:rPr>
        <w:t>C</w:t>
      </w:r>
      <w:r w:rsidRPr="00AF25E5">
        <w:rPr>
          <w:rFonts w:ascii="Times New Roman" w:hAnsi="Times New Roman"/>
          <w:sz w:val="24"/>
        </w:rPr>
        <w:t xml:space="preserve">) </w:t>
      </w:r>
      <w:proofErr w:type="spellStart"/>
      <w:r w:rsidRPr="00AF25E5">
        <w:rPr>
          <w:rFonts w:ascii="Times New Roman" w:hAnsi="Times New Roman"/>
          <w:sz w:val="24"/>
        </w:rPr>
        <w:t>Transwell</w:t>
      </w:r>
      <w:proofErr w:type="spellEnd"/>
      <w:r w:rsidRPr="00AF25E5">
        <w:rPr>
          <w:rFonts w:ascii="Times New Roman" w:hAnsi="Times New Roman"/>
          <w:sz w:val="24"/>
        </w:rPr>
        <w:t xml:space="preserve"> with Matrigel-coated membranes were used to study the invasive capacity of ESCC cells. (</w:t>
      </w:r>
      <w:r w:rsidRPr="00C93A79">
        <w:rPr>
          <w:rFonts w:ascii="Times New Roman" w:hAnsi="Times New Roman"/>
          <w:b/>
          <w:bCs/>
          <w:sz w:val="24"/>
        </w:rPr>
        <w:t>D</w:t>
      </w:r>
      <w:r w:rsidRPr="00AF25E5">
        <w:rPr>
          <w:rFonts w:ascii="Times New Roman" w:hAnsi="Times New Roman"/>
          <w:sz w:val="24"/>
        </w:rPr>
        <w:t>) In KYSE410 cells, the effects of LCN2, LCN2/LOXL2 and LCN2/LOXL2/MMP9 on migration (upper panel) and invasion (lower panel) were characterized. Effects on the proliferation of ESCC cells were detected by colony-forming assay (</w:t>
      </w:r>
      <w:r w:rsidRPr="00C93A79">
        <w:rPr>
          <w:rFonts w:ascii="Times New Roman" w:hAnsi="Times New Roman"/>
          <w:b/>
          <w:bCs/>
          <w:sz w:val="24"/>
        </w:rPr>
        <w:t>E</w:t>
      </w:r>
      <w:r w:rsidRPr="00AF25E5">
        <w:rPr>
          <w:rFonts w:ascii="Times New Roman" w:hAnsi="Times New Roman"/>
          <w:sz w:val="24"/>
        </w:rPr>
        <w:t>) and MTS assay (</w:t>
      </w:r>
      <w:r w:rsidRPr="00C93A79">
        <w:rPr>
          <w:rFonts w:ascii="Times New Roman" w:hAnsi="Times New Roman"/>
          <w:b/>
          <w:bCs/>
          <w:sz w:val="24"/>
        </w:rPr>
        <w:t>F</w:t>
      </w:r>
      <w:r w:rsidRPr="00AF25E5">
        <w:rPr>
          <w:rFonts w:ascii="Times New Roman" w:hAnsi="Times New Roman"/>
          <w:sz w:val="24"/>
        </w:rPr>
        <w:t>). (</w:t>
      </w:r>
      <w:r w:rsidRPr="00C93A79">
        <w:rPr>
          <w:rFonts w:ascii="Times New Roman" w:hAnsi="Times New Roman"/>
          <w:b/>
          <w:bCs/>
          <w:sz w:val="24"/>
        </w:rPr>
        <w:t>G</w:t>
      </w:r>
      <w:r w:rsidRPr="00AF25E5">
        <w:rPr>
          <w:rFonts w:ascii="Times New Roman" w:hAnsi="Times New Roman"/>
          <w:sz w:val="24"/>
        </w:rPr>
        <w:t xml:space="preserve">) In KYSE150 cells, MTS assays were performed to detect the proliferation of ESCC cells after LLM </w:t>
      </w:r>
      <w:r w:rsidRPr="00AF25E5">
        <w:rPr>
          <w:rFonts w:ascii="Times New Roman" w:hAnsi="Times New Roman"/>
          <w:sz w:val="24"/>
        </w:rPr>
        <w:lastRenderedPageBreak/>
        <w:t>overexpression. (H) Flow cytometry was used to detect changes in the cell cycle.</w:t>
      </w:r>
    </w:p>
    <w:p w14:paraId="073D7461" w14:textId="23B0B02C" w:rsidR="00B21C40" w:rsidRPr="00AF25E5" w:rsidRDefault="00B21C40" w:rsidP="00767D8A">
      <w:pPr>
        <w:spacing w:line="480" w:lineRule="auto"/>
        <w:rPr>
          <w:rFonts w:ascii="Times New Roman" w:hAnsi="Times New Roman"/>
          <w:sz w:val="24"/>
        </w:rPr>
      </w:pPr>
    </w:p>
    <w:p w14:paraId="5BA67385" w14:textId="0C4BDB9E" w:rsidR="00B21C40" w:rsidRPr="00AF25E5" w:rsidRDefault="00B21C40" w:rsidP="00767D8A">
      <w:pPr>
        <w:spacing w:line="480" w:lineRule="auto"/>
        <w:rPr>
          <w:rFonts w:ascii="Times New Roman" w:hAnsi="Times New Roman"/>
          <w:sz w:val="24"/>
        </w:rPr>
      </w:pPr>
      <w:r w:rsidRPr="00AF25E5">
        <w:rPr>
          <w:rFonts w:ascii="Times New Roman" w:hAnsi="Times New Roman"/>
          <w:b/>
          <w:bCs/>
          <w:sz w:val="24"/>
        </w:rPr>
        <w:t>Supplementary Fig</w:t>
      </w:r>
      <w:r w:rsidR="007665C0">
        <w:rPr>
          <w:rFonts w:ascii="Times New Roman" w:hAnsi="Times New Roman"/>
          <w:b/>
          <w:bCs/>
          <w:sz w:val="24"/>
        </w:rPr>
        <w:t>ure</w:t>
      </w:r>
      <w:r w:rsidRPr="00AF25E5">
        <w:rPr>
          <w:rFonts w:ascii="Times New Roman" w:hAnsi="Times New Roman"/>
          <w:b/>
          <w:bCs/>
          <w:sz w:val="24"/>
        </w:rPr>
        <w:t xml:space="preserve"> S3. 3D Reconstruction of confocal Z stack demonstration of truncated LOXL2 co-localization with LCN2 and MMP9.</w:t>
      </w:r>
    </w:p>
    <w:p w14:paraId="1BAA9DB2" w14:textId="77777777" w:rsidR="00B21C40" w:rsidRPr="00AF25E5" w:rsidRDefault="00B21C40" w:rsidP="00767D8A">
      <w:pPr>
        <w:spacing w:line="480" w:lineRule="auto"/>
        <w:rPr>
          <w:rFonts w:ascii="Times New Roman" w:hAnsi="Times New Roman"/>
          <w:sz w:val="24"/>
        </w:rPr>
      </w:pPr>
      <w:r w:rsidRPr="00AF25E5">
        <w:rPr>
          <w:rFonts w:ascii="Times New Roman" w:hAnsi="Times New Roman"/>
          <w:sz w:val="24"/>
        </w:rPr>
        <w:t>D4-HA/LCN2, D4-HA/MMP9 were overexpressed in KYSE150 cells, and different levels of the sample were scanned using the LSM800 Z-stack function to observe the colocalization of D4-HA with LCN2 (</w:t>
      </w:r>
      <w:r w:rsidRPr="00C93A79">
        <w:rPr>
          <w:rFonts w:ascii="Times New Roman" w:hAnsi="Times New Roman"/>
          <w:b/>
          <w:bCs/>
          <w:sz w:val="24"/>
        </w:rPr>
        <w:t>A</w:t>
      </w:r>
      <w:r w:rsidRPr="00AF25E5">
        <w:rPr>
          <w:rFonts w:ascii="Times New Roman" w:hAnsi="Times New Roman"/>
          <w:sz w:val="24"/>
        </w:rPr>
        <w:t>) and MMP9 (</w:t>
      </w:r>
      <w:r w:rsidRPr="00C93A79">
        <w:rPr>
          <w:rFonts w:ascii="Times New Roman" w:hAnsi="Times New Roman"/>
          <w:b/>
          <w:bCs/>
          <w:sz w:val="24"/>
        </w:rPr>
        <w:t>B</w:t>
      </w:r>
      <w:r w:rsidRPr="00AF25E5">
        <w:rPr>
          <w:rFonts w:ascii="Times New Roman" w:hAnsi="Times New Roman"/>
          <w:sz w:val="24"/>
        </w:rPr>
        <w:t>). Pearson correlation coefficients for co-localization are shown.</w:t>
      </w:r>
      <w:r w:rsidRPr="00AF25E5">
        <w:rPr>
          <w:rFonts w:ascii="Times New Roman" w:hAnsi="Times New Roman"/>
          <w:b/>
          <w:bCs/>
          <w:sz w:val="24"/>
        </w:rPr>
        <w:t xml:space="preserve"> </w:t>
      </w:r>
    </w:p>
    <w:p w14:paraId="7B706A1C" w14:textId="77777777" w:rsidR="00B21C40" w:rsidRPr="00AF25E5" w:rsidRDefault="00B21C40" w:rsidP="00767D8A">
      <w:pPr>
        <w:spacing w:line="480" w:lineRule="auto"/>
        <w:rPr>
          <w:rFonts w:ascii="Times New Roman" w:hAnsi="Times New Roman"/>
          <w:sz w:val="24"/>
        </w:rPr>
      </w:pPr>
    </w:p>
    <w:p w14:paraId="1C95488F" w14:textId="4C634713" w:rsidR="00B21C40" w:rsidRPr="00AF25E5" w:rsidRDefault="00B21C40" w:rsidP="00767D8A">
      <w:pPr>
        <w:spacing w:line="480" w:lineRule="auto"/>
        <w:jc w:val="center"/>
        <w:rPr>
          <w:rFonts w:ascii="Times New Roman" w:hAnsi="Times New Roman"/>
          <w:sz w:val="24"/>
        </w:rPr>
      </w:pPr>
    </w:p>
    <w:p w14:paraId="260D62C1" w14:textId="2B6856B4" w:rsidR="00B21C40" w:rsidRPr="00AF25E5" w:rsidRDefault="00B21C40" w:rsidP="00767D8A">
      <w:pPr>
        <w:spacing w:line="480" w:lineRule="auto"/>
        <w:rPr>
          <w:rFonts w:ascii="Times New Roman" w:hAnsi="Times New Roman"/>
          <w:sz w:val="24"/>
        </w:rPr>
      </w:pPr>
      <w:r w:rsidRPr="00AF25E5">
        <w:rPr>
          <w:rFonts w:ascii="Times New Roman" w:hAnsi="Times New Roman"/>
          <w:b/>
          <w:bCs/>
          <w:sz w:val="24"/>
        </w:rPr>
        <w:t>Supplementary Fig</w:t>
      </w:r>
      <w:r w:rsidR="007665C0">
        <w:rPr>
          <w:rFonts w:ascii="Times New Roman" w:hAnsi="Times New Roman"/>
          <w:b/>
          <w:bCs/>
          <w:sz w:val="24"/>
        </w:rPr>
        <w:t>ure</w:t>
      </w:r>
      <w:r w:rsidRPr="00AF25E5">
        <w:rPr>
          <w:rFonts w:ascii="Times New Roman" w:hAnsi="Times New Roman"/>
          <w:b/>
          <w:bCs/>
          <w:sz w:val="24"/>
        </w:rPr>
        <w:t xml:space="preserve"> S4. Extracellular matrix degradation was observed by Z-axis analysis.</w:t>
      </w:r>
    </w:p>
    <w:p w14:paraId="6A92408E" w14:textId="5CD3083D" w:rsidR="00B21C40" w:rsidRDefault="00B21C40" w:rsidP="00767D8A">
      <w:pPr>
        <w:spacing w:line="480" w:lineRule="auto"/>
        <w:rPr>
          <w:rFonts w:ascii="Times New Roman" w:hAnsi="Times New Roman"/>
          <w:b/>
          <w:bCs/>
          <w:sz w:val="24"/>
        </w:rPr>
      </w:pPr>
      <w:r w:rsidRPr="00AF25E5">
        <w:rPr>
          <w:rFonts w:ascii="Times New Roman" w:hAnsi="Times New Roman"/>
          <w:sz w:val="24"/>
        </w:rPr>
        <w:t xml:space="preserve">Fluorescent matrix degradation assay was used to observe the degradation of ECM. The LSM800 Z-stack function was applied to scan different layers of the sample. FN488 fluorescent matrix was shown in green, F-actin was stained in red, and blue color represented nuclei stained by DAPI. Scale bar, 20 </w:t>
      </w:r>
      <w:proofErr w:type="spellStart"/>
      <w:r w:rsidRPr="00AF25E5">
        <w:rPr>
          <w:rFonts w:ascii="Times New Roman" w:hAnsi="Times New Roman"/>
          <w:sz w:val="24"/>
        </w:rPr>
        <w:t>μm</w:t>
      </w:r>
      <w:proofErr w:type="spellEnd"/>
      <w:r w:rsidRPr="00AF25E5">
        <w:rPr>
          <w:rFonts w:ascii="Times New Roman" w:hAnsi="Times New Roman"/>
          <w:sz w:val="24"/>
        </w:rPr>
        <w:t>.</w:t>
      </w:r>
      <w:r w:rsidRPr="00AF25E5">
        <w:rPr>
          <w:rFonts w:ascii="Times New Roman" w:hAnsi="Times New Roman"/>
          <w:b/>
          <w:bCs/>
          <w:sz w:val="24"/>
        </w:rPr>
        <w:t xml:space="preserve"> </w:t>
      </w:r>
    </w:p>
    <w:p w14:paraId="26EFE5A0" w14:textId="5C490051" w:rsidR="007665C0" w:rsidRDefault="007665C0" w:rsidP="00767D8A">
      <w:pPr>
        <w:spacing w:line="480" w:lineRule="auto"/>
        <w:rPr>
          <w:rFonts w:ascii="Times New Roman" w:hAnsi="Times New Roman"/>
          <w:b/>
          <w:bCs/>
          <w:sz w:val="24"/>
        </w:rPr>
      </w:pPr>
    </w:p>
    <w:p w14:paraId="4728903F" w14:textId="1B01C500" w:rsidR="00B21C40" w:rsidRPr="00AF25E5" w:rsidRDefault="00B21C40" w:rsidP="00767D8A">
      <w:pPr>
        <w:spacing w:line="480" w:lineRule="auto"/>
        <w:rPr>
          <w:rFonts w:ascii="Times New Roman" w:hAnsi="Times New Roman"/>
          <w:sz w:val="24"/>
        </w:rPr>
      </w:pPr>
      <w:r w:rsidRPr="00AF25E5">
        <w:rPr>
          <w:rFonts w:ascii="Times New Roman" w:hAnsi="Times New Roman"/>
          <w:b/>
          <w:bCs/>
          <w:sz w:val="24"/>
        </w:rPr>
        <w:t>Supplementary Fig</w:t>
      </w:r>
      <w:r w:rsidR="007665C0">
        <w:rPr>
          <w:rFonts w:ascii="Times New Roman" w:hAnsi="Times New Roman"/>
          <w:b/>
          <w:bCs/>
          <w:sz w:val="24"/>
        </w:rPr>
        <w:t>ure</w:t>
      </w:r>
      <w:r w:rsidRPr="00AF25E5">
        <w:rPr>
          <w:rFonts w:ascii="Times New Roman" w:hAnsi="Times New Roman"/>
          <w:b/>
          <w:bCs/>
          <w:sz w:val="24"/>
        </w:rPr>
        <w:t xml:space="preserve"> S5. Effect of truncated LOXL2 and full length LOXL2 on the growth of filopodia.</w:t>
      </w:r>
    </w:p>
    <w:p w14:paraId="7A32A1D7" w14:textId="77777777" w:rsidR="00B21C40" w:rsidRPr="00AF25E5" w:rsidRDefault="00B21C40" w:rsidP="00767D8A">
      <w:pPr>
        <w:spacing w:line="480" w:lineRule="auto"/>
        <w:rPr>
          <w:rFonts w:ascii="Times New Roman" w:hAnsi="Times New Roman"/>
          <w:sz w:val="24"/>
        </w:rPr>
      </w:pPr>
      <w:r w:rsidRPr="00AF25E5">
        <w:rPr>
          <w:rFonts w:ascii="Times New Roman" w:hAnsi="Times New Roman"/>
          <w:sz w:val="24"/>
        </w:rPr>
        <w:t xml:space="preserve">The full-length and truncated LOXL2 plasmid was transfected into KYSE150 cells. Overexpressing cells were suspended in Matrigel to construct a 3D culture model. Degradation of the matrix and formation of cell filopodia were observed at different </w:t>
      </w:r>
      <w:r w:rsidRPr="00AF25E5">
        <w:rPr>
          <w:rFonts w:ascii="Times New Roman" w:hAnsi="Times New Roman"/>
          <w:sz w:val="24"/>
        </w:rPr>
        <w:lastRenderedPageBreak/>
        <w:t>times.</w:t>
      </w:r>
    </w:p>
    <w:p w14:paraId="69A42466" w14:textId="591559E2" w:rsidR="007665C0" w:rsidRDefault="007665C0" w:rsidP="00767D8A">
      <w:pPr>
        <w:spacing w:line="480" w:lineRule="auto"/>
        <w:rPr>
          <w:rFonts w:ascii="Times New Roman" w:hAnsi="Times New Roman" w:hint="eastAsia"/>
          <w:sz w:val="24"/>
        </w:rPr>
      </w:pPr>
    </w:p>
    <w:p w14:paraId="480DB357" w14:textId="241C56BA" w:rsidR="00B21C40" w:rsidRPr="00AF25E5" w:rsidRDefault="00B21C40" w:rsidP="00767D8A">
      <w:pPr>
        <w:spacing w:line="480" w:lineRule="auto"/>
        <w:rPr>
          <w:rFonts w:ascii="Times New Roman" w:hAnsi="Times New Roman"/>
          <w:sz w:val="24"/>
        </w:rPr>
      </w:pPr>
      <w:r w:rsidRPr="00AF25E5">
        <w:rPr>
          <w:rFonts w:ascii="Times New Roman" w:hAnsi="Times New Roman"/>
          <w:b/>
          <w:bCs/>
          <w:sz w:val="24"/>
        </w:rPr>
        <w:t>Supplementary Fig</w:t>
      </w:r>
      <w:r w:rsidR="005261D7">
        <w:rPr>
          <w:rFonts w:ascii="Times New Roman" w:hAnsi="Times New Roman" w:hint="eastAsia"/>
          <w:b/>
          <w:bCs/>
          <w:sz w:val="24"/>
        </w:rPr>
        <w:t>ure</w:t>
      </w:r>
      <w:r w:rsidRPr="00AF25E5">
        <w:rPr>
          <w:rFonts w:ascii="Times New Roman" w:hAnsi="Times New Roman"/>
          <w:b/>
          <w:bCs/>
          <w:sz w:val="24"/>
        </w:rPr>
        <w:t xml:space="preserve"> S6. Variation of ERK phosphorylation level.</w:t>
      </w:r>
    </w:p>
    <w:p w14:paraId="541B0765" w14:textId="58594884" w:rsidR="003C08D3" w:rsidRPr="00AF25E5" w:rsidRDefault="00B21C40" w:rsidP="00767D8A">
      <w:pPr>
        <w:spacing w:line="480" w:lineRule="auto"/>
        <w:rPr>
          <w:rFonts w:ascii="Times New Roman" w:hAnsi="Times New Roman"/>
          <w:sz w:val="24"/>
        </w:rPr>
      </w:pPr>
      <w:r w:rsidRPr="00AF25E5">
        <w:rPr>
          <w:rFonts w:ascii="Times New Roman" w:hAnsi="Times New Roman"/>
          <w:sz w:val="24"/>
        </w:rPr>
        <w:t>LCN2, LOXL2 and MMP9 were transfected individually (</w:t>
      </w:r>
      <w:r w:rsidRPr="00C93A79">
        <w:rPr>
          <w:rFonts w:ascii="Times New Roman" w:hAnsi="Times New Roman"/>
          <w:b/>
          <w:bCs/>
          <w:sz w:val="24"/>
        </w:rPr>
        <w:t>A</w:t>
      </w:r>
      <w:r w:rsidRPr="00AF25E5">
        <w:rPr>
          <w:rFonts w:ascii="Times New Roman" w:hAnsi="Times New Roman"/>
          <w:sz w:val="24"/>
        </w:rPr>
        <w:t>), or LCN2/LOXL2, LCN2/MMP9 and LOXL2/MMP9 were co-transfected in combination (</w:t>
      </w:r>
      <w:r w:rsidRPr="00C93A79">
        <w:rPr>
          <w:rFonts w:ascii="Times New Roman" w:hAnsi="Times New Roman"/>
          <w:b/>
          <w:bCs/>
          <w:sz w:val="24"/>
        </w:rPr>
        <w:t>B</w:t>
      </w:r>
      <w:r w:rsidRPr="00AF25E5">
        <w:rPr>
          <w:rFonts w:ascii="Times New Roman" w:hAnsi="Times New Roman"/>
          <w:sz w:val="24"/>
        </w:rPr>
        <w:t>), to detect the phosphorylation level of ERK.</w:t>
      </w:r>
    </w:p>
    <w:sectPr w:rsidR="003C08D3" w:rsidRPr="00AF25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13951" w14:textId="77777777" w:rsidR="003A7EDF" w:rsidRDefault="003A7EDF" w:rsidP="00B21C40">
      <w:r>
        <w:separator/>
      </w:r>
    </w:p>
  </w:endnote>
  <w:endnote w:type="continuationSeparator" w:id="0">
    <w:p w14:paraId="6EA8AF6B" w14:textId="77777777" w:rsidR="003A7EDF" w:rsidRDefault="003A7EDF" w:rsidP="00B21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966AB" w14:textId="77777777" w:rsidR="003A7EDF" w:rsidRDefault="003A7EDF" w:rsidP="00B21C40">
      <w:r>
        <w:separator/>
      </w:r>
    </w:p>
  </w:footnote>
  <w:footnote w:type="continuationSeparator" w:id="0">
    <w:p w14:paraId="126393D6" w14:textId="77777777" w:rsidR="003A7EDF" w:rsidRDefault="003A7EDF" w:rsidP="00B21C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4A8"/>
    <w:rsid w:val="003A7EDF"/>
    <w:rsid w:val="003C08D3"/>
    <w:rsid w:val="005261D7"/>
    <w:rsid w:val="007665C0"/>
    <w:rsid w:val="00767D8A"/>
    <w:rsid w:val="00AF25E5"/>
    <w:rsid w:val="00B21C40"/>
    <w:rsid w:val="00C7349E"/>
    <w:rsid w:val="00C93A79"/>
    <w:rsid w:val="00D01BB9"/>
    <w:rsid w:val="00F75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694F18"/>
  <w15:chartTrackingRefBased/>
  <w15:docId w15:val="{DEB3E866-9228-4CBA-973A-97F0B4D47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1C4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1C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1C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1C4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1C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445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bingli wu</dc:creator>
  <cp:keywords/>
  <dc:description/>
  <cp:lastModifiedBy>bingli wu</cp:lastModifiedBy>
  <cp:revision>7</cp:revision>
  <dcterms:created xsi:type="dcterms:W3CDTF">2021-05-28T13:29:00Z</dcterms:created>
  <dcterms:modified xsi:type="dcterms:W3CDTF">2021-06-22T13:48:00Z</dcterms:modified>
</cp:coreProperties>
</file>