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F1B2" w14:textId="30B65CEF" w:rsidR="00AB19BD" w:rsidRPr="00B849D2" w:rsidRDefault="00A40A18">
      <w:pPr>
        <w:rPr>
          <w:rFonts w:ascii="Times New Roman" w:hAnsi="Times New Roman" w:cs="Times New Roman"/>
          <w:b/>
          <w:bCs/>
        </w:rPr>
      </w:pPr>
      <w:r w:rsidRPr="00B849D2">
        <w:rPr>
          <w:rFonts w:ascii="Times New Roman" w:hAnsi="Times New Roman" w:cs="Times New Roman"/>
          <w:b/>
          <w:bCs/>
        </w:rPr>
        <w:t>Supplementary material Table 1-</w:t>
      </w:r>
      <w:r w:rsidR="00497C7C" w:rsidRPr="00B849D2">
        <w:rPr>
          <w:rFonts w:ascii="Times New Roman" w:hAnsi="Times New Roman" w:cs="Times New Roman"/>
          <w:b/>
          <w:bCs/>
        </w:rPr>
        <w:t>S</w:t>
      </w:r>
      <w:r w:rsidR="00C836C2" w:rsidRPr="00B849D2">
        <w:rPr>
          <w:rFonts w:ascii="Times New Roman" w:hAnsi="Times New Roman" w:cs="Times New Roman"/>
          <w:b/>
          <w:bCs/>
        </w:rPr>
        <w:t>TROBE</w:t>
      </w:r>
      <w:r w:rsidR="00497C7C" w:rsidRPr="00B849D2">
        <w:rPr>
          <w:rFonts w:ascii="Times New Roman" w:hAnsi="Times New Roman" w:cs="Times New Roman"/>
          <w:b/>
          <w:bCs/>
        </w:rPr>
        <w:t xml:space="preserve"> checklist</w:t>
      </w:r>
    </w:p>
    <w:p w14:paraId="5DCDC720" w14:textId="77777777" w:rsidR="00A93075" w:rsidRPr="00A93075" w:rsidRDefault="00A93075" w:rsidP="00A93075">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STROBE Statement—checklist of items that should be included in reports of observational studies</w:t>
      </w:r>
    </w:p>
    <w:p w14:paraId="3A5D1029" w14:textId="77777777" w:rsidR="00A93075" w:rsidRPr="00A93075" w:rsidRDefault="00A93075" w:rsidP="00A93075">
      <w:pPr>
        <w:spacing w:after="0" w:line="300" w:lineRule="exact"/>
        <w:rPr>
          <w:rFonts w:ascii="Times New Roman" w:eastAsia="Times New Roman" w:hAnsi="Times New Roman" w:cs="Times New Roman"/>
          <w:kern w:val="0"/>
          <w:szCs w:val="20"/>
          <w:lang w:val="en-GB"/>
          <w14:ligatures w14:val="none"/>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991"/>
        <w:gridCol w:w="647"/>
        <w:gridCol w:w="2881"/>
        <w:gridCol w:w="630"/>
        <w:gridCol w:w="4651"/>
      </w:tblGrid>
      <w:tr w:rsidR="00232735" w:rsidRPr="00232735" w14:paraId="5CB6322F" w14:textId="77777777" w:rsidTr="001711EE">
        <w:tc>
          <w:tcPr>
            <w:tcW w:w="0" w:type="auto"/>
          </w:tcPr>
          <w:p w14:paraId="24C1C966"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bookmarkStart w:id="9" w:name="bold22"/>
            <w:bookmarkStart w:id="10" w:name="italic22"/>
          </w:p>
        </w:tc>
        <w:tc>
          <w:tcPr>
            <w:tcW w:w="0" w:type="auto"/>
          </w:tcPr>
          <w:p w14:paraId="39580833" w14:textId="77777777" w:rsidR="00232735" w:rsidRPr="00232735" w:rsidRDefault="00232735" w:rsidP="00232735">
            <w:pPr>
              <w:tabs>
                <w:tab w:val="left" w:pos="5400"/>
              </w:tabs>
              <w:spacing w:before="120" w:after="0" w:line="240" w:lineRule="auto"/>
              <w:jc w:val="center"/>
              <w:rPr>
                <w:rFonts w:ascii="Times New Roman" w:eastAsia="Times New Roman" w:hAnsi="Times New Roman" w:cs="Times New Roman"/>
                <w:b/>
                <w:bCs/>
                <w:kern w:val="0"/>
                <w:sz w:val="20"/>
                <w:szCs w:val="20"/>
                <w:lang w:val="en-GB"/>
                <w14:ligatures w14:val="none"/>
              </w:rPr>
            </w:pPr>
            <w:r w:rsidRPr="00232735">
              <w:rPr>
                <w:rFonts w:ascii="Times New Roman" w:eastAsia="Times New Roman" w:hAnsi="Times New Roman" w:cs="Times New Roman"/>
                <w:b/>
                <w:bCs/>
                <w:kern w:val="0"/>
                <w:sz w:val="20"/>
                <w:szCs w:val="20"/>
                <w:lang w:val="en-GB"/>
                <w14:ligatures w14:val="none"/>
              </w:rPr>
              <w:t>Item No.</w:t>
            </w:r>
          </w:p>
        </w:tc>
        <w:tc>
          <w:tcPr>
            <w:tcW w:w="0" w:type="auto"/>
            <w:vAlign w:val="bottom"/>
          </w:tcPr>
          <w:p w14:paraId="013F6492" w14:textId="77777777" w:rsidR="00232735" w:rsidRPr="00232735" w:rsidRDefault="00232735" w:rsidP="00232735">
            <w:pPr>
              <w:tabs>
                <w:tab w:val="left" w:pos="5400"/>
              </w:tabs>
              <w:spacing w:before="120" w:after="0" w:line="240" w:lineRule="auto"/>
              <w:jc w:val="center"/>
              <w:rPr>
                <w:rFonts w:ascii="Times New Roman" w:eastAsia="Times New Roman" w:hAnsi="Times New Roman" w:cs="Times New Roman"/>
                <w:b/>
                <w:bCs/>
                <w:kern w:val="0"/>
                <w:sz w:val="20"/>
                <w:szCs w:val="20"/>
                <w:lang w:val="en-GB"/>
                <w14:ligatures w14:val="none"/>
              </w:rPr>
            </w:pPr>
            <w:r w:rsidRPr="00232735">
              <w:rPr>
                <w:rFonts w:ascii="Times New Roman" w:eastAsia="Times New Roman" w:hAnsi="Times New Roman" w:cs="Times New Roman"/>
                <w:b/>
                <w:bCs/>
                <w:kern w:val="0"/>
                <w:sz w:val="20"/>
                <w:szCs w:val="20"/>
                <w:lang w:val="en-GB"/>
                <w14:ligatures w14:val="none"/>
              </w:rPr>
              <w:t>Recommendation</w:t>
            </w:r>
          </w:p>
        </w:tc>
        <w:tc>
          <w:tcPr>
            <w:tcW w:w="0" w:type="auto"/>
          </w:tcPr>
          <w:p w14:paraId="7801F8EC" w14:textId="77777777" w:rsidR="00232735" w:rsidRPr="00232735" w:rsidRDefault="00232735" w:rsidP="00232735">
            <w:pPr>
              <w:tabs>
                <w:tab w:val="left" w:pos="5400"/>
              </w:tabs>
              <w:spacing w:before="120" w:after="0" w:line="240" w:lineRule="auto"/>
              <w:jc w:val="center"/>
              <w:rPr>
                <w:rFonts w:ascii="Times New Roman" w:eastAsia="Times New Roman" w:hAnsi="Times New Roman" w:cs="Times New Roman"/>
                <w:b/>
                <w:bCs/>
                <w:kern w:val="0"/>
                <w:sz w:val="20"/>
                <w:szCs w:val="20"/>
                <w:lang w:val="en-GB"/>
                <w14:ligatures w14:val="none"/>
              </w:rPr>
            </w:pPr>
            <w:r w:rsidRPr="00232735">
              <w:rPr>
                <w:rFonts w:ascii="Times New Roman" w:eastAsia="Times New Roman" w:hAnsi="Times New Roman" w:cs="Times New Roman"/>
                <w:b/>
                <w:bCs/>
                <w:kern w:val="0"/>
                <w:sz w:val="20"/>
                <w:szCs w:val="20"/>
                <w:lang w:val="en-GB"/>
                <w14:ligatures w14:val="none"/>
              </w:rPr>
              <w:t xml:space="preserve">Page </w:t>
            </w:r>
            <w:r w:rsidRPr="00232735">
              <w:rPr>
                <w:rFonts w:ascii="Times New Roman" w:eastAsia="Times New Roman" w:hAnsi="Times New Roman" w:cs="Times New Roman"/>
                <w:b/>
                <w:bCs/>
                <w:kern w:val="0"/>
                <w:sz w:val="20"/>
                <w:szCs w:val="20"/>
                <w:lang w:val="en-GB"/>
                <w14:ligatures w14:val="none"/>
              </w:rPr>
              <w:br/>
              <w:t>No.</w:t>
            </w:r>
          </w:p>
        </w:tc>
        <w:tc>
          <w:tcPr>
            <w:tcW w:w="0" w:type="auto"/>
          </w:tcPr>
          <w:p w14:paraId="7EB7654D" w14:textId="77777777" w:rsidR="00232735" w:rsidRPr="00232735" w:rsidRDefault="00232735" w:rsidP="00232735">
            <w:pPr>
              <w:tabs>
                <w:tab w:val="left" w:pos="5400"/>
              </w:tabs>
              <w:spacing w:before="120" w:after="0" w:line="240" w:lineRule="auto"/>
              <w:jc w:val="center"/>
              <w:rPr>
                <w:rFonts w:ascii="Times New Roman" w:eastAsia="Times New Roman" w:hAnsi="Times New Roman" w:cs="Times New Roman"/>
                <w:b/>
                <w:bCs/>
                <w:kern w:val="0"/>
                <w:sz w:val="20"/>
                <w:szCs w:val="20"/>
                <w:lang w:val="en-GB"/>
                <w14:ligatures w14:val="none"/>
              </w:rPr>
            </w:pPr>
            <w:r w:rsidRPr="00232735">
              <w:rPr>
                <w:rFonts w:ascii="Times New Roman" w:eastAsia="Times New Roman" w:hAnsi="Times New Roman" w:cs="Times New Roman"/>
                <w:b/>
                <w:bCs/>
                <w:kern w:val="0"/>
                <w:sz w:val="20"/>
                <w:szCs w:val="20"/>
                <w:lang w:val="en-GB"/>
                <w14:ligatures w14:val="none"/>
              </w:rPr>
              <w:t>Relevant text from manuscript</w:t>
            </w:r>
          </w:p>
        </w:tc>
      </w:tr>
      <w:tr w:rsidR="00232735" w:rsidRPr="00232735" w14:paraId="7C785C39" w14:textId="77777777" w:rsidTr="001711EE">
        <w:tc>
          <w:tcPr>
            <w:tcW w:w="0" w:type="auto"/>
            <w:vMerge w:val="restart"/>
          </w:tcPr>
          <w:p w14:paraId="54B00E9D" w14:textId="77777777" w:rsidR="00232735" w:rsidRPr="00232735" w:rsidRDefault="00232735" w:rsidP="00232735">
            <w:pPr>
              <w:tabs>
                <w:tab w:val="left" w:pos="5400"/>
              </w:tabs>
              <w:spacing w:after="0" w:line="300" w:lineRule="exact"/>
              <w:rPr>
                <w:rFonts w:ascii="Times New Roman" w:eastAsia="Times New Roman" w:hAnsi="Times New Roman" w:cs="Times New Roman"/>
                <w:b/>
                <w:bCs/>
                <w:kern w:val="0"/>
                <w:sz w:val="20"/>
                <w:szCs w:val="20"/>
                <w:lang w:val="en-GB"/>
                <w14:ligatures w14:val="none"/>
              </w:rPr>
            </w:pPr>
            <w:bookmarkStart w:id="11" w:name="bold5"/>
            <w:bookmarkStart w:id="12" w:name="italic6"/>
            <w:bookmarkEnd w:id="0"/>
            <w:bookmarkEnd w:id="1"/>
            <w:bookmarkEnd w:id="2"/>
            <w:bookmarkEnd w:id="3"/>
            <w:bookmarkEnd w:id="4"/>
            <w:bookmarkEnd w:id="5"/>
            <w:bookmarkEnd w:id="6"/>
            <w:bookmarkEnd w:id="7"/>
            <w:bookmarkEnd w:id="8"/>
            <w:r w:rsidRPr="00232735">
              <w:rPr>
                <w:rFonts w:ascii="Times New Roman" w:eastAsia="Times New Roman" w:hAnsi="Times New Roman" w:cs="Times New Roman"/>
                <w:b/>
                <w:kern w:val="0"/>
                <w:sz w:val="20"/>
                <w:szCs w:val="20"/>
                <w:lang w:val="en-GB"/>
                <w14:ligatures w14:val="none"/>
              </w:rPr>
              <w:t>Title and abstract</w:t>
            </w:r>
            <w:bookmarkEnd w:id="11"/>
            <w:bookmarkEnd w:id="12"/>
          </w:p>
        </w:tc>
        <w:tc>
          <w:tcPr>
            <w:tcW w:w="0" w:type="auto"/>
            <w:vMerge w:val="restart"/>
          </w:tcPr>
          <w:p w14:paraId="012D7933"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1</w:t>
            </w:r>
          </w:p>
        </w:tc>
        <w:tc>
          <w:tcPr>
            <w:tcW w:w="0" w:type="auto"/>
          </w:tcPr>
          <w:p w14:paraId="488F5D0A"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w:t>
            </w:r>
            <w:r w:rsidRPr="00232735">
              <w:rPr>
                <w:rFonts w:ascii="Times New Roman" w:eastAsia="Times New Roman" w:hAnsi="Times New Roman" w:cs="Times New Roman"/>
                <w:i/>
                <w:kern w:val="0"/>
                <w:sz w:val="20"/>
                <w:szCs w:val="20"/>
                <w:lang w:val="en-GB"/>
                <w14:ligatures w14:val="none"/>
              </w:rPr>
              <w:t>a</w:t>
            </w:r>
            <w:r w:rsidRPr="00232735">
              <w:rPr>
                <w:rFonts w:ascii="Times New Roman" w:eastAsia="Times New Roman" w:hAnsi="Times New Roman" w:cs="Times New Roman"/>
                <w:kern w:val="0"/>
                <w:sz w:val="20"/>
                <w:szCs w:val="20"/>
                <w:lang w:val="en-GB"/>
                <w14:ligatures w14:val="none"/>
              </w:rPr>
              <w:t>) Indicate the study’s design with a commonly used term in the title or the abstract</w:t>
            </w:r>
          </w:p>
        </w:tc>
        <w:tc>
          <w:tcPr>
            <w:tcW w:w="0" w:type="auto"/>
          </w:tcPr>
          <w:p w14:paraId="3EF1155C"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41CD4FBA"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Retrospective disproportionality analysis</w:t>
            </w:r>
          </w:p>
        </w:tc>
      </w:tr>
      <w:tr w:rsidR="00232735" w:rsidRPr="00232735" w14:paraId="5DF77BE0" w14:textId="77777777" w:rsidTr="001711EE">
        <w:tc>
          <w:tcPr>
            <w:tcW w:w="0" w:type="auto"/>
            <w:vMerge/>
          </w:tcPr>
          <w:p w14:paraId="3076E5C1"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13" w:name="bold6" w:colFirst="0" w:colLast="0"/>
            <w:bookmarkStart w:id="14" w:name="italic7" w:colFirst="0" w:colLast="0"/>
          </w:p>
        </w:tc>
        <w:tc>
          <w:tcPr>
            <w:tcW w:w="0" w:type="auto"/>
            <w:vMerge/>
          </w:tcPr>
          <w:p w14:paraId="5C58D815"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Pr>
          <w:p w14:paraId="57667598"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w:t>
            </w:r>
            <w:r w:rsidRPr="00232735">
              <w:rPr>
                <w:rFonts w:ascii="Times New Roman" w:eastAsia="Times New Roman" w:hAnsi="Times New Roman" w:cs="Times New Roman"/>
                <w:i/>
                <w:kern w:val="0"/>
                <w:sz w:val="20"/>
                <w:szCs w:val="20"/>
                <w:lang w:val="en-GB"/>
                <w14:ligatures w14:val="none"/>
              </w:rPr>
              <w:t>b</w:t>
            </w:r>
            <w:r w:rsidRPr="00232735">
              <w:rPr>
                <w:rFonts w:ascii="Times New Roman" w:eastAsia="Times New Roman" w:hAnsi="Times New Roman" w:cs="Times New Roman"/>
                <w:kern w:val="0"/>
                <w:sz w:val="20"/>
                <w:szCs w:val="20"/>
                <w:lang w:val="en-GB"/>
                <w14:ligatures w14:val="none"/>
              </w:rPr>
              <w:t>) Provide in the abstract an informative and balanced summary of what was done and what was found</w:t>
            </w:r>
          </w:p>
        </w:tc>
        <w:tc>
          <w:tcPr>
            <w:tcW w:w="0" w:type="auto"/>
          </w:tcPr>
          <w:p w14:paraId="10BA2B80"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51239AD3"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Include abstract</w:t>
            </w:r>
          </w:p>
        </w:tc>
      </w:tr>
      <w:tr w:rsidR="00232735" w:rsidRPr="00232735" w14:paraId="22376F2E" w14:textId="77777777" w:rsidTr="001711EE">
        <w:tc>
          <w:tcPr>
            <w:tcW w:w="0" w:type="auto"/>
            <w:gridSpan w:val="4"/>
          </w:tcPr>
          <w:p w14:paraId="7A581770" w14:textId="77777777" w:rsidR="00232735" w:rsidRPr="00232735" w:rsidRDefault="00232735" w:rsidP="00232735">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15" w:name="bold7"/>
            <w:bookmarkStart w:id="16" w:name="italic8"/>
            <w:bookmarkEnd w:id="13"/>
            <w:bookmarkEnd w:id="14"/>
            <w:r w:rsidRPr="00232735">
              <w:rPr>
                <w:rFonts w:ascii="Times New Roman" w:eastAsia="Times New Roman" w:hAnsi="Times New Roman" w:cs="Times New Roman"/>
                <w:b/>
                <w:kern w:val="0"/>
                <w:sz w:val="20"/>
                <w:szCs w:val="20"/>
                <w:lang w:val="en-GB"/>
                <w14:ligatures w14:val="none"/>
              </w:rPr>
              <w:t>Introduction</w:t>
            </w:r>
          </w:p>
        </w:tc>
        <w:bookmarkEnd w:id="15"/>
        <w:bookmarkEnd w:id="16"/>
        <w:tc>
          <w:tcPr>
            <w:tcW w:w="0" w:type="auto"/>
          </w:tcPr>
          <w:p w14:paraId="20882671" w14:textId="77777777" w:rsidR="00232735" w:rsidRPr="00232735" w:rsidRDefault="00232735" w:rsidP="00232735">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p>
        </w:tc>
      </w:tr>
      <w:tr w:rsidR="00232735" w:rsidRPr="00232735" w14:paraId="4DE5066E" w14:textId="77777777" w:rsidTr="001711EE">
        <w:tc>
          <w:tcPr>
            <w:tcW w:w="0" w:type="auto"/>
          </w:tcPr>
          <w:p w14:paraId="43B0FF0B"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17" w:name="bold8"/>
            <w:bookmarkStart w:id="18" w:name="italic9"/>
            <w:r w:rsidRPr="00232735">
              <w:rPr>
                <w:rFonts w:ascii="Times New Roman" w:eastAsia="Times New Roman" w:hAnsi="Times New Roman" w:cs="Times New Roman"/>
                <w:bCs/>
                <w:kern w:val="0"/>
                <w:sz w:val="20"/>
                <w:szCs w:val="20"/>
                <w:lang w:val="en-GB"/>
                <w14:ligatures w14:val="none"/>
              </w:rPr>
              <w:t>Background/</w:t>
            </w:r>
            <w:bookmarkStart w:id="19" w:name="bold9"/>
            <w:bookmarkStart w:id="20" w:name="italic10"/>
            <w:bookmarkEnd w:id="17"/>
            <w:bookmarkEnd w:id="18"/>
            <w:r w:rsidRPr="00232735">
              <w:rPr>
                <w:rFonts w:ascii="Times New Roman" w:eastAsia="Times New Roman" w:hAnsi="Times New Roman" w:cs="Times New Roman"/>
                <w:bCs/>
                <w:kern w:val="0"/>
                <w:sz w:val="20"/>
                <w:szCs w:val="20"/>
                <w:lang w:val="en-GB"/>
                <w14:ligatures w14:val="none"/>
              </w:rPr>
              <w:t>rationale</w:t>
            </w:r>
            <w:bookmarkEnd w:id="19"/>
            <w:bookmarkEnd w:id="20"/>
          </w:p>
        </w:tc>
        <w:tc>
          <w:tcPr>
            <w:tcW w:w="0" w:type="auto"/>
          </w:tcPr>
          <w:p w14:paraId="78351FD6"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2</w:t>
            </w:r>
          </w:p>
        </w:tc>
        <w:tc>
          <w:tcPr>
            <w:tcW w:w="0" w:type="auto"/>
          </w:tcPr>
          <w:p w14:paraId="29134297"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Explain the scientific background and rationale for the investigation being reported</w:t>
            </w:r>
          </w:p>
        </w:tc>
        <w:tc>
          <w:tcPr>
            <w:tcW w:w="0" w:type="auto"/>
          </w:tcPr>
          <w:p w14:paraId="62EE596B"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6CE95168"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 xml:space="preserve">Glucagon-like peptide-1 receptor agonists (GLP-1RAs) are a cornerstone in the management of type 2 diabetes mellitus and obesity due to their demonstrated efficacy in </w:t>
            </w:r>
            <w:proofErr w:type="spellStart"/>
            <w:r w:rsidRPr="00232735">
              <w:rPr>
                <w:rFonts w:ascii="Times New Roman" w:eastAsia="Times New Roman" w:hAnsi="Times New Roman" w:cs="Times New Roman"/>
                <w:kern w:val="0"/>
                <w:szCs w:val="20"/>
                <w:lang w:val="en-GB"/>
                <w14:ligatures w14:val="none"/>
              </w:rPr>
              <w:t>glycemic</w:t>
            </w:r>
            <w:proofErr w:type="spellEnd"/>
            <w:r w:rsidRPr="00232735">
              <w:rPr>
                <w:rFonts w:ascii="Times New Roman" w:eastAsia="Times New Roman" w:hAnsi="Times New Roman" w:cs="Times New Roman"/>
                <w:kern w:val="0"/>
                <w:szCs w:val="20"/>
                <w:lang w:val="en-GB"/>
                <w14:ligatures w14:val="none"/>
              </w:rPr>
              <w:t xml:space="preserve"> control, weight reduction and lowering risk of cardiovascular diseases. Concurrent to the increase in the prescription and use of these agents, attention has shifted to evaluate safety concerns, including gallbladder-related adverse events. Biliary complications such as cholelithiasis, cholecystitis, biliary colic and biliary cancer have been reported in GLP-1RA users.</w:t>
            </w:r>
          </w:p>
        </w:tc>
      </w:tr>
      <w:tr w:rsidR="00232735" w:rsidRPr="00232735" w14:paraId="1CA9DCDE" w14:textId="77777777" w:rsidTr="001711EE">
        <w:tc>
          <w:tcPr>
            <w:tcW w:w="0" w:type="auto"/>
          </w:tcPr>
          <w:p w14:paraId="66348958"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1" w:name="bold10" w:colFirst="0" w:colLast="0"/>
            <w:bookmarkStart w:id="22" w:name="italic11" w:colFirst="0" w:colLast="0"/>
            <w:r w:rsidRPr="00232735">
              <w:rPr>
                <w:rFonts w:ascii="Times New Roman" w:eastAsia="Times New Roman" w:hAnsi="Times New Roman" w:cs="Times New Roman"/>
                <w:bCs/>
                <w:kern w:val="0"/>
                <w:sz w:val="20"/>
                <w:szCs w:val="20"/>
                <w:lang w:val="en-GB"/>
                <w14:ligatures w14:val="none"/>
              </w:rPr>
              <w:t>Objectives</w:t>
            </w:r>
          </w:p>
        </w:tc>
        <w:tc>
          <w:tcPr>
            <w:tcW w:w="0" w:type="auto"/>
          </w:tcPr>
          <w:p w14:paraId="0885D794"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3</w:t>
            </w:r>
          </w:p>
        </w:tc>
        <w:tc>
          <w:tcPr>
            <w:tcW w:w="0" w:type="auto"/>
          </w:tcPr>
          <w:p w14:paraId="11ABFDBE"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State specific objectives, including any prespecified hypotheses</w:t>
            </w:r>
          </w:p>
        </w:tc>
        <w:tc>
          <w:tcPr>
            <w:tcW w:w="0" w:type="auto"/>
          </w:tcPr>
          <w:p w14:paraId="0E32259D"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34D9A55E"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To evaluate and compare biliary adverse events across individual GLP1-RA agents to help guide physicians in having informed risk-benefit discussions</w:t>
            </w:r>
          </w:p>
        </w:tc>
      </w:tr>
      <w:tr w:rsidR="00232735" w:rsidRPr="00232735" w14:paraId="34660D64" w14:textId="77777777" w:rsidTr="001711EE">
        <w:tc>
          <w:tcPr>
            <w:tcW w:w="0" w:type="auto"/>
            <w:gridSpan w:val="4"/>
          </w:tcPr>
          <w:p w14:paraId="3B8B02B2" w14:textId="77777777" w:rsidR="00232735" w:rsidRPr="00232735" w:rsidRDefault="00232735" w:rsidP="00232735">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23" w:name="bold11"/>
            <w:bookmarkStart w:id="24" w:name="italic12"/>
            <w:bookmarkEnd w:id="21"/>
            <w:bookmarkEnd w:id="22"/>
            <w:r w:rsidRPr="00232735">
              <w:rPr>
                <w:rFonts w:ascii="Times New Roman" w:eastAsia="Times New Roman" w:hAnsi="Times New Roman" w:cs="Times New Roman"/>
                <w:b/>
                <w:kern w:val="0"/>
                <w:sz w:val="20"/>
                <w:szCs w:val="20"/>
                <w:lang w:val="en-GB"/>
                <w14:ligatures w14:val="none"/>
              </w:rPr>
              <w:t>Methods</w:t>
            </w:r>
          </w:p>
        </w:tc>
        <w:bookmarkEnd w:id="23"/>
        <w:bookmarkEnd w:id="24"/>
        <w:tc>
          <w:tcPr>
            <w:tcW w:w="0" w:type="auto"/>
          </w:tcPr>
          <w:p w14:paraId="5EF33C88" w14:textId="77777777" w:rsidR="00232735" w:rsidRPr="00232735" w:rsidRDefault="00232735" w:rsidP="00232735">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p>
        </w:tc>
      </w:tr>
      <w:tr w:rsidR="00232735" w:rsidRPr="00232735" w14:paraId="140D7A11" w14:textId="77777777" w:rsidTr="001711EE">
        <w:tc>
          <w:tcPr>
            <w:tcW w:w="0" w:type="auto"/>
          </w:tcPr>
          <w:p w14:paraId="4A1C82F4"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5" w:name="bold12" w:colFirst="0" w:colLast="0"/>
            <w:bookmarkStart w:id="26" w:name="italic13" w:colFirst="0" w:colLast="0"/>
            <w:r w:rsidRPr="00232735">
              <w:rPr>
                <w:rFonts w:ascii="Times New Roman" w:eastAsia="Times New Roman" w:hAnsi="Times New Roman" w:cs="Times New Roman"/>
                <w:bCs/>
                <w:kern w:val="0"/>
                <w:sz w:val="20"/>
                <w:szCs w:val="20"/>
                <w:lang w:val="en-GB"/>
                <w14:ligatures w14:val="none"/>
              </w:rPr>
              <w:t>Study design</w:t>
            </w:r>
          </w:p>
        </w:tc>
        <w:tc>
          <w:tcPr>
            <w:tcW w:w="0" w:type="auto"/>
          </w:tcPr>
          <w:p w14:paraId="42D8AB60"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4</w:t>
            </w:r>
          </w:p>
        </w:tc>
        <w:tc>
          <w:tcPr>
            <w:tcW w:w="0" w:type="auto"/>
          </w:tcPr>
          <w:p w14:paraId="0D334876"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Present key elements of study design early in the paper</w:t>
            </w:r>
          </w:p>
        </w:tc>
        <w:tc>
          <w:tcPr>
            <w:tcW w:w="0" w:type="auto"/>
          </w:tcPr>
          <w:p w14:paraId="036F8E65"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69B65CA8"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We conducted a retrospective analysis using data from the FDA Adverse Event Reporting System (FAERS), a publicly available database that collects post-marketing adverse event reports from January 1st, 2005, to February 17th, 2026, was included. A disproportionality analysis was performed using Proportional Reporting Ratios (PRRs) and Relative Odds Ratios (RORs) to assess the relative reporting frequency of biliary adverse events associated with each GLP-1 receptor agonist compared with semaglutide.</w:t>
            </w:r>
          </w:p>
        </w:tc>
      </w:tr>
      <w:tr w:rsidR="00232735" w:rsidRPr="00232735" w14:paraId="181B7EDB" w14:textId="77777777" w:rsidTr="001711EE">
        <w:tc>
          <w:tcPr>
            <w:tcW w:w="0" w:type="auto"/>
          </w:tcPr>
          <w:p w14:paraId="64109A44"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7" w:name="bold13" w:colFirst="0" w:colLast="0"/>
            <w:bookmarkStart w:id="28" w:name="italic14" w:colFirst="0" w:colLast="0"/>
            <w:bookmarkEnd w:id="25"/>
            <w:bookmarkEnd w:id="26"/>
            <w:r w:rsidRPr="00232735">
              <w:rPr>
                <w:rFonts w:ascii="Times New Roman" w:eastAsia="Times New Roman" w:hAnsi="Times New Roman" w:cs="Times New Roman"/>
                <w:bCs/>
                <w:kern w:val="0"/>
                <w:sz w:val="20"/>
                <w:szCs w:val="20"/>
                <w:lang w:val="en-GB"/>
                <w14:ligatures w14:val="none"/>
              </w:rPr>
              <w:t>Setting</w:t>
            </w:r>
          </w:p>
        </w:tc>
        <w:tc>
          <w:tcPr>
            <w:tcW w:w="0" w:type="auto"/>
          </w:tcPr>
          <w:p w14:paraId="6BFB1677"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5</w:t>
            </w:r>
          </w:p>
        </w:tc>
        <w:tc>
          <w:tcPr>
            <w:tcW w:w="0" w:type="auto"/>
          </w:tcPr>
          <w:p w14:paraId="1A99C56C"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 xml:space="preserve">Describe the setting, locations, and relevant dates, including </w:t>
            </w:r>
            <w:r w:rsidRPr="00232735">
              <w:rPr>
                <w:rFonts w:ascii="Times New Roman" w:eastAsia="Times New Roman" w:hAnsi="Times New Roman" w:cs="Times New Roman"/>
                <w:kern w:val="0"/>
                <w:sz w:val="20"/>
                <w:szCs w:val="20"/>
                <w:lang w:val="en-GB"/>
                <w14:ligatures w14:val="none"/>
              </w:rPr>
              <w:lastRenderedPageBreak/>
              <w:t>periods of recruitment, exposure, follow-up, and data collection</w:t>
            </w:r>
          </w:p>
        </w:tc>
        <w:tc>
          <w:tcPr>
            <w:tcW w:w="0" w:type="auto"/>
          </w:tcPr>
          <w:p w14:paraId="1837932F"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27162879"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 xml:space="preserve">We conducted a retrospective analysis using data from the FDA Adverse Event Reporting System (FAERS), a publicly available </w:t>
            </w:r>
            <w:r w:rsidRPr="00232735">
              <w:rPr>
                <w:rFonts w:ascii="Times New Roman" w:eastAsia="Times New Roman" w:hAnsi="Times New Roman" w:cs="Times New Roman"/>
                <w:kern w:val="0"/>
                <w:szCs w:val="20"/>
                <w:lang w:val="en-GB"/>
                <w14:ligatures w14:val="none"/>
              </w:rPr>
              <w:lastRenderedPageBreak/>
              <w:t>database that collects post-marketing adverse event reports submitted by healthcare professionals, manufacturers, and consumers. FAERS data from January 1st, 2005, to February 17th, 2026, was included.</w:t>
            </w:r>
          </w:p>
        </w:tc>
      </w:tr>
      <w:bookmarkEnd w:id="27"/>
      <w:bookmarkEnd w:id="28"/>
      <w:tr w:rsidR="00232735" w:rsidRPr="00232735" w14:paraId="5B8CA357" w14:textId="77777777" w:rsidTr="001711EE">
        <w:tc>
          <w:tcPr>
            <w:tcW w:w="0" w:type="auto"/>
            <w:vMerge w:val="restart"/>
          </w:tcPr>
          <w:p w14:paraId="71DE4350"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r w:rsidRPr="00232735">
              <w:rPr>
                <w:rFonts w:ascii="Times New Roman" w:eastAsia="Times New Roman" w:hAnsi="Times New Roman" w:cs="Times New Roman"/>
                <w:bCs/>
                <w:kern w:val="0"/>
                <w:sz w:val="20"/>
                <w:szCs w:val="20"/>
                <w:lang w:val="en-GB"/>
                <w14:ligatures w14:val="none"/>
              </w:rPr>
              <w:lastRenderedPageBreak/>
              <w:t>Participants</w:t>
            </w:r>
          </w:p>
        </w:tc>
        <w:tc>
          <w:tcPr>
            <w:tcW w:w="0" w:type="auto"/>
            <w:vMerge w:val="restart"/>
          </w:tcPr>
          <w:p w14:paraId="76C95742"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6</w:t>
            </w:r>
          </w:p>
        </w:tc>
        <w:tc>
          <w:tcPr>
            <w:tcW w:w="0" w:type="auto"/>
          </w:tcPr>
          <w:p w14:paraId="25258147"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w:t>
            </w:r>
            <w:r w:rsidRPr="00232735">
              <w:rPr>
                <w:rFonts w:ascii="Times New Roman" w:eastAsia="Times New Roman" w:hAnsi="Times New Roman" w:cs="Times New Roman"/>
                <w:i/>
                <w:kern w:val="0"/>
                <w:sz w:val="20"/>
                <w:szCs w:val="20"/>
                <w:lang w:val="en-GB"/>
                <w14:ligatures w14:val="none"/>
              </w:rPr>
              <w:t>a</w:t>
            </w:r>
            <w:r w:rsidRPr="00232735">
              <w:rPr>
                <w:rFonts w:ascii="Times New Roman" w:eastAsia="Times New Roman" w:hAnsi="Times New Roman" w:cs="Times New Roman"/>
                <w:kern w:val="0"/>
                <w:sz w:val="20"/>
                <w:szCs w:val="20"/>
                <w:lang w:val="en-GB"/>
                <w14:ligatures w14:val="none"/>
              </w:rPr>
              <w:t xml:space="preserve">) </w:t>
            </w:r>
            <w:r w:rsidRPr="00232735">
              <w:rPr>
                <w:rFonts w:ascii="Times New Roman" w:eastAsia="Times New Roman" w:hAnsi="Times New Roman" w:cs="Times New Roman"/>
                <w:i/>
                <w:kern w:val="0"/>
                <w:sz w:val="20"/>
                <w:szCs w:val="20"/>
                <w:lang w:val="en-GB"/>
                <w14:ligatures w14:val="none"/>
              </w:rPr>
              <w:t>Cohort study</w:t>
            </w:r>
            <w:r w:rsidRPr="00232735">
              <w:rPr>
                <w:rFonts w:ascii="Times New Roman" w:eastAsia="Times New Roman" w:hAnsi="Times New Roman" w:cs="Times New Roman"/>
                <w:kern w:val="0"/>
                <w:sz w:val="20"/>
                <w:szCs w:val="20"/>
                <w:lang w:val="en-GB"/>
                <w14:ligatures w14:val="none"/>
              </w:rPr>
              <w:t>—Give the eligibility criteria, and the sources and methods of selection of participants. Describe methods of follow-up</w:t>
            </w:r>
          </w:p>
          <w:p w14:paraId="2ADD55D7"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i/>
                <w:kern w:val="0"/>
                <w:sz w:val="20"/>
                <w:szCs w:val="20"/>
                <w:lang w:val="en-GB"/>
                <w14:ligatures w14:val="none"/>
              </w:rPr>
              <w:t>Case-control study</w:t>
            </w:r>
            <w:r w:rsidRPr="00232735">
              <w:rPr>
                <w:rFonts w:ascii="Times New Roman" w:eastAsia="Times New Roman" w:hAnsi="Times New Roman" w:cs="Times New Roman"/>
                <w:kern w:val="0"/>
                <w:sz w:val="20"/>
                <w:szCs w:val="20"/>
                <w:lang w:val="en-GB"/>
                <w14:ligatures w14:val="none"/>
              </w:rPr>
              <w:t>—Give the eligibility criteria, and the sources and methods of case ascertainment and control selection. Give the rationale for the choice of cases and controls</w:t>
            </w:r>
          </w:p>
          <w:p w14:paraId="0832D2CE"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i/>
                <w:kern w:val="0"/>
                <w:sz w:val="20"/>
                <w:szCs w:val="20"/>
                <w:lang w:val="en-GB"/>
                <w14:ligatures w14:val="none"/>
              </w:rPr>
              <w:t>Cross-sectional study</w:t>
            </w:r>
            <w:r w:rsidRPr="00232735">
              <w:rPr>
                <w:rFonts w:ascii="Times New Roman" w:eastAsia="Times New Roman" w:hAnsi="Times New Roman" w:cs="Times New Roman"/>
                <w:kern w:val="0"/>
                <w:sz w:val="20"/>
                <w:szCs w:val="20"/>
                <w:lang w:val="en-GB"/>
                <w14:ligatures w14:val="none"/>
              </w:rPr>
              <w:t>—Give the eligibility criteria, and the sources and methods of selection of participants</w:t>
            </w:r>
          </w:p>
        </w:tc>
        <w:tc>
          <w:tcPr>
            <w:tcW w:w="0" w:type="auto"/>
          </w:tcPr>
          <w:p w14:paraId="20CDD712"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13C083CA"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The analysis focused on GLP-1 receptor agonists approved for the treatment of type 2 diabetes mellitus and obesity. We evaluated dulaglutide, exenatide, liraglutide, and tirzepatide, and used semaglutide as the reference agent given its widespread clinical use. Biliary adverse events were grouped into the following clinically relevant categories; cholelithiasis, cholecystitis, biliary colic, bile duct stone and cholangitis. FAERS data from January 1st, 2005, to February 17th, 2026, was included.</w:t>
            </w:r>
          </w:p>
        </w:tc>
      </w:tr>
      <w:tr w:rsidR="00232735" w:rsidRPr="00232735" w14:paraId="22C87E76" w14:textId="77777777" w:rsidTr="001711EE">
        <w:tc>
          <w:tcPr>
            <w:tcW w:w="0" w:type="auto"/>
            <w:vMerge/>
          </w:tcPr>
          <w:p w14:paraId="3D631AF8"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29" w:name="bold14" w:colFirst="0" w:colLast="0"/>
            <w:bookmarkStart w:id="30" w:name="italic15" w:colFirst="0" w:colLast="0"/>
          </w:p>
        </w:tc>
        <w:tc>
          <w:tcPr>
            <w:tcW w:w="0" w:type="auto"/>
            <w:vMerge/>
          </w:tcPr>
          <w:p w14:paraId="1E0E782F"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p>
        </w:tc>
        <w:tc>
          <w:tcPr>
            <w:tcW w:w="0" w:type="auto"/>
          </w:tcPr>
          <w:p w14:paraId="2C255F9E"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w:t>
            </w:r>
            <w:r w:rsidRPr="00232735">
              <w:rPr>
                <w:rFonts w:ascii="Times New Roman" w:eastAsia="Times New Roman" w:hAnsi="Times New Roman" w:cs="Times New Roman"/>
                <w:i/>
                <w:kern w:val="0"/>
                <w:sz w:val="20"/>
                <w:szCs w:val="20"/>
                <w:lang w:val="en-GB"/>
                <w14:ligatures w14:val="none"/>
              </w:rPr>
              <w:t>b</w:t>
            </w:r>
            <w:r w:rsidRPr="00232735">
              <w:rPr>
                <w:rFonts w:ascii="Times New Roman" w:eastAsia="Times New Roman" w:hAnsi="Times New Roman" w:cs="Times New Roman"/>
                <w:kern w:val="0"/>
                <w:sz w:val="20"/>
                <w:szCs w:val="20"/>
                <w:lang w:val="en-GB"/>
                <w14:ligatures w14:val="none"/>
              </w:rPr>
              <w:t>)</w:t>
            </w:r>
            <w:r w:rsidRPr="00232735">
              <w:rPr>
                <w:rFonts w:ascii="Times New Roman" w:eastAsia="Times New Roman" w:hAnsi="Times New Roman" w:cs="Times New Roman"/>
                <w:b/>
                <w:bCs/>
                <w:kern w:val="0"/>
                <w:sz w:val="20"/>
                <w:szCs w:val="20"/>
                <w:lang w:val="en-GB"/>
                <w14:ligatures w14:val="none"/>
              </w:rPr>
              <w:t xml:space="preserve"> </w:t>
            </w:r>
            <w:r w:rsidRPr="00232735">
              <w:rPr>
                <w:rFonts w:ascii="Times New Roman" w:eastAsia="Times New Roman" w:hAnsi="Times New Roman" w:cs="Times New Roman"/>
                <w:bCs/>
                <w:i/>
                <w:kern w:val="0"/>
                <w:sz w:val="20"/>
                <w:szCs w:val="20"/>
                <w:lang w:val="en-GB"/>
                <w14:ligatures w14:val="none"/>
              </w:rPr>
              <w:t>Cohort study</w:t>
            </w:r>
            <w:r w:rsidRPr="00232735">
              <w:rPr>
                <w:rFonts w:ascii="Times New Roman" w:eastAsia="Times New Roman" w:hAnsi="Times New Roman" w:cs="Times New Roman"/>
                <w:kern w:val="0"/>
                <w:sz w:val="20"/>
                <w:szCs w:val="20"/>
                <w:lang w:val="en-GB"/>
                <w14:ligatures w14:val="none"/>
              </w:rPr>
              <w:t>—For matched studies, give matching criteria and number of exposed and unexposed</w:t>
            </w:r>
          </w:p>
          <w:p w14:paraId="30D2013F" w14:textId="77777777" w:rsidR="00232735" w:rsidRPr="00232735" w:rsidRDefault="00232735" w:rsidP="00232735">
            <w:pPr>
              <w:tabs>
                <w:tab w:val="left" w:pos="5400"/>
              </w:tabs>
              <w:spacing w:after="0" w:line="300" w:lineRule="exact"/>
              <w:rPr>
                <w:rFonts w:ascii="Times New Roman" w:eastAsia="Times New Roman" w:hAnsi="Times New Roman" w:cs="Times New Roman"/>
                <w:i/>
                <w:kern w:val="0"/>
                <w:sz w:val="20"/>
                <w:szCs w:val="20"/>
                <w:lang w:val="en-GB"/>
                <w14:ligatures w14:val="none"/>
              </w:rPr>
            </w:pPr>
            <w:r w:rsidRPr="00232735">
              <w:rPr>
                <w:rFonts w:ascii="Times New Roman" w:eastAsia="Times New Roman" w:hAnsi="Times New Roman" w:cs="Times New Roman"/>
                <w:bCs/>
                <w:i/>
                <w:kern w:val="0"/>
                <w:sz w:val="20"/>
                <w:szCs w:val="20"/>
                <w:lang w:val="en-GB"/>
                <w14:ligatures w14:val="none"/>
              </w:rPr>
              <w:t>Case-control study</w:t>
            </w:r>
            <w:r w:rsidRPr="00232735">
              <w:rPr>
                <w:rFonts w:ascii="Times New Roman" w:eastAsia="Times New Roman" w:hAnsi="Times New Roman" w:cs="Times New Roman"/>
                <w:kern w:val="0"/>
                <w:sz w:val="20"/>
                <w:szCs w:val="20"/>
                <w:lang w:val="en-GB"/>
                <w14:ligatures w14:val="none"/>
              </w:rPr>
              <w:t>—For matched studies, give matching criteria and the number of controls per case</w:t>
            </w:r>
          </w:p>
        </w:tc>
        <w:tc>
          <w:tcPr>
            <w:tcW w:w="0" w:type="auto"/>
          </w:tcPr>
          <w:p w14:paraId="0386A75B"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N/A</w:t>
            </w:r>
          </w:p>
        </w:tc>
        <w:tc>
          <w:tcPr>
            <w:tcW w:w="0" w:type="auto"/>
          </w:tcPr>
          <w:p w14:paraId="5FCEFCE3"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Not applicable: no matching performed (disproportionality analysis of FAERS reports).</w:t>
            </w:r>
          </w:p>
        </w:tc>
      </w:tr>
      <w:tr w:rsidR="00232735" w:rsidRPr="00232735" w14:paraId="072DFCB0" w14:textId="77777777" w:rsidTr="001711EE">
        <w:tc>
          <w:tcPr>
            <w:tcW w:w="0" w:type="auto"/>
          </w:tcPr>
          <w:p w14:paraId="00A84139"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31" w:name="bold16" w:colFirst="0" w:colLast="0"/>
            <w:bookmarkStart w:id="32" w:name="italic17" w:colFirst="0" w:colLast="0"/>
            <w:bookmarkEnd w:id="29"/>
            <w:bookmarkEnd w:id="30"/>
            <w:r w:rsidRPr="00232735">
              <w:rPr>
                <w:rFonts w:ascii="Times New Roman" w:eastAsia="Times New Roman" w:hAnsi="Times New Roman" w:cs="Times New Roman"/>
                <w:bCs/>
                <w:kern w:val="0"/>
                <w:sz w:val="20"/>
                <w:szCs w:val="20"/>
                <w:lang w:val="en-GB"/>
                <w14:ligatures w14:val="none"/>
              </w:rPr>
              <w:t>Variables</w:t>
            </w:r>
          </w:p>
        </w:tc>
        <w:tc>
          <w:tcPr>
            <w:tcW w:w="0" w:type="auto"/>
          </w:tcPr>
          <w:p w14:paraId="51DADEB4"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7</w:t>
            </w:r>
          </w:p>
        </w:tc>
        <w:tc>
          <w:tcPr>
            <w:tcW w:w="0" w:type="auto"/>
          </w:tcPr>
          <w:p w14:paraId="549E85AB"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Clearly define all outcomes, exposures, predictors, potential confounders, and effect modifiers. Give diagnostic criteria, if applicable</w:t>
            </w:r>
          </w:p>
        </w:tc>
        <w:tc>
          <w:tcPr>
            <w:tcW w:w="0" w:type="auto"/>
          </w:tcPr>
          <w:p w14:paraId="607AD41A"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6327C142"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The analysis focused on GLP-1 receptor agonists approved for the treatment of type 2 diabetes mellitus and obesity. We evaluated dulaglutide, exenatide, liraglutide, and tirzepatide, and used semaglutide as the reference agent given its widespread clinical use. Biliary adverse events were grouped into the following clinically relevant categories; cholelithiasis, cholecystitis, biliary colic, bile duct stone and cholangitis. Reports listing one of the study drugs and containing one of the mentioned biliary adverse events were included in the analysis. We performed a sub-group analysis on the deduplicated data on age, sex and indication for use. Unknown values were excluded from the analysis.</w:t>
            </w:r>
          </w:p>
        </w:tc>
      </w:tr>
      <w:tr w:rsidR="00232735" w:rsidRPr="00232735" w14:paraId="2C4F7C9F" w14:textId="77777777" w:rsidTr="001711EE">
        <w:trPr>
          <w:trHeight w:val="294"/>
        </w:trPr>
        <w:tc>
          <w:tcPr>
            <w:tcW w:w="0" w:type="auto"/>
          </w:tcPr>
          <w:p w14:paraId="0A439B25"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33" w:name="bold17"/>
            <w:bookmarkStart w:id="34" w:name="italic18"/>
            <w:bookmarkEnd w:id="31"/>
            <w:bookmarkEnd w:id="32"/>
            <w:r w:rsidRPr="00232735">
              <w:rPr>
                <w:rFonts w:ascii="Times New Roman" w:eastAsia="Times New Roman" w:hAnsi="Times New Roman" w:cs="Times New Roman"/>
                <w:bCs/>
                <w:kern w:val="0"/>
                <w:sz w:val="20"/>
                <w:szCs w:val="20"/>
                <w:lang w:val="en-GB"/>
                <w14:ligatures w14:val="none"/>
              </w:rPr>
              <w:t>Data sources/</w:t>
            </w:r>
            <w:bookmarkStart w:id="35" w:name="bold18"/>
            <w:bookmarkStart w:id="36" w:name="italic19"/>
            <w:bookmarkEnd w:id="33"/>
            <w:bookmarkEnd w:id="34"/>
            <w:r w:rsidRPr="00232735">
              <w:rPr>
                <w:rFonts w:ascii="Times New Roman" w:eastAsia="Times New Roman" w:hAnsi="Times New Roman" w:cs="Times New Roman"/>
                <w:bCs/>
                <w:kern w:val="0"/>
                <w:sz w:val="20"/>
                <w:szCs w:val="20"/>
                <w:lang w:val="en-GB"/>
                <w14:ligatures w14:val="none"/>
              </w:rPr>
              <w:t xml:space="preserve"> measurement</w:t>
            </w:r>
            <w:bookmarkEnd w:id="35"/>
            <w:bookmarkEnd w:id="36"/>
          </w:p>
        </w:tc>
        <w:tc>
          <w:tcPr>
            <w:tcW w:w="0" w:type="auto"/>
          </w:tcPr>
          <w:p w14:paraId="5EA39E8D"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8</w:t>
            </w:r>
            <w:bookmarkStart w:id="37" w:name="bold19"/>
            <w:r w:rsidRPr="00232735">
              <w:rPr>
                <w:rFonts w:ascii="Times New Roman" w:eastAsia="Times New Roman" w:hAnsi="Times New Roman" w:cs="Times New Roman"/>
                <w:bCs/>
                <w:kern w:val="0"/>
                <w:sz w:val="20"/>
                <w:szCs w:val="20"/>
                <w:lang w:val="en-GB"/>
                <w14:ligatures w14:val="none"/>
              </w:rPr>
              <w:t>*</w:t>
            </w:r>
            <w:bookmarkEnd w:id="37"/>
          </w:p>
        </w:tc>
        <w:tc>
          <w:tcPr>
            <w:tcW w:w="0" w:type="auto"/>
          </w:tcPr>
          <w:p w14:paraId="46066555"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i/>
                <w:kern w:val="0"/>
                <w:sz w:val="20"/>
                <w:szCs w:val="20"/>
                <w:lang w:val="en-GB"/>
                <w14:ligatures w14:val="none"/>
              </w:rPr>
              <w:t xml:space="preserve"> </w:t>
            </w:r>
            <w:r w:rsidRPr="00232735">
              <w:rPr>
                <w:rFonts w:ascii="Times New Roman" w:eastAsia="Times New Roman" w:hAnsi="Times New Roman" w:cs="Times New Roman"/>
                <w:kern w:val="0"/>
                <w:sz w:val="20"/>
                <w:szCs w:val="20"/>
                <w:lang w:val="en-GB"/>
                <w14:ligatures w14:val="none"/>
              </w:rPr>
              <w:t xml:space="preserve">For each variable of interest, give sources of data and details of methods of assessment </w:t>
            </w:r>
            <w:r w:rsidRPr="00232735">
              <w:rPr>
                <w:rFonts w:ascii="Times New Roman" w:eastAsia="Times New Roman" w:hAnsi="Times New Roman" w:cs="Times New Roman"/>
                <w:kern w:val="0"/>
                <w:sz w:val="20"/>
                <w:szCs w:val="20"/>
                <w:lang w:val="en-GB"/>
                <w14:ligatures w14:val="none"/>
              </w:rPr>
              <w:lastRenderedPageBreak/>
              <w:t>(measurement). Describe comparability of assessment methods if there is more than one group</w:t>
            </w:r>
          </w:p>
        </w:tc>
        <w:tc>
          <w:tcPr>
            <w:tcW w:w="0" w:type="auto"/>
          </w:tcPr>
          <w:p w14:paraId="7E6A4D1C"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4F1D2634"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 xml:space="preserve">We conducted a retrospective analysis using data from the FDA Adverse Event Reporting System (FAERS), a publicly available </w:t>
            </w:r>
            <w:r w:rsidRPr="00232735">
              <w:rPr>
                <w:rFonts w:ascii="Times New Roman" w:eastAsia="Times New Roman" w:hAnsi="Times New Roman" w:cs="Times New Roman"/>
                <w:kern w:val="0"/>
                <w:szCs w:val="20"/>
                <w:lang w:val="en-GB"/>
                <w14:ligatures w14:val="none"/>
              </w:rPr>
              <w:lastRenderedPageBreak/>
              <w:t>database that collects post-marketing adverse event reports submitted by healthcare professionals, manufacturers, and consumers8. FAERS data from January 1st, 2005, to February 17th, 2026, was included. ADRs are categorized using standardized medical terminology from the Medical Dictionary for Regulatory Activities (MedDRA). Deduplication of reports was performed by conditional formatting for variables including patient age, sex, active drug ingredient, country, date of report and drug reactions.</w:t>
            </w:r>
          </w:p>
        </w:tc>
      </w:tr>
      <w:tr w:rsidR="00232735" w:rsidRPr="00232735" w14:paraId="0ABC8A3F" w14:textId="77777777" w:rsidTr="001711EE">
        <w:tc>
          <w:tcPr>
            <w:tcW w:w="0" w:type="auto"/>
          </w:tcPr>
          <w:p w14:paraId="006CB08A" w14:textId="77777777" w:rsidR="00232735" w:rsidRPr="00232735" w:rsidRDefault="00232735" w:rsidP="00232735">
            <w:pPr>
              <w:tabs>
                <w:tab w:val="left" w:pos="5400"/>
              </w:tabs>
              <w:spacing w:after="0" w:line="300" w:lineRule="exact"/>
              <w:rPr>
                <w:rFonts w:ascii="Times New Roman" w:eastAsia="Times New Roman" w:hAnsi="Times New Roman" w:cs="Times New Roman"/>
                <w:bCs/>
                <w:color w:val="000000"/>
                <w:kern w:val="0"/>
                <w:sz w:val="20"/>
                <w:szCs w:val="20"/>
                <w:lang w:val="en-GB"/>
                <w14:ligatures w14:val="none"/>
              </w:rPr>
            </w:pPr>
            <w:bookmarkStart w:id="38" w:name="bold20" w:colFirst="0" w:colLast="0"/>
            <w:bookmarkStart w:id="39" w:name="italic20" w:colFirst="0" w:colLast="0"/>
            <w:r w:rsidRPr="00232735">
              <w:rPr>
                <w:rFonts w:ascii="Times New Roman" w:eastAsia="Times New Roman" w:hAnsi="Times New Roman" w:cs="Times New Roman"/>
                <w:bCs/>
                <w:color w:val="000000"/>
                <w:kern w:val="0"/>
                <w:sz w:val="20"/>
                <w:szCs w:val="20"/>
                <w:lang w:val="en-GB"/>
                <w14:ligatures w14:val="none"/>
              </w:rPr>
              <w:lastRenderedPageBreak/>
              <w:t>Bias</w:t>
            </w:r>
          </w:p>
        </w:tc>
        <w:tc>
          <w:tcPr>
            <w:tcW w:w="0" w:type="auto"/>
          </w:tcPr>
          <w:p w14:paraId="64BD4A43"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9</w:t>
            </w:r>
          </w:p>
        </w:tc>
        <w:tc>
          <w:tcPr>
            <w:tcW w:w="0" w:type="auto"/>
          </w:tcPr>
          <w:p w14:paraId="4CD6EC05" w14:textId="77777777" w:rsidR="00232735" w:rsidRPr="00232735" w:rsidRDefault="00232735" w:rsidP="00232735">
            <w:pPr>
              <w:tabs>
                <w:tab w:val="left" w:pos="5400"/>
              </w:tabs>
              <w:spacing w:after="0" w:line="300" w:lineRule="exact"/>
              <w:rPr>
                <w:rFonts w:ascii="Times New Roman" w:eastAsia="Times New Roman" w:hAnsi="Times New Roman" w:cs="Times New Roman"/>
                <w:color w:val="000000"/>
                <w:kern w:val="0"/>
                <w:sz w:val="20"/>
                <w:szCs w:val="20"/>
                <w:lang w:val="en-GB"/>
                <w14:ligatures w14:val="none"/>
              </w:rPr>
            </w:pPr>
            <w:r w:rsidRPr="00232735">
              <w:rPr>
                <w:rFonts w:ascii="Times New Roman" w:eastAsia="Times New Roman" w:hAnsi="Times New Roman" w:cs="Times New Roman"/>
                <w:color w:val="000000"/>
                <w:kern w:val="0"/>
                <w:sz w:val="20"/>
                <w:szCs w:val="20"/>
                <w:lang w:val="en-GB"/>
                <w14:ligatures w14:val="none"/>
              </w:rPr>
              <w:t>Describe any efforts to address potential sources of bias</w:t>
            </w:r>
          </w:p>
        </w:tc>
        <w:tc>
          <w:tcPr>
            <w:tcW w:w="0" w:type="auto"/>
          </w:tcPr>
          <w:p w14:paraId="6C294E89"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07B6CBFE"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We performed deduplication, to reduce duplicate reporting. Additionally, PRR was confirmed with ROR.</w:t>
            </w:r>
          </w:p>
        </w:tc>
      </w:tr>
      <w:tr w:rsidR="00232735" w:rsidRPr="00232735" w14:paraId="679F2CA4" w14:textId="77777777" w:rsidTr="001711EE">
        <w:tc>
          <w:tcPr>
            <w:tcW w:w="0" w:type="auto"/>
          </w:tcPr>
          <w:p w14:paraId="7E10447C" w14:textId="77777777" w:rsidR="00232735" w:rsidRPr="00232735" w:rsidRDefault="00232735" w:rsidP="00232735">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40" w:name="bold21" w:colFirst="0" w:colLast="0"/>
            <w:bookmarkStart w:id="41" w:name="italic21" w:colFirst="0" w:colLast="0"/>
            <w:bookmarkEnd w:id="38"/>
            <w:bookmarkEnd w:id="39"/>
            <w:r w:rsidRPr="00232735">
              <w:rPr>
                <w:rFonts w:ascii="Times New Roman" w:eastAsia="Times New Roman" w:hAnsi="Times New Roman" w:cs="Times New Roman"/>
                <w:bCs/>
                <w:kern w:val="0"/>
                <w:sz w:val="20"/>
                <w:szCs w:val="20"/>
                <w:lang w:val="en-GB"/>
                <w14:ligatures w14:val="none"/>
              </w:rPr>
              <w:t>Study size</w:t>
            </w:r>
          </w:p>
        </w:tc>
        <w:tc>
          <w:tcPr>
            <w:tcW w:w="0" w:type="auto"/>
          </w:tcPr>
          <w:p w14:paraId="512052B0" w14:textId="77777777" w:rsidR="00232735" w:rsidRPr="00232735" w:rsidRDefault="00232735" w:rsidP="00232735">
            <w:pPr>
              <w:tabs>
                <w:tab w:val="left" w:pos="5400"/>
              </w:tabs>
              <w:spacing w:after="0" w:line="300" w:lineRule="exact"/>
              <w:jc w:val="center"/>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10</w:t>
            </w:r>
          </w:p>
        </w:tc>
        <w:tc>
          <w:tcPr>
            <w:tcW w:w="0" w:type="auto"/>
          </w:tcPr>
          <w:p w14:paraId="60111DB3" w14:textId="77777777" w:rsidR="00232735" w:rsidRPr="00232735" w:rsidRDefault="00232735" w:rsidP="0023273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232735">
              <w:rPr>
                <w:rFonts w:ascii="Times New Roman" w:eastAsia="Times New Roman" w:hAnsi="Times New Roman" w:cs="Times New Roman"/>
                <w:kern w:val="0"/>
                <w:sz w:val="20"/>
                <w:szCs w:val="20"/>
                <w:lang w:val="en-GB"/>
                <w14:ligatures w14:val="none"/>
              </w:rPr>
              <w:t>Explain how the study size was arrived at</w:t>
            </w:r>
          </w:p>
        </w:tc>
        <w:tc>
          <w:tcPr>
            <w:tcW w:w="0" w:type="auto"/>
          </w:tcPr>
          <w:p w14:paraId="0BAD4E39"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p>
        </w:tc>
        <w:tc>
          <w:tcPr>
            <w:tcW w:w="0" w:type="auto"/>
          </w:tcPr>
          <w:p w14:paraId="129E8D4B" w14:textId="77777777" w:rsidR="00232735" w:rsidRPr="00232735" w:rsidRDefault="00232735" w:rsidP="00232735">
            <w:pPr>
              <w:spacing w:after="0" w:line="300" w:lineRule="exact"/>
              <w:rPr>
                <w:rFonts w:ascii="Times New Roman" w:eastAsia="Times New Roman" w:hAnsi="Times New Roman" w:cs="Times New Roman"/>
                <w:kern w:val="0"/>
                <w:szCs w:val="20"/>
                <w:lang w:val="en-GB"/>
                <w14:ligatures w14:val="none"/>
              </w:rPr>
            </w:pPr>
            <w:r w:rsidRPr="00232735">
              <w:rPr>
                <w:rFonts w:ascii="Times New Roman" w:eastAsia="Times New Roman" w:hAnsi="Times New Roman" w:cs="Times New Roman"/>
                <w:kern w:val="0"/>
                <w:szCs w:val="20"/>
                <w:lang w:val="en-GB"/>
                <w14:ligatures w14:val="none"/>
              </w:rPr>
              <w:t xml:space="preserve">We </w:t>
            </w:r>
            <w:proofErr w:type="spellStart"/>
            <w:r w:rsidRPr="00232735">
              <w:rPr>
                <w:rFonts w:ascii="Times New Roman" w:eastAsia="Times New Roman" w:hAnsi="Times New Roman" w:cs="Times New Roman"/>
                <w:kern w:val="0"/>
                <w:szCs w:val="20"/>
                <w:lang w:val="en-GB"/>
                <w14:ligatures w14:val="none"/>
              </w:rPr>
              <w:t>analyzed</w:t>
            </w:r>
            <w:proofErr w:type="spellEnd"/>
            <w:r w:rsidRPr="00232735">
              <w:rPr>
                <w:rFonts w:ascii="Times New Roman" w:eastAsia="Times New Roman" w:hAnsi="Times New Roman" w:cs="Times New Roman"/>
                <w:kern w:val="0"/>
                <w:szCs w:val="20"/>
                <w:lang w:val="en-GB"/>
                <w14:ligatures w14:val="none"/>
              </w:rPr>
              <w:t xml:space="preserve"> a total of 3,460 de-duplicated adverse event reports across 5 biliary conditions for five GLP-1RA drugs. Of these, semaglutide accounted for 1797 reports, tirzepatide 1363, liraglutide 1033, exenatide 999 and dulaglutide 574. </w:t>
            </w:r>
            <w:proofErr w:type="gramStart"/>
            <w:r w:rsidRPr="00232735">
              <w:rPr>
                <w:rFonts w:ascii="Times New Roman" w:eastAsia="Times New Roman" w:hAnsi="Times New Roman" w:cs="Times New Roman"/>
                <w:kern w:val="0"/>
                <w:szCs w:val="20"/>
                <w:lang w:val="en-GB"/>
                <w14:ligatures w14:val="none"/>
              </w:rPr>
              <w:t>.Semaglutide</w:t>
            </w:r>
            <w:proofErr w:type="gramEnd"/>
            <w:r w:rsidRPr="00232735">
              <w:rPr>
                <w:rFonts w:ascii="Times New Roman" w:eastAsia="Times New Roman" w:hAnsi="Times New Roman" w:cs="Times New Roman"/>
                <w:kern w:val="0"/>
                <w:szCs w:val="20"/>
                <w:lang w:val="en-GB"/>
                <w14:ligatures w14:val="none"/>
              </w:rPr>
              <w:t xml:space="preserve"> was used as the reference drug.</w:t>
            </w:r>
          </w:p>
        </w:tc>
      </w:tr>
    </w:tbl>
    <w:bookmarkEnd w:id="40"/>
    <w:bookmarkEnd w:id="41"/>
    <w:p w14:paraId="43D53567"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roofErr w:type="gramStart"/>
      <w:r w:rsidRPr="00A93075">
        <w:rPr>
          <w:rFonts w:ascii="Times New Roman" w:eastAsia="Times New Roman" w:hAnsi="Times New Roman" w:cs="Times New Roman"/>
          <w:kern w:val="0"/>
          <w:sz w:val="16"/>
          <w:szCs w:val="16"/>
          <w:lang w:val="en-GB"/>
          <w14:ligatures w14:val="none"/>
        </w:rPr>
        <w:t>Continued on</w:t>
      </w:r>
      <w:proofErr w:type="gramEnd"/>
      <w:r w:rsidRPr="00A93075">
        <w:rPr>
          <w:rFonts w:ascii="Times New Roman" w:eastAsia="Times New Roman" w:hAnsi="Times New Roman" w:cs="Times New Roman"/>
          <w:kern w:val="0"/>
          <w:sz w:val="16"/>
          <w:szCs w:val="16"/>
          <w:lang w:val="en-GB"/>
          <w14:ligatures w14:val="none"/>
        </w:rPr>
        <w:t xml:space="preserve"> next page</w:t>
      </w:r>
      <w:r w:rsidRPr="00A93075">
        <w:rPr>
          <w:rFonts w:ascii="Times New Roman" w:eastAsia="Times New Roman" w:hAnsi="Times New Roman" w:cs="Times New Roman"/>
          <w:kern w:val="0"/>
          <w:szCs w:val="20"/>
          <w:lang w:val="en-GB"/>
          <w14:ligatures w14:val="none"/>
        </w:rPr>
        <w:t xml:space="preserve"> </w:t>
      </w:r>
      <w:r w:rsidRPr="00A93075">
        <w:rPr>
          <w:rFonts w:ascii="Times New Roman" w:eastAsia="Times New Roman" w:hAnsi="Times New Roman" w:cs="Times New Roman"/>
          <w:kern w:val="0"/>
          <w:szCs w:val="20"/>
          <w:lang w:val="en-GB"/>
          <w14:ligatures w14:val="none"/>
        </w:rPr>
        <w:br w:type="page"/>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291"/>
        <w:gridCol w:w="516"/>
        <w:gridCol w:w="3095"/>
        <w:gridCol w:w="630"/>
        <w:gridCol w:w="5268"/>
      </w:tblGrid>
      <w:tr w:rsidR="00A93075" w:rsidRPr="00A93075" w14:paraId="51867D8F" w14:textId="77777777" w:rsidTr="00F84DCC">
        <w:tc>
          <w:tcPr>
            <w:tcW w:w="0" w:type="auto"/>
          </w:tcPr>
          <w:p w14:paraId="656E8695"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r w:rsidRPr="00A93075">
              <w:rPr>
                <w:rFonts w:ascii="Times New Roman" w:eastAsia="Times New Roman" w:hAnsi="Times New Roman" w:cs="Times New Roman"/>
                <w:bCs/>
                <w:kern w:val="0"/>
                <w:sz w:val="20"/>
                <w:szCs w:val="20"/>
                <w:lang w:val="en-GB"/>
                <w14:ligatures w14:val="none"/>
              </w:rPr>
              <w:lastRenderedPageBreak/>
              <w:t>Quantitative</w:t>
            </w:r>
            <w:bookmarkStart w:id="42" w:name="bold23"/>
            <w:bookmarkStart w:id="43" w:name="italic23"/>
            <w:bookmarkEnd w:id="9"/>
            <w:bookmarkEnd w:id="10"/>
            <w:r w:rsidRPr="00A93075">
              <w:rPr>
                <w:rFonts w:ascii="Times New Roman" w:eastAsia="Times New Roman" w:hAnsi="Times New Roman" w:cs="Times New Roman"/>
                <w:bCs/>
                <w:kern w:val="0"/>
                <w:sz w:val="20"/>
                <w:szCs w:val="20"/>
                <w:lang w:val="en-GB"/>
                <w14:ligatures w14:val="none"/>
              </w:rPr>
              <w:t xml:space="preserve"> variables</w:t>
            </w:r>
            <w:bookmarkEnd w:id="42"/>
            <w:bookmarkEnd w:id="43"/>
          </w:p>
        </w:tc>
        <w:tc>
          <w:tcPr>
            <w:tcW w:w="0" w:type="auto"/>
          </w:tcPr>
          <w:p w14:paraId="5C2DFDFC"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11</w:t>
            </w:r>
          </w:p>
        </w:tc>
        <w:tc>
          <w:tcPr>
            <w:tcW w:w="0" w:type="auto"/>
          </w:tcPr>
          <w:p w14:paraId="6B75900D"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Explain how quantitative variables were handled in the analyses. If applicable, describe which groupings were chosen and why</w:t>
            </w:r>
          </w:p>
        </w:tc>
        <w:tc>
          <w:tcPr>
            <w:tcW w:w="0" w:type="auto"/>
          </w:tcPr>
          <w:p w14:paraId="182424F5"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3DAA839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We stratified the data based on reporter type, route and indication for use. 3219 (93.3%) reports were from manufacturers, 103 (3%) from healthcare providers, 102 (2.9%) from patients and 36 (1%) unknown. There were 3162 (91.4%) reports of injection use, 81(2.3 %) of oral, 20 (0.6%) of mixed and 197(5.7%) unknown. 1448 (41.8%) reports of use for type 2 diabetes, 835 (24.1%) for obesity, 122 (3.5%) for both and 1055 (30.5%) unknown. Data was also stratified based on age and sex, the most common age group for GLP-1RA ADR reports was 45-64 years (1153 reports) followed by 18-44 years (653 reports). Females had a higher number of ADR reports as compared to males (2094 vs 1129 reports).</w:t>
            </w:r>
          </w:p>
        </w:tc>
      </w:tr>
      <w:tr w:rsidR="00A93075" w:rsidRPr="00A93075" w14:paraId="669E7144" w14:textId="77777777" w:rsidTr="00F84DCC">
        <w:tc>
          <w:tcPr>
            <w:tcW w:w="0" w:type="auto"/>
            <w:vMerge w:val="restart"/>
          </w:tcPr>
          <w:p w14:paraId="2F8BCB04"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bookmarkStart w:id="44" w:name="italic24"/>
            <w:r w:rsidRPr="00A93075">
              <w:rPr>
                <w:rFonts w:ascii="Times New Roman" w:eastAsia="Times New Roman" w:hAnsi="Times New Roman" w:cs="Times New Roman"/>
                <w:kern w:val="0"/>
                <w:sz w:val="20"/>
                <w:szCs w:val="20"/>
                <w:lang w:val="en-GB"/>
                <w14:ligatures w14:val="none"/>
              </w:rPr>
              <w:t>Statistical</w:t>
            </w:r>
            <w:bookmarkStart w:id="45" w:name="italic25"/>
            <w:bookmarkEnd w:id="44"/>
            <w:r w:rsidRPr="00A93075">
              <w:rPr>
                <w:rFonts w:ascii="Times New Roman" w:eastAsia="Times New Roman" w:hAnsi="Times New Roman" w:cs="Times New Roman"/>
                <w:kern w:val="0"/>
                <w:sz w:val="20"/>
                <w:szCs w:val="20"/>
                <w:lang w:val="en-GB"/>
                <w14:ligatures w14:val="none"/>
              </w:rPr>
              <w:t xml:space="preserve"> methods</w:t>
            </w:r>
            <w:bookmarkEnd w:id="45"/>
          </w:p>
        </w:tc>
        <w:tc>
          <w:tcPr>
            <w:tcW w:w="0" w:type="auto"/>
            <w:vMerge w:val="restart"/>
          </w:tcPr>
          <w:p w14:paraId="20F819CB"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12</w:t>
            </w:r>
          </w:p>
        </w:tc>
        <w:tc>
          <w:tcPr>
            <w:tcW w:w="0" w:type="auto"/>
          </w:tcPr>
          <w:p w14:paraId="69024335"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lang w:val="en-GB"/>
                <w14:ligatures w14:val="none"/>
              </w:rPr>
              <w:t>a</w:t>
            </w:r>
            <w:r w:rsidRPr="00A93075">
              <w:rPr>
                <w:rFonts w:ascii="Times New Roman" w:eastAsia="Times New Roman" w:hAnsi="Times New Roman" w:cs="Times New Roman"/>
                <w:kern w:val="0"/>
                <w:sz w:val="20"/>
                <w:szCs w:val="20"/>
                <w:lang w:val="en-GB"/>
                <w14:ligatures w14:val="none"/>
              </w:rPr>
              <w:t>) Describe all statistical methods, including those used to control for confounding</w:t>
            </w:r>
          </w:p>
        </w:tc>
        <w:tc>
          <w:tcPr>
            <w:tcW w:w="0" w:type="auto"/>
          </w:tcPr>
          <w:p w14:paraId="16D92684"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23A75CC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A disproportionality analysis was performed using Proportional Reporting Ratios (PRRs) to assess the relative reporting frequency of biliary adverse events associated with each GLP-1 receptor agonist compared with semaglutide. For each adverse event category, PRRs were calculated by comparing the proportion of reports for a given event among users of an individual GLP-1RA with the proportion of the same adverse event reported among semaglutide users. Additionally, Reporting Odds Ratios (RORs) was performed on the same data to validate the findings. We used the standard error of the log-PRR to calculate 95% confidence intervals (CIs). A 2-sided Fisher exact p test was used to determine statistical significance, with p &lt; 0.05 considered significant.</w:t>
            </w:r>
          </w:p>
        </w:tc>
      </w:tr>
      <w:tr w:rsidR="00A93075" w:rsidRPr="00A93075" w14:paraId="611E6B97" w14:textId="77777777" w:rsidTr="00F84DCC">
        <w:tc>
          <w:tcPr>
            <w:tcW w:w="0" w:type="auto"/>
            <w:vMerge/>
          </w:tcPr>
          <w:p w14:paraId="676C2208"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46" w:name="bold24" w:colFirst="0" w:colLast="0"/>
            <w:bookmarkStart w:id="47" w:name="italic26" w:colFirst="0" w:colLast="0"/>
          </w:p>
        </w:tc>
        <w:tc>
          <w:tcPr>
            <w:tcW w:w="0" w:type="auto"/>
            <w:vMerge/>
          </w:tcPr>
          <w:p w14:paraId="3A626F10"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6D4B90B3"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lang w:val="en-GB"/>
                <w14:ligatures w14:val="none"/>
              </w:rPr>
              <w:t>b</w:t>
            </w:r>
            <w:r w:rsidRPr="00A93075">
              <w:rPr>
                <w:rFonts w:ascii="Times New Roman" w:eastAsia="Times New Roman" w:hAnsi="Times New Roman" w:cs="Times New Roman"/>
                <w:kern w:val="0"/>
                <w:sz w:val="20"/>
                <w:szCs w:val="20"/>
                <w:lang w:val="en-GB"/>
                <w14:ligatures w14:val="none"/>
              </w:rPr>
              <w:t>) Describe any methods used to examine subgroups and interactions</w:t>
            </w:r>
          </w:p>
        </w:tc>
        <w:tc>
          <w:tcPr>
            <w:tcW w:w="0" w:type="auto"/>
          </w:tcPr>
          <w:p w14:paraId="06FB25B5"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6BE23BD6"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We performed a sub-group analysis on the deduplicated data on age, sex and indication for use. Unknown values were excluded from the analysis. Breslow–Day heterogeneity tests were used to detect heterogeneity across strata with p&lt;0.05 considered a signal for heterogeneity.</w:t>
            </w:r>
          </w:p>
        </w:tc>
      </w:tr>
      <w:tr w:rsidR="00A93075" w:rsidRPr="00A93075" w14:paraId="50FED9AC" w14:textId="77777777" w:rsidTr="00F84DCC">
        <w:tc>
          <w:tcPr>
            <w:tcW w:w="0" w:type="auto"/>
            <w:vMerge/>
          </w:tcPr>
          <w:p w14:paraId="67125A97"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48" w:name="bold25" w:colFirst="0" w:colLast="0"/>
            <w:bookmarkStart w:id="49" w:name="italic27" w:colFirst="0" w:colLast="0"/>
            <w:bookmarkEnd w:id="46"/>
            <w:bookmarkEnd w:id="47"/>
          </w:p>
        </w:tc>
        <w:tc>
          <w:tcPr>
            <w:tcW w:w="0" w:type="auto"/>
            <w:vMerge/>
          </w:tcPr>
          <w:p w14:paraId="462A51C9"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60905A51"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lang w:val="en-GB"/>
                <w14:ligatures w14:val="none"/>
              </w:rPr>
              <w:t>c</w:t>
            </w:r>
            <w:r w:rsidRPr="00A93075">
              <w:rPr>
                <w:rFonts w:ascii="Times New Roman" w:eastAsia="Times New Roman" w:hAnsi="Times New Roman" w:cs="Times New Roman"/>
                <w:kern w:val="0"/>
                <w:sz w:val="20"/>
                <w:szCs w:val="20"/>
                <w:lang w:val="en-GB"/>
                <w14:ligatures w14:val="none"/>
              </w:rPr>
              <w:t>) Explain how missing data were addressed</w:t>
            </w:r>
          </w:p>
        </w:tc>
        <w:tc>
          <w:tcPr>
            <w:tcW w:w="0" w:type="auto"/>
          </w:tcPr>
          <w:p w14:paraId="1CE5CE8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37303F72"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We performed a sub-group analysis on the deduplicated data on age, sex and indication for use. Unknown values were excluded from the analysis. Breslow–Day heterogeneity tests were used to detect heterogeneity across strata with p&lt;0.05 considered a signal for heterogeneity.</w:t>
            </w:r>
          </w:p>
        </w:tc>
      </w:tr>
      <w:tr w:rsidR="00A93075" w:rsidRPr="00A93075" w14:paraId="4339B54A" w14:textId="77777777" w:rsidTr="00F84DCC">
        <w:tc>
          <w:tcPr>
            <w:tcW w:w="0" w:type="auto"/>
            <w:vMerge/>
          </w:tcPr>
          <w:p w14:paraId="5BF16C7B"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0" w:name="bold26" w:colFirst="0" w:colLast="0"/>
            <w:bookmarkStart w:id="51" w:name="italic28" w:colFirst="0" w:colLast="0"/>
            <w:bookmarkEnd w:id="48"/>
            <w:bookmarkEnd w:id="49"/>
          </w:p>
        </w:tc>
        <w:tc>
          <w:tcPr>
            <w:tcW w:w="0" w:type="auto"/>
            <w:vMerge/>
          </w:tcPr>
          <w:p w14:paraId="57DB9215"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1D8022F2"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lang w:val="en-GB"/>
                <w14:ligatures w14:val="none"/>
              </w:rPr>
              <w:t>d</w:t>
            </w:r>
            <w:r w:rsidRPr="00A93075">
              <w:rPr>
                <w:rFonts w:ascii="Times New Roman" w:eastAsia="Times New Roman" w:hAnsi="Times New Roman" w:cs="Times New Roman"/>
                <w:kern w:val="0"/>
                <w:sz w:val="20"/>
                <w:szCs w:val="20"/>
                <w:lang w:val="en-GB"/>
                <w14:ligatures w14:val="none"/>
              </w:rPr>
              <w:t xml:space="preserve">) </w:t>
            </w:r>
            <w:r w:rsidRPr="00A93075">
              <w:rPr>
                <w:rFonts w:ascii="Times New Roman" w:eastAsia="Times New Roman" w:hAnsi="Times New Roman" w:cs="Times New Roman"/>
                <w:bCs/>
                <w:i/>
                <w:kern w:val="0"/>
                <w:sz w:val="20"/>
                <w:szCs w:val="20"/>
                <w:lang w:val="en-GB"/>
                <w14:ligatures w14:val="none"/>
              </w:rPr>
              <w:t>Cohort study</w:t>
            </w:r>
            <w:r w:rsidRPr="00A93075">
              <w:rPr>
                <w:rFonts w:ascii="Times New Roman" w:eastAsia="Times New Roman" w:hAnsi="Times New Roman" w:cs="Times New Roman"/>
                <w:kern w:val="0"/>
                <w:sz w:val="20"/>
                <w:szCs w:val="20"/>
                <w:lang w:val="en-GB"/>
                <w14:ligatures w14:val="none"/>
              </w:rPr>
              <w:t>—If applicable, explain how loss to follow-up was addressed</w:t>
            </w:r>
          </w:p>
          <w:p w14:paraId="57C9664B"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bCs/>
                <w:i/>
                <w:kern w:val="0"/>
                <w:sz w:val="20"/>
                <w:szCs w:val="20"/>
                <w:lang w:val="en-GB"/>
                <w14:ligatures w14:val="none"/>
              </w:rPr>
              <w:lastRenderedPageBreak/>
              <w:t>Case-control study</w:t>
            </w:r>
            <w:r w:rsidRPr="00A93075">
              <w:rPr>
                <w:rFonts w:ascii="Times New Roman" w:eastAsia="Times New Roman" w:hAnsi="Times New Roman" w:cs="Times New Roman"/>
                <w:kern w:val="0"/>
                <w:sz w:val="20"/>
                <w:szCs w:val="20"/>
                <w:lang w:val="en-GB"/>
                <w14:ligatures w14:val="none"/>
              </w:rPr>
              <w:t>—If applicable, explain how matching of cases and controls was addressed</w:t>
            </w:r>
          </w:p>
          <w:p w14:paraId="646636EB"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bCs/>
                <w:i/>
                <w:kern w:val="0"/>
                <w:sz w:val="20"/>
                <w:szCs w:val="20"/>
                <w:lang w:val="en-GB"/>
                <w14:ligatures w14:val="none"/>
              </w:rPr>
              <w:t>Cross-sectional study</w:t>
            </w:r>
            <w:r w:rsidRPr="00A93075">
              <w:rPr>
                <w:rFonts w:ascii="Times New Roman" w:eastAsia="Times New Roman" w:hAnsi="Times New Roman" w:cs="Times New Roman"/>
                <w:kern w:val="0"/>
                <w:sz w:val="20"/>
                <w:szCs w:val="20"/>
                <w:lang w:val="en-GB"/>
                <w14:ligatures w14:val="none"/>
              </w:rPr>
              <w:t>—If applicable, describe analytical methods taking account of sampling strategy</w:t>
            </w:r>
          </w:p>
        </w:tc>
        <w:tc>
          <w:tcPr>
            <w:tcW w:w="0" w:type="auto"/>
          </w:tcPr>
          <w:p w14:paraId="4055AFE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lastRenderedPageBreak/>
              <w:t>N/A</w:t>
            </w:r>
          </w:p>
        </w:tc>
        <w:tc>
          <w:tcPr>
            <w:tcW w:w="0" w:type="auto"/>
          </w:tcPr>
          <w:p w14:paraId="32495B20"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Not applicable</w:t>
            </w:r>
          </w:p>
        </w:tc>
      </w:tr>
      <w:tr w:rsidR="00A93075" w:rsidRPr="00A93075" w14:paraId="6D14039B" w14:textId="77777777" w:rsidTr="00F84DCC">
        <w:tc>
          <w:tcPr>
            <w:tcW w:w="0" w:type="auto"/>
            <w:vMerge/>
          </w:tcPr>
          <w:p w14:paraId="17ECA97C"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2" w:name="bold27" w:colFirst="0" w:colLast="0"/>
            <w:bookmarkStart w:id="53" w:name="italic29" w:colFirst="0" w:colLast="0"/>
            <w:bookmarkEnd w:id="50"/>
            <w:bookmarkEnd w:id="51"/>
          </w:p>
        </w:tc>
        <w:tc>
          <w:tcPr>
            <w:tcW w:w="0" w:type="auto"/>
            <w:vMerge/>
          </w:tcPr>
          <w:p w14:paraId="6D2EA61A"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31A72C28"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u w:val="single"/>
                <w:lang w:val="en-GB"/>
                <w14:ligatures w14:val="none"/>
              </w:rPr>
              <w:t>e</w:t>
            </w:r>
            <w:r w:rsidRPr="00A93075">
              <w:rPr>
                <w:rFonts w:ascii="Times New Roman" w:eastAsia="Times New Roman" w:hAnsi="Times New Roman" w:cs="Times New Roman"/>
                <w:kern w:val="0"/>
                <w:sz w:val="20"/>
                <w:szCs w:val="20"/>
                <w:lang w:val="en-GB"/>
                <w14:ligatures w14:val="none"/>
              </w:rPr>
              <w:t>) Describe any sensitivity analyses</w:t>
            </w:r>
          </w:p>
        </w:tc>
        <w:tc>
          <w:tcPr>
            <w:tcW w:w="0" w:type="auto"/>
          </w:tcPr>
          <w:p w14:paraId="7555C5FB"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76992B0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To assess robustness of results, we performed a sensitivity analysis. We repeated the disproportionality analysis by (</w:t>
            </w:r>
            <w:proofErr w:type="spellStart"/>
            <w:r w:rsidRPr="00A93075">
              <w:rPr>
                <w:rFonts w:ascii="Times New Roman" w:eastAsia="Times New Roman" w:hAnsi="Times New Roman" w:cs="Times New Roman"/>
                <w:kern w:val="0"/>
                <w:szCs w:val="20"/>
                <w:lang w:val="en-GB"/>
                <w14:ligatures w14:val="none"/>
              </w:rPr>
              <w:t>i</w:t>
            </w:r>
            <w:proofErr w:type="spellEnd"/>
            <w:r w:rsidRPr="00A93075">
              <w:rPr>
                <w:rFonts w:ascii="Times New Roman" w:eastAsia="Times New Roman" w:hAnsi="Times New Roman" w:cs="Times New Roman"/>
                <w:kern w:val="0"/>
                <w:szCs w:val="20"/>
                <w:lang w:val="en-GB"/>
                <w14:ligatures w14:val="none"/>
              </w:rPr>
              <w:t xml:space="preserve">) excluding reports with unknown indication for use, (ii) restricting to U.S. reports geographically. reports geographically </w:t>
            </w:r>
          </w:p>
        </w:tc>
      </w:tr>
      <w:bookmarkEnd w:id="52"/>
      <w:bookmarkEnd w:id="53"/>
      <w:tr w:rsidR="00A93075" w:rsidRPr="00A93075" w14:paraId="7B271622" w14:textId="77777777" w:rsidTr="00F84DCC">
        <w:tc>
          <w:tcPr>
            <w:tcW w:w="0" w:type="auto"/>
            <w:gridSpan w:val="5"/>
          </w:tcPr>
          <w:p w14:paraId="33DB3258" w14:textId="77777777" w:rsidR="00A93075" w:rsidRPr="00A93075" w:rsidRDefault="00A93075" w:rsidP="002530F0">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r w:rsidRPr="00A93075">
              <w:rPr>
                <w:rFonts w:ascii="Times New Roman" w:eastAsia="Times New Roman" w:hAnsi="Times New Roman" w:cs="Times New Roman"/>
                <w:b/>
                <w:kern w:val="0"/>
                <w:sz w:val="20"/>
                <w:szCs w:val="20"/>
                <w:lang w:val="en-GB"/>
                <w14:ligatures w14:val="none"/>
              </w:rPr>
              <w:t>Results</w:t>
            </w:r>
          </w:p>
        </w:tc>
      </w:tr>
      <w:tr w:rsidR="00A93075" w:rsidRPr="00A93075" w14:paraId="1472B909" w14:textId="77777777" w:rsidTr="00F84DCC">
        <w:tc>
          <w:tcPr>
            <w:tcW w:w="0" w:type="auto"/>
            <w:vMerge w:val="restart"/>
          </w:tcPr>
          <w:p w14:paraId="25891116"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4" w:name="bold29"/>
            <w:bookmarkStart w:id="55" w:name="italic31"/>
            <w:r w:rsidRPr="00A93075">
              <w:rPr>
                <w:rFonts w:ascii="Times New Roman" w:eastAsia="Times New Roman" w:hAnsi="Times New Roman" w:cs="Times New Roman"/>
                <w:bCs/>
                <w:kern w:val="0"/>
                <w:sz w:val="20"/>
                <w:szCs w:val="20"/>
                <w:lang w:val="en-GB"/>
                <w14:ligatures w14:val="none"/>
              </w:rPr>
              <w:t>Participants</w:t>
            </w:r>
            <w:bookmarkEnd w:id="54"/>
            <w:bookmarkEnd w:id="55"/>
          </w:p>
        </w:tc>
        <w:tc>
          <w:tcPr>
            <w:tcW w:w="0" w:type="auto"/>
            <w:vMerge w:val="restart"/>
          </w:tcPr>
          <w:p w14:paraId="166140DA"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13</w:t>
            </w:r>
            <w:bookmarkStart w:id="56" w:name="bold30"/>
            <w:r w:rsidRPr="00A93075">
              <w:rPr>
                <w:rFonts w:ascii="Times New Roman" w:eastAsia="Times New Roman" w:hAnsi="Times New Roman" w:cs="Times New Roman"/>
                <w:bCs/>
                <w:kern w:val="0"/>
                <w:sz w:val="20"/>
                <w:szCs w:val="20"/>
                <w:lang w:val="en-GB"/>
                <w14:ligatures w14:val="none"/>
              </w:rPr>
              <w:t>*</w:t>
            </w:r>
            <w:bookmarkEnd w:id="56"/>
          </w:p>
        </w:tc>
        <w:tc>
          <w:tcPr>
            <w:tcW w:w="0" w:type="auto"/>
          </w:tcPr>
          <w:p w14:paraId="2C01A617"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(a) Report numbers of individuals at each stage of study—</w:t>
            </w:r>
            <w:proofErr w:type="spellStart"/>
            <w:r w:rsidRPr="00A93075">
              <w:rPr>
                <w:rFonts w:ascii="Times New Roman" w:eastAsia="Times New Roman" w:hAnsi="Times New Roman" w:cs="Times New Roman"/>
                <w:kern w:val="0"/>
                <w:sz w:val="20"/>
                <w:szCs w:val="20"/>
                <w:lang w:val="en-GB"/>
                <w14:ligatures w14:val="none"/>
              </w:rPr>
              <w:t>eg</w:t>
            </w:r>
            <w:proofErr w:type="spellEnd"/>
            <w:r w:rsidRPr="00A93075">
              <w:rPr>
                <w:rFonts w:ascii="Times New Roman" w:eastAsia="Times New Roman" w:hAnsi="Times New Roman" w:cs="Times New Roman"/>
                <w:kern w:val="0"/>
                <w:sz w:val="20"/>
                <w:szCs w:val="20"/>
                <w:lang w:val="en-GB"/>
                <w14:ligatures w14:val="none"/>
              </w:rPr>
              <w:t xml:space="preserve"> numbers potentially eligible, examined for eligibility, confirmed eligible, included in the study, completing follow-up, and analysed</w:t>
            </w:r>
          </w:p>
        </w:tc>
        <w:tc>
          <w:tcPr>
            <w:tcW w:w="0" w:type="auto"/>
          </w:tcPr>
          <w:p w14:paraId="564D915A"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78CE1118"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 xml:space="preserve">We </w:t>
            </w:r>
            <w:proofErr w:type="spellStart"/>
            <w:r w:rsidRPr="00A93075">
              <w:rPr>
                <w:rFonts w:ascii="Times New Roman" w:eastAsia="Times New Roman" w:hAnsi="Times New Roman" w:cs="Times New Roman"/>
                <w:kern w:val="0"/>
                <w:szCs w:val="20"/>
                <w:lang w:val="en-GB"/>
                <w14:ligatures w14:val="none"/>
              </w:rPr>
              <w:t>analyzed</w:t>
            </w:r>
            <w:proofErr w:type="spellEnd"/>
            <w:r w:rsidRPr="00A93075">
              <w:rPr>
                <w:rFonts w:ascii="Times New Roman" w:eastAsia="Times New Roman" w:hAnsi="Times New Roman" w:cs="Times New Roman"/>
                <w:kern w:val="0"/>
                <w:szCs w:val="20"/>
                <w:lang w:val="en-GB"/>
                <w14:ligatures w14:val="none"/>
              </w:rPr>
              <w:t xml:space="preserve"> a total of 3,460 de-duplicated adverse event reports across 5 biliary conditions for five GLP-1RA drugs. Of these, semaglutide accounted for 1797 reports, tirzepatide 1363, liraglutide 1033, exenatide 999 and dulaglutide 574. (Table 1) Semaglutide was used as the reference drug. See also Table 1 and Table 2 for counts and excluded duplicates.</w:t>
            </w:r>
          </w:p>
        </w:tc>
      </w:tr>
      <w:tr w:rsidR="00A93075" w:rsidRPr="00A93075" w14:paraId="65E944A1" w14:textId="77777777" w:rsidTr="00F84DCC">
        <w:tc>
          <w:tcPr>
            <w:tcW w:w="0" w:type="auto"/>
            <w:vMerge/>
          </w:tcPr>
          <w:p w14:paraId="103156BA"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7" w:name="bold31" w:colFirst="0" w:colLast="0"/>
            <w:bookmarkStart w:id="58" w:name="italic32" w:colFirst="0" w:colLast="0"/>
          </w:p>
        </w:tc>
        <w:tc>
          <w:tcPr>
            <w:tcW w:w="0" w:type="auto"/>
            <w:vMerge/>
          </w:tcPr>
          <w:p w14:paraId="4FD8E9D9"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4F900039"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(b) Give reasons for non-participation at each stage</w:t>
            </w:r>
          </w:p>
        </w:tc>
        <w:tc>
          <w:tcPr>
            <w:tcW w:w="0" w:type="auto"/>
          </w:tcPr>
          <w:p w14:paraId="6265751A"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694A63F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Duplicates removed as per Table 2; unknown values were excluded from subgroup analyses.</w:t>
            </w:r>
          </w:p>
        </w:tc>
      </w:tr>
      <w:tr w:rsidR="00A93075" w:rsidRPr="00A93075" w14:paraId="3BC9EBAF" w14:textId="77777777" w:rsidTr="00F84DCC">
        <w:tc>
          <w:tcPr>
            <w:tcW w:w="0" w:type="auto"/>
            <w:vMerge/>
          </w:tcPr>
          <w:p w14:paraId="40FACF25"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59" w:name="bold32" w:colFirst="0" w:colLast="0"/>
            <w:bookmarkStart w:id="60" w:name="italic33" w:colFirst="0" w:colLast="0"/>
            <w:bookmarkEnd w:id="57"/>
            <w:bookmarkEnd w:id="58"/>
          </w:p>
        </w:tc>
        <w:tc>
          <w:tcPr>
            <w:tcW w:w="0" w:type="auto"/>
            <w:vMerge/>
          </w:tcPr>
          <w:p w14:paraId="70E9A58A"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4E809CF0"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bookmarkStart w:id="61" w:name="OLE_LINK4"/>
            <w:r w:rsidRPr="00A93075">
              <w:rPr>
                <w:rFonts w:ascii="Times New Roman" w:eastAsia="Times New Roman" w:hAnsi="Times New Roman" w:cs="Times New Roman"/>
                <w:kern w:val="0"/>
                <w:sz w:val="20"/>
                <w:szCs w:val="20"/>
                <w:lang w:val="en-GB"/>
                <w14:ligatures w14:val="none"/>
              </w:rPr>
              <w:t>(c) Consider use of a flow diagram</w:t>
            </w:r>
            <w:bookmarkEnd w:id="61"/>
          </w:p>
        </w:tc>
        <w:tc>
          <w:tcPr>
            <w:tcW w:w="0" w:type="auto"/>
          </w:tcPr>
          <w:p w14:paraId="37117C21"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c>
          <w:tcPr>
            <w:tcW w:w="0" w:type="auto"/>
          </w:tcPr>
          <w:p w14:paraId="34D3C8C5"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Flow diagram not included.</w:t>
            </w:r>
          </w:p>
        </w:tc>
      </w:tr>
      <w:tr w:rsidR="00A93075" w:rsidRPr="00A93075" w14:paraId="7D9C8840" w14:textId="77777777" w:rsidTr="00F84DCC">
        <w:tc>
          <w:tcPr>
            <w:tcW w:w="0" w:type="auto"/>
            <w:vMerge w:val="restart"/>
          </w:tcPr>
          <w:p w14:paraId="4C63624E"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62" w:name="bold33"/>
            <w:bookmarkStart w:id="63" w:name="italic34"/>
            <w:bookmarkEnd w:id="59"/>
            <w:bookmarkEnd w:id="60"/>
            <w:r w:rsidRPr="00A93075">
              <w:rPr>
                <w:rFonts w:ascii="Times New Roman" w:eastAsia="Times New Roman" w:hAnsi="Times New Roman" w:cs="Times New Roman"/>
                <w:bCs/>
                <w:kern w:val="0"/>
                <w:sz w:val="20"/>
                <w:szCs w:val="20"/>
                <w:lang w:val="en-GB"/>
                <w14:ligatures w14:val="none"/>
              </w:rPr>
              <w:t xml:space="preserve">Descriptive </w:t>
            </w:r>
            <w:bookmarkStart w:id="64" w:name="bold34"/>
            <w:bookmarkStart w:id="65" w:name="italic35"/>
            <w:bookmarkEnd w:id="62"/>
            <w:bookmarkEnd w:id="63"/>
            <w:r w:rsidRPr="00A93075">
              <w:rPr>
                <w:rFonts w:ascii="Times New Roman" w:eastAsia="Times New Roman" w:hAnsi="Times New Roman" w:cs="Times New Roman"/>
                <w:bCs/>
                <w:kern w:val="0"/>
                <w:sz w:val="20"/>
                <w:szCs w:val="20"/>
                <w:lang w:val="en-GB"/>
                <w14:ligatures w14:val="none"/>
              </w:rPr>
              <w:t>data</w:t>
            </w:r>
            <w:bookmarkEnd w:id="64"/>
            <w:bookmarkEnd w:id="65"/>
          </w:p>
        </w:tc>
        <w:tc>
          <w:tcPr>
            <w:tcW w:w="0" w:type="auto"/>
            <w:vMerge w:val="restart"/>
          </w:tcPr>
          <w:p w14:paraId="1BBF19FD"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14</w:t>
            </w:r>
            <w:bookmarkStart w:id="66" w:name="bold35"/>
            <w:r w:rsidRPr="00A93075">
              <w:rPr>
                <w:rFonts w:ascii="Times New Roman" w:eastAsia="Times New Roman" w:hAnsi="Times New Roman" w:cs="Times New Roman"/>
                <w:bCs/>
                <w:kern w:val="0"/>
                <w:sz w:val="20"/>
                <w:szCs w:val="20"/>
                <w:lang w:val="en-GB"/>
                <w14:ligatures w14:val="none"/>
              </w:rPr>
              <w:t>*</w:t>
            </w:r>
            <w:bookmarkEnd w:id="66"/>
          </w:p>
        </w:tc>
        <w:tc>
          <w:tcPr>
            <w:tcW w:w="0" w:type="auto"/>
          </w:tcPr>
          <w:p w14:paraId="0D54B59C"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(a) Give characteristics of study participants (</w:t>
            </w:r>
            <w:proofErr w:type="spellStart"/>
            <w:r w:rsidRPr="00A93075">
              <w:rPr>
                <w:rFonts w:ascii="Times New Roman" w:eastAsia="Times New Roman" w:hAnsi="Times New Roman" w:cs="Times New Roman"/>
                <w:kern w:val="0"/>
                <w:sz w:val="20"/>
                <w:szCs w:val="20"/>
                <w:lang w:val="en-GB"/>
                <w14:ligatures w14:val="none"/>
              </w:rPr>
              <w:t>eg</w:t>
            </w:r>
            <w:proofErr w:type="spellEnd"/>
            <w:r w:rsidRPr="00A93075">
              <w:rPr>
                <w:rFonts w:ascii="Times New Roman" w:eastAsia="Times New Roman" w:hAnsi="Times New Roman" w:cs="Times New Roman"/>
                <w:kern w:val="0"/>
                <w:sz w:val="20"/>
                <w:szCs w:val="20"/>
                <w:lang w:val="en-GB"/>
                <w14:ligatures w14:val="none"/>
              </w:rPr>
              <w:t xml:space="preserve"> demographic, clinical, social) and information on exposures and potential confounders</w:t>
            </w:r>
          </w:p>
        </w:tc>
        <w:tc>
          <w:tcPr>
            <w:tcW w:w="0" w:type="auto"/>
          </w:tcPr>
          <w:p w14:paraId="05C7EC14"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61B87CE7"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We stratified the data based on reporter type, route and indication for use. 3219 (93.3%) reports were from manufacturers, 103 (3%) from healthcare providers, 102 (2.9%) from patients and 36 (1%) unknown. There were 3162 (91.4%) reports of injection use, 81(2.3 %) of oral, 20 (0.6%) of mixed and 197(5.7%) unknown. 1448 (41.8%) reports of use for type 2 diabetes, 835 (24.1%) for obesity, 122 (3.5%) for both and 1055 (30.5%) unknown. Data was also stratified based on age and sex, the most common age group for GLP-1RA ADR reports was 45-64 years (1153 reports) followed by 18-44 years (653 reports). Females had a higher number of ADR reports as compared to males (2094 vs 1129 reports). See also Table 4 (sex distribution) and Table 5 (age distribution).</w:t>
            </w:r>
          </w:p>
        </w:tc>
      </w:tr>
      <w:tr w:rsidR="00A93075" w:rsidRPr="00A93075" w14:paraId="7EA4F849" w14:textId="77777777" w:rsidTr="00F84DCC">
        <w:tc>
          <w:tcPr>
            <w:tcW w:w="0" w:type="auto"/>
            <w:vMerge/>
          </w:tcPr>
          <w:p w14:paraId="7923F363"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67" w:name="bold36" w:colFirst="0" w:colLast="0"/>
            <w:bookmarkStart w:id="68" w:name="italic36" w:colFirst="0" w:colLast="0"/>
          </w:p>
        </w:tc>
        <w:tc>
          <w:tcPr>
            <w:tcW w:w="0" w:type="auto"/>
            <w:vMerge/>
          </w:tcPr>
          <w:p w14:paraId="733D0BC8"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07F9EA60"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(b) Indicate number of participants with missing data for each variable of interest</w:t>
            </w:r>
          </w:p>
        </w:tc>
        <w:tc>
          <w:tcPr>
            <w:tcW w:w="0" w:type="auto"/>
          </w:tcPr>
          <w:p w14:paraId="19A11BF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54BA0029"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 xml:space="preserve">Duplicates removed as per Table 1 and 2; unknown values were excluded from subgroup analyses. </w:t>
            </w:r>
          </w:p>
        </w:tc>
      </w:tr>
      <w:tr w:rsidR="00A93075" w:rsidRPr="00A93075" w14:paraId="679C1B52" w14:textId="77777777" w:rsidTr="00F84DCC">
        <w:tc>
          <w:tcPr>
            <w:tcW w:w="0" w:type="auto"/>
            <w:vMerge/>
          </w:tcPr>
          <w:p w14:paraId="19D60F18"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69" w:name="bold37" w:colFirst="0" w:colLast="0"/>
            <w:bookmarkStart w:id="70" w:name="italic37" w:colFirst="0" w:colLast="0"/>
            <w:bookmarkEnd w:id="67"/>
            <w:bookmarkEnd w:id="68"/>
          </w:p>
        </w:tc>
        <w:tc>
          <w:tcPr>
            <w:tcW w:w="0" w:type="auto"/>
            <w:vMerge/>
          </w:tcPr>
          <w:p w14:paraId="440DC7E3"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5FBA23D5"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 xml:space="preserve">(c) </w:t>
            </w:r>
            <w:r w:rsidRPr="00A93075">
              <w:rPr>
                <w:rFonts w:ascii="Times New Roman" w:eastAsia="Times New Roman" w:hAnsi="Times New Roman" w:cs="Times New Roman"/>
                <w:i/>
                <w:kern w:val="0"/>
                <w:sz w:val="20"/>
                <w:szCs w:val="20"/>
                <w:lang w:val="en-GB"/>
                <w14:ligatures w14:val="none"/>
              </w:rPr>
              <w:t>Cohort study</w:t>
            </w:r>
            <w:r w:rsidRPr="00A93075">
              <w:rPr>
                <w:rFonts w:ascii="Times New Roman" w:eastAsia="Times New Roman" w:hAnsi="Times New Roman" w:cs="Times New Roman"/>
                <w:kern w:val="0"/>
                <w:sz w:val="20"/>
                <w:szCs w:val="20"/>
                <w:lang w:val="en-GB"/>
                <w14:ligatures w14:val="none"/>
              </w:rPr>
              <w:t>—Summarise follow-up time (</w:t>
            </w:r>
            <w:proofErr w:type="spellStart"/>
            <w:r w:rsidRPr="00A93075">
              <w:rPr>
                <w:rFonts w:ascii="Times New Roman" w:eastAsia="Times New Roman" w:hAnsi="Times New Roman" w:cs="Times New Roman"/>
                <w:kern w:val="0"/>
                <w:sz w:val="20"/>
                <w:szCs w:val="20"/>
                <w:lang w:val="en-GB"/>
                <w14:ligatures w14:val="none"/>
              </w:rPr>
              <w:t>eg</w:t>
            </w:r>
            <w:proofErr w:type="spellEnd"/>
            <w:r w:rsidRPr="00A93075">
              <w:rPr>
                <w:rFonts w:ascii="Times New Roman" w:eastAsia="Times New Roman" w:hAnsi="Times New Roman" w:cs="Times New Roman"/>
                <w:kern w:val="0"/>
                <w:sz w:val="20"/>
                <w:szCs w:val="20"/>
                <w:lang w:val="en-GB"/>
                <w14:ligatures w14:val="none"/>
              </w:rPr>
              <w:t>, average and total amount)</w:t>
            </w:r>
          </w:p>
        </w:tc>
        <w:tc>
          <w:tcPr>
            <w:tcW w:w="0" w:type="auto"/>
          </w:tcPr>
          <w:p w14:paraId="02FD9074"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c>
          <w:tcPr>
            <w:tcW w:w="0" w:type="auto"/>
          </w:tcPr>
          <w:p w14:paraId="549B5F19"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Not applicable</w:t>
            </w:r>
          </w:p>
        </w:tc>
      </w:tr>
      <w:tr w:rsidR="00A93075" w:rsidRPr="00A93075" w14:paraId="1AA0273A" w14:textId="77777777" w:rsidTr="00F84DCC">
        <w:trPr>
          <w:trHeight w:val="295"/>
        </w:trPr>
        <w:tc>
          <w:tcPr>
            <w:tcW w:w="0" w:type="auto"/>
            <w:vMerge w:val="restart"/>
          </w:tcPr>
          <w:p w14:paraId="6AD11671"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1" w:name="bold38" w:colFirst="0" w:colLast="0"/>
            <w:bookmarkStart w:id="72" w:name="italic38" w:colFirst="0" w:colLast="0"/>
            <w:bookmarkEnd w:id="69"/>
            <w:bookmarkEnd w:id="70"/>
            <w:r w:rsidRPr="00A93075">
              <w:rPr>
                <w:rFonts w:ascii="Times New Roman" w:eastAsia="Times New Roman" w:hAnsi="Times New Roman" w:cs="Times New Roman"/>
                <w:bCs/>
                <w:kern w:val="0"/>
                <w:sz w:val="20"/>
                <w:szCs w:val="20"/>
                <w:lang w:val="en-GB"/>
                <w14:ligatures w14:val="none"/>
              </w:rPr>
              <w:lastRenderedPageBreak/>
              <w:t>Outcome data</w:t>
            </w:r>
          </w:p>
        </w:tc>
        <w:tc>
          <w:tcPr>
            <w:tcW w:w="0" w:type="auto"/>
            <w:vMerge w:val="restart"/>
          </w:tcPr>
          <w:p w14:paraId="7256DE57"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15</w:t>
            </w:r>
            <w:bookmarkStart w:id="73" w:name="bold39"/>
            <w:r w:rsidRPr="00A93075">
              <w:rPr>
                <w:rFonts w:ascii="Times New Roman" w:eastAsia="Times New Roman" w:hAnsi="Times New Roman" w:cs="Times New Roman"/>
                <w:bCs/>
                <w:kern w:val="0"/>
                <w:sz w:val="20"/>
                <w:szCs w:val="20"/>
                <w:lang w:val="en-GB"/>
                <w14:ligatures w14:val="none"/>
              </w:rPr>
              <w:t>*</w:t>
            </w:r>
            <w:bookmarkEnd w:id="73"/>
          </w:p>
        </w:tc>
        <w:tc>
          <w:tcPr>
            <w:tcW w:w="0" w:type="auto"/>
          </w:tcPr>
          <w:p w14:paraId="099CA206"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i/>
                <w:kern w:val="0"/>
                <w:sz w:val="20"/>
                <w:szCs w:val="20"/>
                <w:lang w:val="en-GB"/>
                <w14:ligatures w14:val="none"/>
              </w:rPr>
              <w:t>Cohort study</w:t>
            </w:r>
            <w:r w:rsidRPr="00A93075">
              <w:rPr>
                <w:rFonts w:ascii="Times New Roman" w:eastAsia="Times New Roman" w:hAnsi="Times New Roman" w:cs="Times New Roman"/>
                <w:kern w:val="0"/>
                <w:sz w:val="20"/>
                <w:szCs w:val="20"/>
                <w:lang w:val="en-GB"/>
                <w14:ligatures w14:val="none"/>
              </w:rPr>
              <w:t>—Report numbers of outcome events or summary measures over time</w:t>
            </w:r>
          </w:p>
        </w:tc>
        <w:tc>
          <w:tcPr>
            <w:tcW w:w="0" w:type="auto"/>
          </w:tcPr>
          <w:p w14:paraId="590081BE"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c>
          <w:tcPr>
            <w:tcW w:w="0" w:type="auto"/>
          </w:tcPr>
          <w:p w14:paraId="037E2D65"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Not applicable</w:t>
            </w:r>
          </w:p>
        </w:tc>
      </w:tr>
      <w:tr w:rsidR="00A93075" w:rsidRPr="00A93075" w14:paraId="3A8A0313" w14:textId="77777777" w:rsidTr="00F84DCC">
        <w:trPr>
          <w:trHeight w:val="294"/>
        </w:trPr>
        <w:tc>
          <w:tcPr>
            <w:tcW w:w="0" w:type="auto"/>
            <w:vMerge/>
          </w:tcPr>
          <w:p w14:paraId="0D0DA401"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p>
        </w:tc>
        <w:tc>
          <w:tcPr>
            <w:tcW w:w="0" w:type="auto"/>
            <w:vMerge/>
          </w:tcPr>
          <w:p w14:paraId="5F597C39"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06FF89F3" w14:textId="77777777" w:rsidR="00A93075" w:rsidRPr="00A93075" w:rsidRDefault="00A93075" w:rsidP="002530F0">
            <w:pPr>
              <w:tabs>
                <w:tab w:val="left" w:pos="5400"/>
              </w:tabs>
              <w:spacing w:after="0" w:line="300" w:lineRule="exact"/>
              <w:rPr>
                <w:rFonts w:ascii="Times New Roman" w:eastAsia="Times New Roman" w:hAnsi="Times New Roman" w:cs="Times New Roman"/>
                <w:i/>
                <w:kern w:val="0"/>
                <w:sz w:val="20"/>
                <w:szCs w:val="20"/>
                <w:lang w:val="en-GB"/>
                <w14:ligatures w14:val="none"/>
              </w:rPr>
            </w:pPr>
            <w:r w:rsidRPr="00A93075">
              <w:rPr>
                <w:rFonts w:ascii="Times New Roman" w:eastAsia="Times New Roman" w:hAnsi="Times New Roman" w:cs="Times New Roman"/>
                <w:i/>
                <w:kern w:val="0"/>
                <w:sz w:val="20"/>
                <w:szCs w:val="20"/>
                <w:lang w:val="en-GB"/>
                <w14:ligatures w14:val="none"/>
              </w:rPr>
              <w:t>Case-control study—</w:t>
            </w:r>
            <w:r w:rsidRPr="00A93075">
              <w:rPr>
                <w:rFonts w:ascii="Times New Roman" w:eastAsia="Times New Roman" w:hAnsi="Times New Roman" w:cs="Times New Roman"/>
                <w:kern w:val="0"/>
                <w:sz w:val="20"/>
                <w:szCs w:val="20"/>
                <w:lang w:val="en-GB"/>
                <w14:ligatures w14:val="none"/>
              </w:rPr>
              <w:t>Report numbers in each exposure category, or summary measures of exposure</w:t>
            </w:r>
          </w:p>
        </w:tc>
        <w:tc>
          <w:tcPr>
            <w:tcW w:w="0" w:type="auto"/>
          </w:tcPr>
          <w:p w14:paraId="145BF0B1"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c>
          <w:tcPr>
            <w:tcW w:w="0" w:type="auto"/>
          </w:tcPr>
          <w:p w14:paraId="262D7FBB"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Not applicable</w:t>
            </w:r>
          </w:p>
        </w:tc>
      </w:tr>
      <w:tr w:rsidR="00A93075" w:rsidRPr="00A93075" w14:paraId="2AC20E12" w14:textId="77777777" w:rsidTr="00F84DCC">
        <w:trPr>
          <w:trHeight w:val="294"/>
        </w:trPr>
        <w:tc>
          <w:tcPr>
            <w:tcW w:w="0" w:type="auto"/>
            <w:vMerge/>
          </w:tcPr>
          <w:p w14:paraId="5BA4B715"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p>
        </w:tc>
        <w:tc>
          <w:tcPr>
            <w:tcW w:w="0" w:type="auto"/>
            <w:vMerge/>
          </w:tcPr>
          <w:p w14:paraId="59108FE5"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6B6D3A47" w14:textId="77777777" w:rsidR="00A93075" w:rsidRPr="00A93075" w:rsidRDefault="00A93075" w:rsidP="002530F0">
            <w:pPr>
              <w:tabs>
                <w:tab w:val="left" w:pos="5400"/>
              </w:tabs>
              <w:spacing w:after="0" w:line="300" w:lineRule="exact"/>
              <w:rPr>
                <w:rFonts w:ascii="Times New Roman" w:eastAsia="Times New Roman" w:hAnsi="Times New Roman" w:cs="Times New Roman"/>
                <w:i/>
                <w:kern w:val="0"/>
                <w:sz w:val="20"/>
                <w:szCs w:val="20"/>
                <w:lang w:val="en-GB"/>
                <w14:ligatures w14:val="none"/>
              </w:rPr>
            </w:pPr>
            <w:r w:rsidRPr="00A93075">
              <w:rPr>
                <w:rFonts w:ascii="Times New Roman" w:eastAsia="Times New Roman" w:hAnsi="Times New Roman" w:cs="Times New Roman"/>
                <w:i/>
                <w:kern w:val="0"/>
                <w:sz w:val="20"/>
                <w:szCs w:val="20"/>
                <w:lang w:val="en-GB"/>
                <w14:ligatures w14:val="none"/>
              </w:rPr>
              <w:t>Cross-sectional study—</w:t>
            </w:r>
            <w:r w:rsidRPr="00A93075">
              <w:rPr>
                <w:rFonts w:ascii="Times New Roman" w:eastAsia="Times New Roman" w:hAnsi="Times New Roman" w:cs="Times New Roman"/>
                <w:kern w:val="0"/>
                <w:sz w:val="20"/>
                <w:szCs w:val="20"/>
                <w:lang w:val="en-GB"/>
                <w14:ligatures w14:val="none"/>
              </w:rPr>
              <w:t>Report numbers of outcome events or summary measures</w:t>
            </w:r>
          </w:p>
        </w:tc>
        <w:tc>
          <w:tcPr>
            <w:tcW w:w="0" w:type="auto"/>
          </w:tcPr>
          <w:p w14:paraId="586199D2"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3356FA0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Outcome event counts are reported as numbers of ADR reports by biliary condition and drug (Table 1) and summarized in Results.</w:t>
            </w:r>
          </w:p>
        </w:tc>
      </w:tr>
      <w:tr w:rsidR="00A93075" w:rsidRPr="00A93075" w14:paraId="1E528AD0" w14:textId="77777777" w:rsidTr="00F84DCC">
        <w:tc>
          <w:tcPr>
            <w:tcW w:w="0" w:type="auto"/>
            <w:vMerge w:val="restart"/>
          </w:tcPr>
          <w:p w14:paraId="71A29F3A"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4" w:name="italic40" w:colFirst="0" w:colLast="0"/>
            <w:bookmarkStart w:id="75" w:name="bold41" w:colFirst="0" w:colLast="0"/>
            <w:bookmarkEnd w:id="71"/>
            <w:bookmarkEnd w:id="72"/>
            <w:r w:rsidRPr="00A93075">
              <w:rPr>
                <w:rFonts w:ascii="Times New Roman" w:eastAsia="Times New Roman" w:hAnsi="Times New Roman" w:cs="Times New Roman"/>
                <w:bCs/>
                <w:kern w:val="0"/>
                <w:sz w:val="20"/>
                <w:szCs w:val="20"/>
                <w:lang w:val="en-GB"/>
                <w14:ligatures w14:val="none"/>
              </w:rPr>
              <w:t>Main results</w:t>
            </w:r>
          </w:p>
        </w:tc>
        <w:tc>
          <w:tcPr>
            <w:tcW w:w="0" w:type="auto"/>
            <w:vMerge w:val="restart"/>
          </w:tcPr>
          <w:p w14:paraId="06C37A58"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16</w:t>
            </w:r>
          </w:p>
        </w:tc>
        <w:tc>
          <w:tcPr>
            <w:tcW w:w="0" w:type="auto"/>
          </w:tcPr>
          <w:p w14:paraId="143948A1"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lang w:val="en-GB"/>
                <w14:ligatures w14:val="none"/>
              </w:rPr>
              <w:t>a</w:t>
            </w:r>
            <w:r w:rsidRPr="00A93075">
              <w:rPr>
                <w:rFonts w:ascii="Times New Roman" w:eastAsia="Times New Roman" w:hAnsi="Times New Roman" w:cs="Times New Roman"/>
                <w:kern w:val="0"/>
                <w:sz w:val="20"/>
                <w:szCs w:val="20"/>
                <w:lang w:val="en-GB"/>
                <w14:ligatures w14:val="none"/>
              </w:rPr>
              <w:t>) Give unadjusted estimates and, if applicable, confounder-adjusted estimates and their precision (</w:t>
            </w:r>
            <w:proofErr w:type="spellStart"/>
            <w:r w:rsidRPr="00A93075">
              <w:rPr>
                <w:rFonts w:ascii="Times New Roman" w:eastAsia="Times New Roman" w:hAnsi="Times New Roman" w:cs="Times New Roman"/>
                <w:kern w:val="0"/>
                <w:sz w:val="20"/>
                <w:szCs w:val="20"/>
                <w:lang w:val="en-GB"/>
                <w14:ligatures w14:val="none"/>
              </w:rPr>
              <w:t>eg</w:t>
            </w:r>
            <w:proofErr w:type="spellEnd"/>
            <w:r w:rsidRPr="00A93075">
              <w:rPr>
                <w:rFonts w:ascii="Times New Roman" w:eastAsia="Times New Roman" w:hAnsi="Times New Roman" w:cs="Times New Roman"/>
                <w:kern w:val="0"/>
                <w:sz w:val="20"/>
                <w:szCs w:val="20"/>
                <w:lang w:val="en-GB"/>
                <w14:ligatures w14:val="none"/>
              </w:rPr>
              <w:t>, 95% confidence interval). Make clear which confounders were adjusted for and why they were included</w:t>
            </w:r>
          </w:p>
        </w:tc>
        <w:tc>
          <w:tcPr>
            <w:tcW w:w="0" w:type="auto"/>
          </w:tcPr>
          <w:p w14:paraId="74A406FA"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53AC9164"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For bile duct stone, exenatide (PRR 0.39 (0.23–0.65), ROR 0.37 (0.22–0.63), p&lt;0.001) and tirzepatide (PRR 0.58 (0.39–0.84), ROR 0.56 (0.37–0.83), p= 0.004) showed significantly lower reporting compared to semaglutide. For biliary colic, dulaglutide (PRR 0.50 (0.30–0.82), ROR 0.46 (0.27–0.79), p=0.003) and exenatide (PRR 0.30 (0.19–0.47), ROR 0.27 (0.17–0.44), p&lt;0.001) demonstrated significantly lower relative reporting compared to semaglutide. For cholangitis, dulaglutide (PRR 1.65 (1.05–2.60), ROR 1.71 (1.04–2.81), p=0.045) showed significantly higher reporting relative to semaglutide. (See Table 3 for PRR/ROR estimates with 95% CIs and Fisher p-values.)</w:t>
            </w:r>
          </w:p>
        </w:tc>
      </w:tr>
      <w:tr w:rsidR="00A93075" w:rsidRPr="00A93075" w14:paraId="20105734" w14:textId="77777777" w:rsidTr="00F84DCC">
        <w:tc>
          <w:tcPr>
            <w:tcW w:w="0" w:type="auto"/>
            <w:vMerge/>
          </w:tcPr>
          <w:p w14:paraId="5FA40D1A"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6" w:name="italic41" w:colFirst="0" w:colLast="0"/>
            <w:bookmarkStart w:id="77" w:name="bold42" w:colFirst="0" w:colLast="0"/>
            <w:bookmarkEnd w:id="74"/>
            <w:bookmarkEnd w:id="75"/>
          </w:p>
        </w:tc>
        <w:tc>
          <w:tcPr>
            <w:tcW w:w="0" w:type="auto"/>
            <w:vMerge/>
          </w:tcPr>
          <w:p w14:paraId="3397797C"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551C581F"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lang w:val="en-GB"/>
                <w14:ligatures w14:val="none"/>
              </w:rPr>
              <w:t>b</w:t>
            </w:r>
            <w:r w:rsidRPr="00A93075">
              <w:rPr>
                <w:rFonts w:ascii="Times New Roman" w:eastAsia="Times New Roman" w:hAnsi="Times New Roman" w:cs="Times New Roman"/>
                <w:kern w:val="0"/>
                <w:sz w:val="20"/>
                <w:szCs w:val="20"/>
                <w:lang w:val="en-GB"/>
                <w14:ligatures w14:val="none"/>
              </w:rPr>
              <w:t>) Report category boundaries when continuous variables were categorized</w:t>
            </w:r>
          </w:p>
        </w:tc>
        <w:tc>
          <w:tcPr>
            <w:tcW w:w="0" w:type="auto"/>
          </w:tcPr>
          <w:p w14:paraId="3B6D8171"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c>
          <w:tcPr>
            <w:tcW w:w="0" w:type="auto"/>
          </w:tcPr>
          <w:p w14:paraId="730BA044"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w:t>
            </w:r>
          </w:p>
        </w:tc>
      </w:tr>
      <w:tr w:rsidR="00A93075" w:rsidRPr="00A93075" w14:paraId="22E4BEC9" w14:textId="77777777" w:rsidTr="00F84DCC">
        <w:tc>
          <w:tcPr>
            <w:tcW w:w="0" w:type="auto"/>
            <w:vMerge/>
          </w:tcPr>
          <w:p w14:paraId="2DEE1B2B"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78" w:name="italic42" w:colFirst="0" w:colLast="0"/>
            <w:bookmarkStart w:id="79" w:name="bold43" w:colFirst="0" w:colLast="0"/>
            <w:bookmarkEnd w:id="76"/>
            <w:bookmarkEnd w:id="77"/>
          </w:p>
        </w:tc>
        <w:tc>
          <w:tcPr>
            <w:tcW w:w="0" w:type="auto"/>
            <w:vMerge/>
          </w:tcPr>
          <w:p w14:paraId="2294F9B8"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p>
        </w:tc>
        <w:tc>
          <w:tcPr>
            <w:tcW w:w="0" w:type="auto"/>
          </w:tcPr>
          <w:p w14:paraId="483CCB0E"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w:t>
            </w:r>
            <w:r w:rsidRPr="00A93075">
              <w:rPr>
                <w:rFonts w:ascii="Times New Roman" w:eastAsia="Times New Roman" w:hAnsi="Times New Roman" w:cs="Times New Roman"/>
                <w:i/>
                <w:kern w:val="0"/>
                <w:sz w:val="20"/>
                <w:szCs w:val="20"/>
                <w:lang w:val="en-GB"/>
                <w14:ligatures w14:val="none"/>
              </w:rPr>
              <w:t>c</w:t>
            </w:r>
            <w:r w:rsidRPr="00A93075">
              <w:rPr>
                <w:rFonts w:ascii="Times New Roman" w:eastAsia="Times New Roman" w:hAnsi="Times New Roman" w:cs="Times New Roman"/>
                <w:kern w:val="0"/>
                <w:sz w:val="20"/>
                <w:szCs w:val="20"/>
                <w:lang w:val="en-GB"/>
                <w14:ligatures w14:val="none"/>
              </w:rPr>
              <w:t xml:space="preserve">) If relevant, consider translating estimates of relative risk into absolute risk for a meaningful </w:t>
            </w:r>
            <w:proofErr w:type="gramStart"/>
            <w:r w:rsidRPr="00A93075">
              <w:rPr>
                <w:rFonts w:ascii="Times New Roman" w:eastAsia="Times New Roman" w:hAnsi="Times New Roman" w:cs="Times New Roman"/>
                <w:kern w:val="0"/>
                <w:sz w:val="20"/>
                <w:szCs w:val="20"/>
                <w:lang w:val="en-GB"/>
                <w14:ligatures w14:val="none"/>
              </w:rPr>
              <w:t>time period</w:t>
            </w:r>
            <w:proofErr w:type="gramEnd"/>
          </w:p>
        </w:tc>
        <w:tc>
          <w:tcPr>
            <w:tcW w:w="0" w:type="auto"/>
          </w:tcPr>
          <w:p w14:paraId="5F46AF4D"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c>
          <w:tcPr>
            <w:tcW w:w="0" w:type="auto"/>
          </w:tcPr>
          <w:p w14:paraId="35C0074C"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r>
    </w:tbl>
    <w:p w14:paraId="3C77E622"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bookmarkStart w:id="80" w:name="italic43"/>
      <w:bookmarkStart w:id="81" w:name="bold44"/>
      <w:bookmarkEnd w:id="78"/>
      <w:bookmarkEnd w:id="79"/>
      <w:proofErr w:type="gramStart"/>
      <w:r w:rsidRPr="00A93075">
        <w:rPr>
          <w:rFonts w:ascii="Times New Roman" w:eastAsia="Times New Roman" w:hAnsi="Times New Roman" w:cs="Times New Roman"/>
          <w:kern w:val="0"/>
          <w:sz w:val="16"/>
          <w:szCs w:val="16"/>
          <w:lang w:val="en-GB"/>
          <w14:ligatures w14:val="none"/>
        </w:rPr>
        <w:t>Continued on</w:t>
      </w:r>
      <w:proofErr w:type="gramEnd"/>
      <w:r w:rsidRPr="00A93075">
        <w:rPr>
          <w:rFonts w:ascii="Times New Roman" w:eastAsia="Times New Roman" w:hAnsi="Times New Roman" w:cs="Times New Roman"/>
          <w:kern w:val="0"/>
          <w:sz w:val="16"/>
          <w:szCs w:val="16"/>
          <w:lang w:val="en-GB"/>
          <w14:ligatures w14:val="none"/>
        </w:rPr>
        <w:t xml:space="preserve"> next page</w:t>
      </w:r>
      <w:r w:rsidRPr="00A93075">
        <w:rPr>
          <w:rFonts w:ascii="Times New Roman" w:eastAsia="Times New Roman" w:hAnsi="Times New Roman" w:cs="Times New Roman"/>
          <w:kern w:val="0"/>
          <w:szCs w:val="20"/>
          <w:lang w:val="en-GB"/>
          <w14:ligatures w14:val="none"/>
        </w:rPr>
        <w:t xml:space="preserve"> </w:t>
      </w:r>
      <w:r w:rsidRPr="00A93075">
        <w:rPr>
          <w:rFonts w:ascii="Times New Roman" w:eastAsia="Times New Roman" w:hAnsi="Times New Roman" w:cs="Times New Roman"/>
          <w:kern w:val="0"/>
          <w:szCs w:val="20"/>
          <w:lang w:val="en-GB"/>
          <w14:ligatures w14:val="none"/>
        </w:rPr>
        <w:br w:type="page"/>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494"/>
        <w:gridCol w:w="416"/>
        <w:gridCol w:w="2841"/>
        <w:gridCol w:w="630"/>
        <w:gridCol w:w="5419"/>
      </w:tblGrid>
      <w:tr w:rsidR="00A93075" w:rsidRPr="00A93075" w14:paraId="2229F8C3" w14:textId="77777777" w:rsidTr="00F84DCC">
        <w:tc>
          <w:tcPr>
            <w:tcW w:w="0" w:type="auto"/>
          </w:tcPr>
          <w:p w14:paraId="5EC47A45"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r w:rsidRPr="00A93075">
              <w:rPr>
                <w:rFonts w:ascii="Times New Roman" w:eastAsia="Times New Roman" w:hAnsi="Times New Roman" w:cs="Times New Roman"/>
                <w:bCs/>
                <w:kern w:val="0"/>
                <w:sz w:val="20"/>
                <w:szCs w:val="20"/>
                <w:lang w:val="en-GB"/>
                <w14:ligatures w14:val="none"/>
              </w:rPr>
              <w:lastRenderedPageBreak/>
              <w:t>Other analyses</w:t>
            </w:r>
            <w:bookmarkEnd w:id="80"/>
            <w:bookmarkEnd w:id="81"/>
          </w:p>
        </w:tc>
        <w:tc>
          <w:tcPr>
            <w:tcW w:w="0" w:type="auto"/>
          </w:tcPr>
          <w:p w14:paraId="329393B1"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17</w:t>
            </w:r>
          </w:p>
        </w:tc>
        <w:tc>
          <w:tcPr>
            <w:tcW w:w="0" w:type="auto"/>
          </w:tcPr>
          <w:p w14:paraId="6295B2FB"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Report other analyses done—</w:t>
            </w:r>
            <w:proofErr w:type="spellStart"/>
            <w:r w:rsidRPr="00A93075">
              <w:rPr>
                <w:rFonts w:ascii="Times New Roman" w:eastAsia="Times New Roman" w:hAnsi="Times New Roman" w:cs="Times New Roman"/>
                <w:kern w:val="0"/>
                <w:sz w:val="20"/>
                <w:szCs w:val="20"/>
                <w:lang w:val="en-GB"/>
                <w14:ligatures w14:val="none"/>
              </w:rPr>
              <w:t>eg</w:t>
            </w:r>
            <w:proofErr w:type="spellEnd"/>
            <w:r w:rsidRPr="00A93075">
              <w:rPr>
                <w:rFonts w:ascii="Times New Roman" w:eastAsia="Times New Roman" w:hAnsi="Times New Roman" w:cs="Times New Roman"/>
                <w:kern w:val="0"/>
                <w:sz w:val="20"/>
                <w:szCs w:val="20"/>
                <w:lang w:val="en-GB"/>
                <w14:ligatures w14:val="none"/>
              </w:rPr>
              <w:t xml:space="preserve"> analyses of subgroups and interactions, and sensitivity analyses</w:t>
            </w:r>
          </w:p>
        </w:tc>
        <w:tc>
          <w:tcPr>
            <w:tcW w:w="0" w:type="auto"/>
          </w:tcPr>
          <w:p w14:paraId="2400448A"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3952378D"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We performed a sub-group analysis on the deduplicated data on age, sex and indication for use. Unknown values were excluded from the analysis. Breslow–Day heterogeneity tests were used to detect heterogeneity across strata with p&lt;0.05 considered a signal for heterogeneity. (Refer supplementary material table 2)</w:t>
            </w:r>
          </w:p>
        </w:tc>
      </w:tr>
      <w:tr w:rsidR="00A93075" w:rsidRPr="00A93075" w14:paraId="0B477381" w14:textId="77777777" w:rsidTr="00F84DCC">
        <w:tc>
          <w:tcPr>
            <w:tcW w:w="0" w:type="auto"/>
            <w:gridSpan w:val="5"/>
          </w:tcPr>
          <w:p w14:paraId="3F3910D4" w14:textId="77777777" w:rsidR="00A93075" w:rsidRPr="00A93075" w:rsidRDefault="00A93075" w:rsidP="002530F0">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82" w:name="italic44"/>
            <w:bookmarkStart w:id="83" w:name="bold45"/>
            <w:r w:rsidRPr="00A93075">
              <w:rPr>
                <w:rFonts w:ascii="Times New Roman" w:eastAsia="Times New Roman" w:hAnsi="Times New Roman" w:cs="Times New Roman"/>
                <w:b/>
                <w:kern w:val="0"/>
                <w:sz w:val="20"/>
                <w:szCs w:val="20"/>
                <w:lang w:val="en-GB"/>
                <w14:ligatures w14:val="none"/>
              </w:rPr>
              <w:t>Discussion</w:t>
            </w:r>
            <w:bookmarkEnd w:id="82"/>
            <w:bookmarkEnd w:id="83"/>
          </w:p>
        </w:tc>
      </w:tr>
      <w:tr w:rsidR="00A93075" w:rsidRPr="00A93075" w14:paraId="3AAC5536" w14:textId="77777777" w:rsidTr="00F84DCC">
        <w:tc>
          <w:tcPr>
            <w:tcW w:w="0" w:type="auto"/>
          </w:tcPr>
          <w:p w14:paraId="4F26D136"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84" w:name="italic45" w:colFirst="0" w:colLast="0"/>
            <w:bookmarkStart w:id="85" w:name="bold46" w:colFirst="0" w:colLast="0"/>
            <w:r w:rsidRPr="00A93075">
              <w:rPr>
                <w:rFonts w:ascii="Times New Roman" w:eastAsia="Times New Roman" w:hAnsi="Times New Roman" w:cs="Times New Roman"/>
                <w:bCs/>
                <w:kern w:val="0"/>
                <w:sz w:val="20"/>
                <w:szCs w:val="20"/>
                <w:lang w:val="en-GB"/>
                <w14:ligatures w14:val="none"/>
              </w:rPr>
              <w:t>Key results</w:t>
            </w:r>
          </w:p>
        </w:tc>
        <w:tc>
          <w:tcPr>
            <w:tcW w:w="0" w:type="auto"/>
          </w:tcPr>
          <w:p w14:paraId="1F34EB0C"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18</w:t>
            </w:r>
          </w:p>
        </w:tc>
        <w:tc>
          <w:tcPr>
            <w:tcW w:w="0" w:type="auto"/>
          </w:tcPr>
          <w:p w14:paraId="4C29EA73"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Summarise key results with reference to study objectives</w:t>
            </w:r>
          </w:p>
        </w:tc>
        <w:tc>
          <w:tcPr>
            <w:tcW w:w="0" w:type="auto"/>
          </w:tcPr>
          <w:p w14:paraId="7F14155D"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40849DF3"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In our FAERS-based disproportionality analysis, we observed that biliary adverse events are not consistent across all individual GLP-1RAs. Specifically, dulaglutide and exenatide had lower relative reporting of biliary colic and bile duct stone; exenatide, liraglutide, and tirzepatide had higher relative reporting of cholecystitis. Similarly, dulaglutide demonstrated higher relative reporting of cholangitis, and exenatide, liraglutide and tirzepatide showed higher relative reporting of cholelithiasis. These results align with recent studies showing similar variability across individual GLP-1RAs rather than the same pattern across all agents.</w:t>
            </w:r>
          </w:p>
        </w:tc>
      </w:tr>
      <w:tr w:rsidR="00A93075" w:rsidRPr="00A93075" w14:paraId="7F784BBB" w14:textId="77777777" w:rsidTr="00F84DCC">
        <w:tc>
          <w:tcPr>
            <w:tcW w:w="0" w:type="auto"/>
          </w:tcPr>
          <w:p w14:paraId="004DBB9B"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86" w:name="italic46" w:colFirst="0" w:colLast="0"/>
            <w:bookmarkStart w:id="87" w:name="bold47" w:colFirst="0" w:colLast="0"/>
            <w:bookmarkEnd w:id="84"/>
            <w:bookmarkEnd w:id="85"/>
            <w:r w:rsidRPr="00A93075">
              <w:rPr>
                <w:rFonts w:ascii="Times New Roman" w:eastAsia="Times New Roman" w:hAnsi="Times New Roman" w:cs="Times New Roman"/>
                <w:bCs/>
                <w:kern w:val="0"/>
                <w:sz w:val="20"/>
                <w:szCs w:val="20"/>
                <w:lang w:val="en-GB"/>
                <w14:ligatures w14:val="none"/>
              </w:rPr>
              <w:t>Limitations</w:t>
            </w:r>
          </w:p>
        </w:tc>
        <w:tc>
          <w:tcPr>
            <w:tcW w:w="0" w:type="auto"/>
          </w:tcPr>
          <w:p w14:paraId="4122EB9F"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19</w:t>
            </w:r>
          </w:p>
        </w:tc>
        <w:tc>
          <w:tcPr>
            <w:tcW w:w="0" w:type="auto"/>
          </w:tcPr>
          <w:p w14:paraId="73B60315"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 xml:space="preserve">Discuss limitations of the study, </w:t>
            </w:r>
            <w:proofErr w:type="gramStart"/>
            <w:r w:rsidRPr="00A93075">
              <w:rPr>
                <w:rFonts w:ascii="Times New Roman" w:eastAsia="Times New Roman" w:hAnsi="Times New Roman" w:cs="Times New Roman"/>
                <w:kern w:val="0"/>
                <w:sz w:val="20"/>
                <w:szCs w:val="20"/>
                <w:lang w:val="en-GB"/>
                <w14:ligatures w14:val="none"/>
              </w:rPr>
              <w:t>taking into account</w:t>
            </w:r>
            <w:proofErr w:type="gramEnd"/>
            <w:r w:rsidRPr="00A93075">
              <w:rPr>
                <w:rFonts w:ascii="Times New Roman" w:eastAsia="Times New Roman" w:hAnsi="Times New Roman" w:cs="Times New Roman"/>
                <w:kern w:val="0"/>
                <w:sz w:val="20"/>
                <w:szCs w:val="20"/>
                <w:lang w:val="en-GB"/>
                <w14:ligatures w14:val="none"/>
              </w:rPr>
              <w:t xml:space="preserve"> sources of potential bias or imprecision. Discuss both direction and magnitude of any potential bias</w:t>
            </w:r>
          </w:p>
        </w:tc>
        <w:tc>
          <w:tcPr>
            <w:tcW w:w="0" w:type="auto"/>
          </w:tcPr>
          <w:p w14:paraId="28A1406E"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4D3182EB"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 xml:space="preserve">While FAERS remains an important post-marketing surveillance dataset, it is important to highlight that our study had a few limitations. Firstly, the FAERS database is a voluntary reporting database that can be subject to underreporting or incomplete reports. Secondly, the database does not include patient factors (co-morbidities, BMI, concurrent medication </w:t>
            </w:r>
            <w:proofErr w:type="gramStart"/>
            <w:r w:rsidRPr="00A93075">
              <w:rPr>
                <w:rFonts w:ascii="Times New Roman" w:eastAsia="Times New Roman" w:hAnsi="Times New Roman" w:cs="Times New Roman"/>
                <w:kern w:val="0"/>
                <w:szCs w:val="20"/>
                <w:lang w:val="en-GB"/>
                <w14:ligatures w14:val="none"/>
              </w:rPr>
              <w:t>use</w:t>
            </w:r>
            <w:proofErr w:type="gramEnd"/>
            <w:r w:rsidRPr="00A93075">
              <w:rPr>
                <w:rFonts w:ascii="Times New Roman" w:eastAsia="Times New Roman" w:hAnsi="Times New Roman" w:cs="Times New Roman"/>
                <w:kern w:val="0"/>
                <w:szCs w:val="20"/>
                <w:lang w:val="en-GB"/>
                <w14:ligatures w14:val="none"/>
              </w:rPr>
              <w:t xml:space="preserve"> or lab abnormalities) that could potentially lead to confounding. However, our within-class comparator approach (drug vs the remainder of the GLP-1RA class) aided to partially reduce confounding within the class level, while still allowing detection of drug-specific patterns. Thirdly, the database lacks crucial information on drug dosage, frequency and duration. Lastly, disproportionality reporting, including PRR and ROR is best suited for signal detection rather than measurement of incidence.</w:t>
            </w:r>
          </w:p>
        </w:tc>
      </w:tr>
      <w:tr w:rsidR="00A93075" w:rsidRPr="00A93075" w14:paraId="5AF138D7" w14:textId="77777777" w:rsidTr="00F84DCC">
        <w:tc>
          <w:tcPr>
            <w:tcW w:w="0" w:type="auto"/>
          </w:tcPr>
          <w:p w14:paraId="44FE4762"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88" w:name="italic47" w:colFirst="0" w:colLast="0"/>
            <w:bookmarkStart w:id="89" w:name="bold48" w:colFirst="0" w:colLast="0"/>
            <w:bookmarkEnd w:id="86"/>
            <w:bookmarkEnd w:id="87"/>
            <w:r w:rsidRPr="00A93075">
              <w:rPr>
                <w:rFonts w:ascii="Times New Roman" w:eastAsia="Times New Roman" w:hAnsi="Times New Roman" w:cs="Times New Roman"/>
                <w:bCs/>
                <w:kern w:val="0"/>
                <w:sz w:val="20"/>
                <w:szCs w:val="20"/>
                <w:lang w:val="en-GB"/>
                <w14:ligatures w14:val="none"/>
              </w:rPr>
              <w:t>Interpretation</w:t>
            </w:r>
          </w:p>
        </w:tc>
        <w:tc>
          <w:tcPr>
            <w:tcW w:w="0" w:type="auto"/>
          </w:tcPr>
          <w:p w14:paraId="6A055D94"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20</w:t>
            </w:r>
          </w:p>
        </w:tc>
        <w:tc>
          <w:tcPr>
            <w:tcW w:w="0" w:type="auto"/>
          </w:tcPr>
          <w:p w14:paraId="6AE3F4F1"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Give a cautious overall interpretation of results considering objectives, limitations, multiplicity of analyses, results from similar studies, and other relevant evidence</w:t>
            </w:r>
          </w:p>
        </w:tc>
        <w:tc>
          <w:tcPr>
            <w:tcW w:w="0" w:type="auto"/>
          </w:tcPr>
          <w:p w14:paraId="4638BD42"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09C162A0"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 xml:space="preserve">In our FAERS-based disproportionality analysis, we observed that biliary adverse events are not consistent across all individual GLP-1RAs. Specifically, dulaglutide and exenatide had lower relative reporting of biliary colic and bile duct stone; exenatide, liraglutide, and tirzepatide had higher relative reporting of cholecystitis. Similarly, dulaglutide demonstrated higher relative reporting of cholangitis, and exenatide, liraglutide and tirzepatide showed </w:t>
            </w:r>
            <w:r w:rsidRPr="00A93075">
              <w:rPr>
                <w:rFonts w:ascii="Times New Roman" w:eastAsia="Times New Roman" w:hAnsi="Times New Roman" w:cs="Times New Roman"/>
                <w:kern w:val="0"/>
                <w:szCs w:val="20"/>
                <w:lang w:val="en-GB"/>
                <w14:ligatures w14:val="none"/>
              </w:rPr>
              <w:lastRenderedPageBreak/>
              <w:t xml:space="preserve">higher relative reporting of cholelithiasis. These results align with recent studies showing similar variability across individual GLP-1RAs rather than the same pattern across all agents. Despite these, there is consistency noted between our findings and previous trials and studies, which strengthens the credibility of the patterns observed in our study. </w:t>
            </w:r>
          </w:p>
        </w:tc>
      </w:tr>
      <w:tr w:rsidR="00A93075" w:rsidRPr="00A93075" w14:paraId="39E0B1BF" w14:textId="77777777" w:rsidTr="00F84DCC">
        <w:tc>
          <w:tcPr>
            <w:tcW w:w="0" w:type="auto"/>
          </w:tcPr>
          <w:p w14:paraId="731E6A17"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90" w:name="italic48" w:colFirst="0" w:colLast="0"/>
            <w:bookmarkStart w:id="91" w:name="bold49" w:colFirst="0" w:colLast="0"/>
            <w:bookmarkEnd w:id="88"/>
            <w:bookmarkEnd w:id="89"/>
            <w:r w:rsidRPr="00A93075">
              <w:rPr>
                <w:rFonts w:ascii="Times New Roman" w:eastAsia="Times New Roman" w:hAnsi="Times New Roman" w:cs="Times New Roman"/>
                <w:bCs/>
                <w:kern w:val="0"/>
                <w:sz w:val="20"/>
                <w:szCs w:val="20"/>
                <w:lang w:val="en-GB"/>
                <w14:ligatures w14:val="none"/>
              </w:rPr>
              <w:lastRenderedPageBreak/>
              <w:t>Generalisability</w:t>
            </w:r>
          </w:p>
        </w:tc>
        <w:tc>
          <w:tcPr>
            <w:tcW w:w="0" w:type="auto"/>
          </w:tcPr>
          <w:p w14:paraId="70D8FA53"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21</w:t>
            </w:r>
          </w:p>
        </w:tc>
        <w:tc>
          <w:tcPr>
            <w:tcW w:w="0" w:type="auto"/>
          </w:tcPr>
          <w:p w14:paraId="4F0839AA"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Discuss the generalisability (external validity) of the study results</w:t>
            </w:r>
          </w:p>
        </w:tc>
        <w:tc>
          <w:tcPr>
            <w:tcW w:w="0" w:type="auto"/>
          </w:tcPr>
          <w:p w14:paraId="0998FDD0"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p>
        </w:tc>
        <w:tc>
          <w:tcPr>
            <w:tcW w:w="0" w:type="auto"/>
          </w:tcPr>
          <w:p w14:paraId="4D4DB9E0"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There is consistency noted between our findings and previous trials and studies, which strengthens the credibility of the patterns observed in our study.</w:t>
            </w:r>
          </w:p>
        </w:tc>
      </w:tr>
      <w:tr w:rsidR="00A93075" w:rsidRPr="00A93075" w14:paraId="19D1A433" w14:textId="77777777" w:rsidTr="00F84DCC">
        <w:tc>
          <w:tcPr>
            <w:tcW w:w="0" w:type="auto"/>
            <w:gridSpan w:val="2"/>
          </w:tcPr>
          <w:p w14:paraId="7C0FD163" w14:textId="77777777" w:rsidR="00A93075" w:rsidRPr="00A93075" w:rsidRDefault="00A93075" w:rsidP="002530F0">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bookmarkStart w:id="92" w:name="italic49"/>
            <w:bookmarkStart w:id="93" w:name="bold50"/>
            <w:bookmarkEnd w:id="90"/>
            <w:bookmarkEnd w:id="91"/>
            <w:r w:rsidRPr="00A93075">
              <w:rPr>
                <w:rFonts w:ascii="Times New Roman" w:eastAsia="Times New Roman" w:hAnsi="Times New Roman" w:cs="Times New Roman"/>
                <w:b/>
                <w:kern w:val="0"/>
                <w:sz w:val="20"/>
                <w:szCs w:val="20"/>
                <w:lang w:val="en-GB"/>
                <w14:ligatures w14:val="none"/>
              </w:rPr>
              <w:t>Other information</w:t>
            </w:r>
          </w:p>
        </w:tc>
        <w:bookmarkEnd w:id="92"/>
        <w:bookmarkEnd w:id="93"/>
        <w:tc>
          <w:tcPr>
            <w:tcW w:w="0" w:type="auto"/>
            <w:gridSpan w:val="3"/>
          </w:tcPr>
          <w:p w14:paraId="05E0BD7A" w14:textId="77777777" w:rsidR="00A93075" w:rsidRPr="00A93075" w:rsidRDefault="00A93075" w:rsidP="002530F0">
            <w:pPr>
              <w:tabs>
                <w:tab w:val="left" w:pos="5400"/>
              </w:tabs>
              <w:spacing w:before="120" w:after="0" w:line="240" w:lineRule="auto"/>
              <w:rPr>
                <w:rFonts w:ascii="Times New Roman" w:eastAsia="Times New Roman" w:hAnsi="Times New Roman" w:cs="Times New Roman"/>
                <w:b/>
                <w:kern w:val="0"/>
                <w:sz w:val="20"/>
                <w:szCs w:val="20"/>
                <w:lang w:val="en-GB"/>
                <w14:ligatures w14:val="none"/>
              </w:rPr>
            </w:pPr>
          </w:p>
        </w:tc>
      </w:tr>
      <w:tr w:rsidR="00A93075" w:rsidRPr="00A93075" w14:paraId="5C87DF15" w14:textId="77777777" w:rsidTr="00F84DCC">
        <w:tc>
          <w:tcPr>
            <w:tcW w:w="0" w:type="auto"/>
          </w:tcPr>
          <w:p w14:paraId="1A94F8D2" w14:textId="77777777" w:rsidR="00A93075" w:rsidRPr="00A93075" w:rsidRDefault="00A93075" w:rsidP="002530F0">
            <w:pPr>
              <w:tabs>
                <w:tab w:val="left" w:pos="5400"/>
              </w:tabs>
              <w:spacing w:after="0" w:line="300" w:lineRule="exact"/>
              <w:rPr>
                <w:rFonts w:ascii="Times New Roman" w:eastAsia="Times New Roman" w:hAnsi="Times New Roman" w:cs="Times New Roman"/>
                <w:bCs/>
                <w:kern w:val="0"/>
                <w:sz w:val="20"/>
                <w:szCs w:val="20"/>
                <w:lang w:val="en-GB"/>
                <w14:ligatures w14:val="none"/>
              </w:rPr>
            </w:pPr>
            <w:bookmarkStart w:id="94" w:name="italic50" w:colFirst="0" w:colLast="0"/>
            <w:bookmarkStart w:id="95" w:name="bold51" w:colFirst="0" w:colLast="0"/>
            <w:r w:rsidRPr="00A93075">
              <w:rPr>
                <w:rFonts w:ascii="Times New Roman" w:eastAsia="Times New Roman" w:hAnsi="Times New Roman" w:cs="Times New Roman"/>
                <w:bCs/>
                <w:kern w:val="0"/>
                <w:sz w:val="20"/>
                <w:szCs w:val="20"/>
                <w:lang w:val="en-GB"/>
                <w14:ligatures w14:val="none"/>
              </w:rPr>
              <w:t>Funding</w:t>
            </w:r>
          </w:p>
        </w:tc>
        <w:tc>
          <w:tcPr>
            <w:tcW w:w="0" w:type="auto"/>
          </w:tcPr>
          <w:p w14:paraId="601A3DEB"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22</w:t>
            </w:r>
          </w:p>
        </w:tc>
        <w:tc>
          <w:tcPr>
            <w:tcW w:w="0" w:type="auto"/>
          </w:tcPr>
          <w:p w14:paraId="69C651F6" w14:textId="77777777" w:rsidR="00A93075" w:rsidRPr="00A93075" w:rsidRDefault="00A93075" w:rsidP="002530F0">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kern w:val="0"/>
                <w:sz w:val="20"/>
                <w:szCs w:val="20"/>
                <w:lang w:val="en-GB"/>
                <w14:ligatures w14:val="none"/>
              </w:rPr>
              <w:t>Give the source of funding and the role of the funders for the present study and, if applicable, for the original study on which the present article is based</w:t>
            </w:r>
          </w:p>
        </w:tc>
        <w:tc>
          <w:tcPr>
            <w:tcW w:w="0" w:type="auto"/>
          </w:tcPr>
          <w:p w14:paraId="7843324A"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c>
          <w:tcPr>
            <w:tcW w:w="0" w:type="auto"/>
          </w:tcPr>
          <w:p w14:paraId="44ED3E9D" w14:textId="77777777" w:rsidR="00A93075" w:rsidRPr="00A93075" w:rsidRDefault="00A93075" w:rsidP="002530F0">
            <w:pPr>
              <w:spacing w:after="0" w:line="300" w:lineRule="exact"/>
              <w:rPr>
                <w:rFonts w:ascii="Times New Roman" w:eastAsia="Times New Roman" w:hAnsi="Times New Roman" w:cs="Times New Roman"/>
                <w:kern w:val="0"/>
                <w:szCs w:val="20"/>
                <w:lang w:val="en-GB"/>
                <w14:ligatures w14:val="none"/>
              </w:rPr>
            </w:pPr>
            <w:r w:rsidRPr="00A93075">
              <w:rPr>
                <w:rFonts w:ascii="Times New Roman" w:eastAsia="Times New Roman" w:hAnsi="Times New Roman" w:cs="Times New Roman"/>
                <w:kern w:val="0"/>
                <w:szCs w:val="20"/>
                <w:lang w:val="en-GB"/>
                <w14:ligatures w14:val="none"/>
              </w:rPr>
              <w:t>N/A</w:t>
            </w:r>
          </w:p>
        </w:tc>
      </w:tr>
      <w:bookmarkEnd w:id="94"/>
      <w:bookmarkEnd w:id="95"/>
    </w:tbl>
    <w:p w14:paraId="6385FE7F" w14:textId="77777777" w:rsidR="00A93075" w:rsidRPr="00A93075" w:rsidRDefault="00A93075" w:rsidP="00A93075">
      <w:pPr>
        <w:tabs>
          <w:tab w:val="left" w:pos="5400"/>
        </w:tabs>
        <w:spacing w:after="0" w:line="300" w:lineRule="exact"/>
        <w:rPr>
          <w:rFonts w:ascii="Times New Roman" w:eastAsia="Times New Roman" w:hAnsi="Times New Roman" w:cs="Times New Roman"/>
          <w:bCs/>
          <w:kern w:val="0"/>
          <w:sz w:val="20"/>
          <w:szCs w:val="20"/>
          <w:lang w:val="en-GB"/>
          <w14:ligatures w14:val="none"/>
        </w:rPr>
      </w:pPr>
    </w:p>
    <w:p w14:paraId="26812E1F" w14:textId="77777777" w:rsidR="00A93075" w:rsidRPr="00A93075" w:rsidRDefault="00A93075" w:rsidP="00A9307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bCs/>
          <w:kern w:val="0"/>
          <w:sz w:val="20"/>
          <w:szCs w:val="20"/>
          <w:lang w:val="en-GB"/>
          <w14:ligatures w14:val="none"/>
        </w:rPr>
        <w:t>*</w:t>
      </w:r>
      <w:r w:rsidRPr="00A93075">
        <w:rPr>
          <w:rFonts w:ascii="Times New Roman" w:eastAsia="Times New Roman" w:hAnsi="Times New Roman" w:cs="Times New Roman"/>
          <w:kern w:val="0"/>
          <w:sz w:val="20"/>
          <w:szCs w:val="20"/>
          <w:lang w:val="en-GB"/>
          <w14:ligatures w14:val="none"/>
        </w:rPr>
        <w:t>Give information separately for cases and controls in case-control studies and, if applicable, for exposed and unexposed groups in cohort and cross-sectional studies.</w:t>
      </w:r>
    </w:p>
    <w:p w14:paraId="44D328E3" w14:textId="77777777" w:rsidR="00A93075" w:rsidRPr="00A93075" w:rsidRDefault="00A93075" w:rsidP="00A93075">
      <w:pPr>
        <w:tabs>
          <w:tab w:val="left" w:pos="5400"/>
        </w:tabs>
        <w:spacing w:after="0" w:line="300" w:lineRule="exact"/>
        <w:rPr>
          <w:rFonts w:ascii="Times New Roman" w:eastAsia="Times New Roman" w:hAnsi="Times New Roman" w:cs="Times New Roman"/>
          <w:kern w:val="0"/>
          <w:sz w:val="20"/>
          <w:szCs w:val="20"/>
          <w:lang w:val="en-GB"/>
          <w14:ligatures w14:val="none"/>
        </w:rPr>
      </w:pPr>
    </w:p>
    <w:p w14:paraId="73D46D32" w14:textId="77777777" w:rsidR="00A93075" w:rsidRPr="00A93075" w:rsidRDefault="00A93075" w:rsidP="00A93075">
      <w:pPr>
        <w:tabs>
          <w:tab w:val="left" w:pos="5400"/>
        </w:tabs>
        <w:spacing w:after="0" w:line="300" w:lineRule="exact"/>
        <w:rPr>
          <w:rFonts w:ascii="Times New Roman" w:eastAsia="Times New Roman" w:hAnsi="Times New Roman" w:cs="Times New Roman"/>
          <w:kern w:val="0"/>
          <w:sz w:val="20"/>
          <w:szCs w:val="20"/>
          <w:lang w:val="en-GB"/>
          <w14:ligatures w14:val="none"/>
        </w:rPr>
      </w:pPr>
      <w:r w:rsidRPr="00A93075">
        <w:rPr>
          <w:rFonts w:ascii="Times New Roman" w:eastAsia="Times New Roman" w:hAnsi="Times New Roman" w:cs="Times New Roman"/>
          <w:b/>
          <w:kern w:val="0"/>
          <w:sz w:val="20"/>
          <w:szCs w:val="20"/>
          <w:lang w:val="en-GB"/>
          <w14:ligatures w14:val="none"/>
        </w:rPr>
        <w:t>Note:</w:t>
      </w:r>
      <w:r w:rsidRPr="00A93075">
        <w:rPr>
          <w:rFonts w:ascii="Times New Roman" w:eastAsia="Times New Roman" w:hAnsi="Times New Roman" w:cs="Times New Roman"/>
          <w:kern w:val="0"/>
          <w:sz w:val="20"/>
          <w:szCs w:val="20"/>
          <w:lang w:val="en-GB"/>
          <w14:ligatures w14:val="none"/>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A93075">
        <w:rPr>
          <w:rFonts w:ascii="Times New Roman" w:eastAsia="Times New Roman" w:hAnsi="Times New Roman" w:cs="Times New Roman"/>
          <w:kern w:val="0"/>
          <w:sz w:val="20"/>
          <w:szCs w:val="20"/>
          <w:lang w:val="en-GB"/>
          <w14:ligatures w14:val="none"/>
        </w:rPr>
        <w:t>PLoS</w:t>
      </w:r>
      <w:proofErr w:type="spellEnd"/>
      <w:r w:rsidRPr="00A93075">
        <w:rPr>
          <w:rFonts w:ascii="Times New Roman" w:eastAsia="Times New Roman" w:hAnsi="Times New Roman" w:cs="Times New Roman"/>
          <w:kern w:val="0"/>
          <w:sz w:val="20"/>
          <w:szCs w:val="20"/>
          <w:lang w:val="en-GB"/>
          <w14:ligatures w14:val="none"/>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A93075">
          <w:rPr>
            <w:rFonts w:ascii="Times New Roman" w:eastAsia="Times New Roman" w:hAnsi="Times New Roman" w:cs="Times New Roman"/>
            <w:kern w:val="0"/>
            <w:sz w:val="20"/>
            <w:szCs w:val="20"/>
            <w:lang w:val="en-GB"/>
            <w14:ligatures w14:val="none"/>
          </w:rPr>
          <w:t>strobe</w:t>
        </w:r>
      </w:smartTag>
      <w:r w:rsidRPr="00A93075">
        <w:rPr>
          <w:rFonts w:ascii="Times New Roman" w:eastAsia="Times New Roman" w:hAnsi="Times New Roman" w:cs="Times New Roman"/>
          <w:kern w:val="0"/>
          <w:sz w:val="20"/>
          <w:szCs w:val="20"/>
          <w:lang w:val="en-GB"/>
          <w14:ligatures w14:val="none"/>
        </w:rPr>
        <w:t>-statement.org.</w:t>
      </w:r>
    </w:p>
    <w:p w14:paraId="6A01F133" w14:textId="77777777" w:rsidR="00A93075" w:rsidRPr="00B849D2" w:rsidRDefault="00A93075">
      <w:pPr>
        <w:rPr>
          <w:rFonts w:ascii="Times New Roman" w:hAnsi="Times New Roman" w:cs="Times New Roman"/>
          <w:lang w:val="en-GB"/>
        </w:rPr>
      </w:pPr>
    </w:p>
    <w:p w14:paraId="0137A8BE" w14:textId="0529BCB5" w:rsidR="002F28E2" w:rsidRPr="00B849D2" w:rsidRDefault="00A40A18" w:rsidP="00B241ED">
      <w:pPr>
        <w:rPr>
          <w:rFonts w:ascii="Times New Roman" w:hAnsi="Times New Roman" w:cs="Times New Roman"/>
          <w:b/>
          <w:bCs/>
        </w:rPr>
      </w:pPr>
      <w:r w:rsidRPr="00B849D2">
        <w:rPr>
          <w:rFonts w:ascii="Times New Roman" w:hAnsi="Times New Roman" w:cs="Times New Roman"/>
          <w:b/>
          <w:bCs/>
        </w:rPr>
        <w:t>Supplementary material Table 2-</w:t>
      </w:r>
      <w:r w:rsidR="00AB19BD" w:rsidRPr="00B849D2">
        <w:rPr>
          <w:rFonts w:ascii="Times New Roman" w:hAnsi="Times New Roman" w:cs="Times New Roman"/>
          <w:b/>
          <w:bCs/>
        </w:rPr>
        <w:t xml:space="preserve">Subgroup analysis by sex, age and indication for use </w:t>
      </w:r>
    </w:p>
    <w:tbl>
      <w:tblPr>
        <w:tblW w:w="5000" w:type="pct"/>
        <w:tblLook w:val="04A0" w:firstRow="1" w:lastRow="0" w:firstColumn="1" w:lastColumn="0" w:noHBand="0" w:noVBand="1"/>
      </w:tblPr>
      <w:tblGrid>
        <w:gridCol w:w="695"/>
        <w:gridCol w:w="603"/>
        <w:gridCol w:w="866"/>
        <w:gridCol w:w="748"/>
        <w:gridCol w:w="732"/>
        <w:gridCol w:w="727"/>
        <w:gridCol w:w="769"/>
        <w:gridCol w:w="769"/>
        <w:gridCol w:w="775"/>
        <w:gridCol w:w="775"/>
        <w:gridCol w:w="1063"/>
        <w:gridCol w:w="1122"/>
        <w:gridCol w:w="549"/>
        <w:gridCol w:w="597"/>
      </w:tblGrid>
      <w:tr w:rsidR="00B241ED" w:rsidRPr="00B849D2" w14:paraId="14EE93F0" w14:textId="77777777" w:rsidTr="0006474D">
        <w:trPr>
          <w:trHeight w:val="580"/>
        </w:trPr>
        <w:tc>
          <w:tcPr>
            <w:tcW w:w="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4DAC3" w14:textId="3A096072"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 xml:space="preserve">Subgroup </w:t>
            </w: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99231C"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Stratum</w:t>
            </w: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4D2D2"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ADR</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78A07A"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Comparator</w:t>
            </w:r>
          </w:p>
        </w:tc>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12829"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Comparator total (</w:t>
            </w:r>
            <w:proofErr w:type="spellStart"/>
            <w:r w:rsidRPr="00B849D2">
              <w:rPr>
                <w:rFonts w:ascii="Times New Roman" w:eastAsia="Times New Roman" w:hAnsi="Times New Roman" w:cs="Times New Roman"/>
                <w:b/>
                <w:bCs/>
                <w:color w:val="000000" w:themeColor="text1"/>
                <w:kern w:val="0"/>
                <w:sz w:val="18"/>
                <w:szCs w:val="18"/>
                <w14:ligatures w14:val="none"/>
              </w:rPr>
              <w:t>a+b</w:t>
            </w:r>
            <w:proofErr w:type="spellEnd"/>
            <w:r w:rsidRPr="00B849D2">
              <w:rPr>
                <w:rFonts w:ascii="Times New Roman" w:eastAsia="Times New Roman" w:hAnsi="Times New Roman" w:cs="Times New Roman"/>
                <w:b/>
                <w:bCs/>
                <w:color w:val="000000" w:themeColor="text1"/>
                <w:kern w:val="0"/>
                <w:sz w:val="18"/>
                <w:szCs w:val="18"/>
                <w14:ligatures w14:val="none"/>
              </w:rPr>
              <w:t>)</w:t>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E7D71"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Semaglutide total (</w:t>
            </w:r>
            <w:proofErr w:type="spellStart"/>
            <w:r w:rsidRPr="00B849D2">
              <w:rPr>
                <w:rFonts w:ascii="Times New Roman" w:eastAsia="Times New Roman" w:hAnsi="Times New Roman" w:cs="Times New Roman"/>
                <w:b/>
                <w:bCs/>
                <w:color w:val="000000" w:themeColor="text1"/>
                <w:kern w:val="0"/>
                <w:sz w:val="18"/>
                <w:szCs w:val="18"/>
                <w14:ligatures w14:val="none"/>
              </w:rPr>
              <w:t>c+d</w:t>
            </w:r>
            <w:proofErr w:type="spellEnd"/>
            <w:r w:rsidRPr="00B849D2">
              <w:rPr>
                <w:rFonts w:ascii="Times New Roman" w:eastAsia="Times New Roman" w:hAnsi="Times New Roman" w:cs="Times New Roman"/>
                <w:b/>
                <w:bCs/>
                <w:color w:val="000000" w:themeColor="text1"/>
                <w:kern w:val="0"/>
                <w:sz w:val="18"/>
                <w:szCs w:val="18"/>
                <w14:ligatures w14:val="none"/>
              </w:rPr>
              <w:t>)</w:t>
            </w:r>
          </w:p>
        </w:tc>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F3C01"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a: events (comparator)</w:t>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DD80A"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b: non-events (comparator)</w:t>
            </w:r>
          </w:p>
        </w:tc>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5E422"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c: events (semaglutide)</w:t>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DA06E"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d: non-events (semaglutide)</w:t>
            </w: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058A8"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PRR (95% CI)</w:t>
            </w: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5DD75" w14:textId="77777777"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ROR (95% CI)</w:t>
            </w:r>
          </w:p>
        </w:tc>
        <w:tc>
          <w:tcPr>
            <w:tcW w:w="2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D7C5D" w14:textId="3F54FA0B"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 xml:space="preserve">Fisher P </w:t>
            </w:r>
          </w:p>
        </w:tc>
        <w:tc>
          <w:tcPr>
            <w:tcW w:w="3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8DF62" w14:textId="6855D18D" w:rsidR="002F28E2" w:rsidRPr="00B849D2" w:rsidRDefault="002F28E2" w:rsidP="00B241ED">
            <w:pPr>
              <w:spacing w:after="0" w:line="240" w:lineRule="auto"/>
              <w:jc w:val="center"/>
              <w:rPr>
                <w:rFonts w:ascii="Times New Roman" w:eastAsia="Times New Roman" w:hAnsi="Times New Roman" w:cs="Times New Roman"/>
                <w:b/>
                <w:bCs/>
                <w:color w:val="000000" w:themeColor="text1"/>
                <w:kern w:val="0"/>
                <w:sz w:val="18"/>
                <w:szCs w:val="18"/>
                <w14:ligatures w14:val="none"/>
              </w:rPr>
            </w:pPr>
            <w:r w:rsidRPr="00B849D2">
              <w:rPr>
                <w:rFonts w:ascii="Times New Roman" w:eastAsia="Times New Roman" w:hAnsi="Times New Roman" w:cs="Times New Roman"/>
                <w:b/>
                <w:bCs/>
                <w:color w:val="000000" w:themeColor="text1"/>
                <w:kern w:val="0"/>
                <w:sz w:val="18"/>
                <w:szCs w:val="18"/>
                <w14:ligatures w14:val="none"/>
              </w:rPr>
              <w:t xml:space="preserve">Breslow–Day P </w:t>
            </w:r>
          </w:p>
        </w:tc>
      </w:tr>
      <w:tr w:rsidR="00B241ED" w:rsidRPr="00B849D2" w14:paraId="20E6684F"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FAE0FC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A09B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8096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270A8E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1718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00D7E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0BE87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86F837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914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13B6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572FB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FCDF6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0.70 (0.42–1.19)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B78DA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0.70 (0.41–1.19)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6730C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0.234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AE1E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0.252</w:t>
            </w:r>
          </w:p>
        </w:tc>
      </w:tr>
      <w:tr w:rsidR="00B241ED" w:rsidRPr="00B849D2" w14:paraId="0550506D"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23C67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225115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BB986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376907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34FE7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B6285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A38A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5F39D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DEDA7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14F9E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564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67669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0.44 (0.22–0.85)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7A7BD0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0.42 (0.21–0.84)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90AC7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962D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0.252</w:t>
            </w:r>
          </w:p>
        </w:tc>
      </w:tr>
      <w:tr w:rsidR="00B241ED" w:rsidRPr="00B849D2" w14:paraId="443E523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52A0B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6916D6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C2977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4DCE2D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9A22F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DF3C07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B2B7E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EA6BC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719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D93156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EA960F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2F8EAC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 (0.67–1.78)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25467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1.10 (0.66–1.82)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B195F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0.699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78068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0.031</w:t>
            </w:r>
          </w:p>
        </w:tc>
      </w:tr>
      <w:tr w:rsidR="00B241ED" w:rsidRPr="00B849D2" w14:paraId="3F4EC7A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5E47C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498116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83D6A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673B31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4F8383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191FA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8330E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9BA8B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47480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48402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564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767B8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0.45 (0.23–0.88)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12111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 (0.21–0.87)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C9B198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52DF64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0.031</w:t>
            </w:r>
          </w:p>
        </w:tc>
      </w:tr>
      <w:tr w:rsidR="00B241ED" w:rsidRPr="00B849D2" w14:paraId="073B33D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C4E50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658C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9D1F4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269CD8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28450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555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5EC55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9493D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CF9DB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543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85B4A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13AB7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4AA50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0.68 (0.36–1.28)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4EE531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0.67 (0.35–1.29)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5F62A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0.283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FB895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0.014</w:t>
            </w:r>
          </w:p>
        </w:tc>
      </w:tr>
      <w:tr w:rsidR="00B241ED" w:rsidRPr="00B849D2" w14:paraId="70A3F44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540C5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20EC606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73A3D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005A51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F0C9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7714C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084C2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02591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C4C74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C2EBD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564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818FBA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0.19 (0.08–0.45)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17A85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0.18 (0.08–0.43)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4688D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1207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0.014</w:t>
            </w:r>
          </w:p>
        </w:tc>
      </w:tr>
      <w:tr w:rsidR="00B241ED" w:rsidRPr="00B849D2" w14:paraId="369335C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CDE26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516E276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9EACF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10365B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0606E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8E38D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28AA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02FB0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099FF9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EEF31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95564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0.76 (0.34–1.68)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C0422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0.75 (0.33–1.70)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5A5D66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0.573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1FA1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0.679</w:t>
            </w:r>
          </w:p>
        </w:tc>
      </w:tr>
      <w:tr w:rsidR="00B241ED" w:rsidRPr="00B849D2" w14:paraId="5996A31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88397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7B69DC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72FED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74AEBB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E6196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0DCC2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00D810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11AEF1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53E6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AC47A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564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E9F0E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0.62 (0.33–1.18)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6EBE3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 (0.31–1.19)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27D64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0.166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F9606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0.679</w:t>
            </w:r>
          </w:p>
        </w:tc>
      </w:tr>
      <w:tr w:rsidR="00B241ED" w:rsidRPr="00B849D2" w14:paraId="24BB0C1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2FB033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72B743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BADFBE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5CA4D8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B0916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6B69A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64E08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AA73C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872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C25B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7498A7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1,129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B52B9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 (0.64–1.19)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F9D604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0.87 (0.62–1.21)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384433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0.452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413554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0.272</w:t>
            </w:r>
          </w:p>
        </w:tc>
      </w:tr>
      <w:tr w:rsidR="00B241ED" w:rsidRPr="00B849D2" w14:paraId="641B7FC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6CA8D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1394806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30FCF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508CF6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DA5D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63FFEC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01D4D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F3670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6746B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B5388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EBB342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0.55 (0.25–1.19)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ECC27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 (0.24–1.19)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924FA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0.152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A62D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0.272</w:t>
            </w:r>
          </w:p>
        </w:tc>
      </w:tr>
      <w:tr w:rsidR="00B241ED" w:rsidRPr="00B849D2" w14:paraId="1426E58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E01BB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7A5F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8A6AB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D0FD1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2E626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666D6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E80B9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B547C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699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3378C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8ADAD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1,129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9D3E8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 (0.57–1.13)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19D3C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0.79 (0.55–1.14)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826BC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0.240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0C69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0.942</w:t>
            </w:r>
          </w:p>
        </w:tc>
      </w:tr>
      <w:tr w:rsidR="00B241ED" w:rsidRPr="00B849D2" w14:paraId="3EEA8CE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33F27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18E6EE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E5A02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0E2902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65F43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FAE86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55E81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5964AF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C5DE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E99A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2E189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0.78 (0.39–1.54)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160A7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0.77 (0.38–1.56)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407DC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B4609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0.942</w:t>
            </w:r>
          </w:p>
        </w:tc>
      </w:tr>
      <w:tr w:rsidR="00B241ED" w:rsidRPr="00B849D2" w14:paraId="1EFB60EB"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72C19B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01E24F6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20BF8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0059A1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98BD6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555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4A1E36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19E29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BA324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541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CB544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106D77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1,129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E8394E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 (0.19–0.57)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8F4BB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0.31 (0.18–0.55)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FD5D6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98499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0.903</w:t>
            </w:r>
          </w:p>
        </w:tc>
      </w:tr>
      <w:tr w:rsidR="00B241ED" w:rsidRPr="00B849D2" w14:paraId="74C932D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CC1E7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25E266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98B46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F0F57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AAC1DF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8079A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6CB6C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51491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262E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0D7D5F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33757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0.30 (0.13–0.72)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D1BA7F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0.29 (0.12–0.71)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9069E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E00EE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0.903</w:t>
            </w:r>
          </w:p>
        </w:tc>
      </w:tr>
      <w:tr w:rsidR="00B241ED" w:rsidRPr="00B849D2" w14:paraId="3220B24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5B0DD6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4D2B0E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7C66A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1DD70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72135D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01C12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FF195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02EF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5B86F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FA839D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1,129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3BEDA2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 (0.21–0.79)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BC49C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0.39 (0.19–0.77)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0AE34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61797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0.858</w:t>
            </w:r>
          </w:p>
        </w:tc>
      </w:tr>
      <w:tr w:rsidR="00B241ED" w:rsidRPr="00B849D2" w14:paraId="024D24F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B6385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240D7B0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43467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596D8B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A90D3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10D52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CE79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50FB4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9A9B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585B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CB8F9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0.35 (0.13–1.00)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F359E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0.34 (0.12–0.99)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70836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0.045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220C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0.858</w:t>
            </w:r>
          </w:p>
        </w:tc>
      </w:tr>
      <w:tr w:rsidR="00B241ED" w:rsidRPr="00B849D2" w14:paraId="10655B6D"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48EC7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549121C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EC9E6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28E25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24B25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ED1E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EB0F6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5F9B7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912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80626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F0890D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6A9C8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(0.60–1.78)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A7E818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(0.60–1.81)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23C62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1901AE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0.146</w:t>
            </w:r>
          </w:p>
        </w:tc>
      </w:tr>
      <w:tr w:rsidR="00B241ED" w:rsidRPr="00B849D2" w14:paraId="4A87C9C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B7124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5EA3D7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E9BDC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C58ED1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8CD5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7F07E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03532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3EED6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C99A6C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D9EE9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47AF2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1.78 (1.06–2.98)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BA77B1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1.85 (1.07–3.21)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329BD1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0.038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478A0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0.146</w:t>
            </w:r>
          </w:p>
        </w:tc>
      </w:tr>
      <w:tr w:rsidR="00B241ED" w:rsidRPr="00B849D2" w14:paraId="1EFBCF9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6547B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021213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A8790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DCCF0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2354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863E4C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B4D11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697FF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728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039D8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6461C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AC61C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0.96 (0.53–1.74)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D308E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0.96 (0.52–1.76)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AC462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F834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0.911</w:t>
            </w:r>
          </w:p>
        </w:tc>
      </w:tr>
      <w:tr w:rsidR="00B241ED" w:rsidRPr="00B849D2" w14:paraId="084CB94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D575DF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5BBCE0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80E3B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51F58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E8C9A6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30C66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DBEFA4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294A4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B8418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5ABFA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1BF90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0.92 (0.48–1.74)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D100A8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 (0.47–1.79)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B6FCE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0.867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55DE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0.911</w:t>
            </w:r>
          </w:p>
        </w:tc>
      </w:tr>
      <w:tr w:rsidR="00B241ED" w:rsidRPr="00B849D2" w14:paraId="366FA6EB"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26C29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0A7E8F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44D0A4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A8FBC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73F0AA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555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8884E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03730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05629D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537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48EF8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BD719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5FC0F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1.37 (0.77–2.44)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1F2A8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1.38 (0.76–2.51)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528E7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D587A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0.124</w:t>
            </w:r>
          </w:p>
        </w:tc>
      </w:tr>
      <w:tr w:rsidR="00B241ED" w:rsidRPr="00B849D2" w14:paraId="650988E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46345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1F65D9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1440E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ADDE1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D20AE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9C454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BE57F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48EF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F169F7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1F145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FFC21A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0.70 (0.37–1.32)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6A370C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0.69 (0.36–1.33)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72AB1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BEA42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0.124</w:t>
            </w:r>
          </w:p>
        </w:tc>
      </w:tr>
      <w:tr w:rsidR="00B241ED" w:rsidRPr="00B849D2" w14:paraId="43BACEE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9D6BF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7E7D24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20093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B2FA7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E49FD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99642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2A31F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7003A1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EC0D0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6118A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9ED10B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1.90 (1.00–3.60)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6A8336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1.94 (1.00–3.78)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DC98D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0.070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417F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0.287</w:t>
            </w:r>
          </w:p>
        </w:tc>
      </w:tr>
      <w:tr w:rsidR="00B241ED" w:rsidRPr="00B849D2" w14:paraId="1285D3A7"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09F5C6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2CA91DB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EE582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5CA13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44D7A6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B5EE83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30045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C875F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07318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A9249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9169D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1.15 (0.61–2.19)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39E8B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1.16 (0.59–2.28)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45CEA4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0.724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9587C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0.287</w:t>
            </w:r>
          </w:p>
        </w:tc>
      </w:tr>
      <w:tr w:rsidR="00B241ED" w:rsidRPr="00B849D2" w14:paraId="018645F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3156D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581CA4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DE037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DC45B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0EAFF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259B5C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9FAE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473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6F512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2CA1E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EF696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4F3AB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(0.92–1.08)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30D0A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0.99 (0.84–1.18)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64B1D8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0.965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AB8E0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0.634</w:t>
            </w:r>
          </w:p>
        </w:tc>
      </w:tr>
      <w:tr w:rsidR="00B241ED" w:rsidRPr="00B849D2" w14:paraId="6659431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735AC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011D15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BE3D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445684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5BF26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2905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DD57D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3817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CE8B6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6A7E6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24B823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(0.91–1.17)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5CFD3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1.07 (0.82–1.41)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0E9D77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0.627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5FC97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0.634</w:t>
            </w:r>
          </w:p>
        </w:tc>
      </w:tr>
      <w:tr w:rsidR="00B241ED" w:rsidRPr="00B849D2" w14:paraId="10F2651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96F62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1119C6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4F19E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46638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09ED7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8B9B7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7C353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B7090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86C9D8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9E38D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9A6D2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0.98 (0.89–1.07)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FF04E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0.96 (0.80–1.15)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106C91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5C6D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0.770</w:t>
            </w:r>
          </w:p>
        </w:tc>
      </w:tr>
      <w:tr w:rsidR="00B241ED" w:rsidRPr="00B849D2" w14:paraId="59BC3C4D"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E1CA8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6C82AA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BD718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5CE29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0FC17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47E3C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9DF7E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DFF1B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EBFE7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3303D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CB4DE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(0.88–1.14)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1C5BD8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(0.76–1.32)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A051BB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0436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0.770</w:t>
            </w:r>
          </w:p>
        </w:tc>
      </w:tr>
      <w:tr w:rsidR="00B241ED" w:rsidRPr="00B849D2" w14:paraId="5852D94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56228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41C2DC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B8DC5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8DD37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AAF2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555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E38271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40F8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6966B1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97A3F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B7A9E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A1A28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(0.93–1.13)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89F2A7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1.05 (0.86–1.29)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D2BD7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0.645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5F0F7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0.730</w:t>
            </w:r>
          </w:p>
        </w:tc>
      </w:tr>
      <w:tr w:rsidR="00B241ED" w:rsidRPr="00B849D2" w14:paraId="71C52B9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D65C64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4474F4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5DE4A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BED7C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0DBA2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4FE39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7EDB04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490C8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63B4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92024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12B555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(0.89–1.12)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674C9D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(0.78–1.27)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96EEB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F5458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0.730</w:t>
            </w:r>
          </w:p>
        </w:tc>
      </w:tr>
      <w:tr w:rsidR="00B241ED" w:rsidRPr="00B849D2" w14:paraId="2464A44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42574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1BF250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A0CD2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8F2D0C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63F7EC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CEFDC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8F79BD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E2347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A89270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AAA27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CC9C14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(0.92–1.18)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307A9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 (0.84–1.41)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7FEEA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0.514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7E7BE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0.500</w:t>
            </w:r>
          </w:p>
        </w:tc>
      </w:tr>
      <w:tr w:rsidR="00B241ED" w:rsidRPr="00B849D2" w14:paraId="62F57E7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3FE79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14890C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8A051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95128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97E12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A7B3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0ADA7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10063C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70151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8A8B3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B0281D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0.98 (0.85–1.13)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A3AF3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0.95 (0.71–1.28)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2A45D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98E7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0.500</w:t>
            </w:r>
          </w:p>
        </w:tc>
      </w:tr>
      <w:tr w:rsidR="00B241ED" w:rsidRPr="00B849D2" w14:paraId="7F3D6DAF"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F0103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64DE0A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53434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ECBC0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99EB0C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F0C7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B11AB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355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FFD40E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580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B05C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5D782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7C539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1.06 (0.94–1.18)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44A001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 (0.91–1.30)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5F187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0.345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D9FF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0.789</w:t>
            </w:r>
          </w:p>
        </w:tc>
      </w:tr>
      <w:tr w:rsidR="00B241ED" w:rsidRPr="00B849D2" w14:paraId="28C489FD"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2A5D3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5EA80D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00F9B2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1C0B6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92862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D4BCE4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034BFE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2B1BE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7E820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F3AAC4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8F034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(0.84–1.26)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21BE7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(0.77–1.40)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39B45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0.821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6B7EB2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0.789</w:t>
            </w:r>
          </w:p>
        </w:tc>
      </w:tr>
      <w:tr w:rsidR="00B241ED" w:rsidRPr="00B849D2" w14:paraId="73E1115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6EE74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54F602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CC993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C23006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5D336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2DF9AF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74963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568E7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47A59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4C1E88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E01291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1.07 (0.95–1.20)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D91AF0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 (0.92–1.34)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8F51D7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0.290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E789B0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0.437</w:t>
            </w:r>
          </w:p>
        </w:tc>
      </w:tr>
      <w:tr w:rsidR="00B241ED" w:rsidRPr="00B849D2" w14:paraId="5366DA2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C6446A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4DF71F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C89F3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530F2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479D5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104BE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E1005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7B8F2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D3E3C0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792B2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1D071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 (0.97–1.43)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49EF0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1.27 (0.95–1.70)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0767C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0.115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8633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0.437</w:t>
            </w:r>
          </w:p>
        </w:tc>
      </w:tr>
      <w:tr w:rsidR="00B241ED" w:rsidRPr="00B849D2" w14:paraId="5E8B9B4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BCB23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2B1B7E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8DB017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4D316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1428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555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D4FD54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B6DF7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A883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333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FBDE5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3111BD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2662B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 (0.98–1.26)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4ADF4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 (0.97–1.46)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08077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0.112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B76FB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0.082</w:t>
            </w:r>
          </w:p>
        </w:tc>
      </w:tr>
      <w:tr w:rsidR="00B241ED" w:rsidRPr="00B849D2" w14:paraId="5FA36E8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CD047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4D533A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CF1CA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2ED127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BE996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B35F2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F9AD1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167A0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F7F07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75216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3482B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1.35 (1.14–1.59)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2B777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1.59 (1.23–2.06)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3808B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580F7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0.082</w:t>
            </w:r>
          </w:p>
        </w:tc>
      </w:tr>
      <w:tr w:rsidR="00B241ED" w:rsidRPr="00B849D2" w14:paraId="3FBBA4D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BD3C4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262CEA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Female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43E5E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7C674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5DD6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1F91C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CD667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850E2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22134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D74B8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478CA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(0.87–1.22)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8FEE3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1.05 (0.80–1.36)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57711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0.734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3F02B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0.259</w:t>
            </w:r>
          </w:p>
        </w:tc>
      </w:tr>
      <w:tr w:rsidR="00B241ED" w:rsidRPr="00B849D2" w14:paraId="603C83B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CAF85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Sex</w:t>
            </w:r>
          </w:p>
        </w:tc>
        <w:tc>
          <w:tcPr>
            <w:tcW w:w="344" w:type="pct"/>
            <w:tcBorders>
              <w:top w:val="single" w:sz="4" w:space="0" w:color="auto"/>
              <w:left w:val="single" w:sz="4" w:space="0" w:color="auto"/>
              <w:bottom w:val="single" w:sz="4" w:space="0" w:color="auto"/>
              <w:right w:val="single" w:sz="4" w:space="0" w:color="auto"/>
            </w:tcBorders>
            <w:vAlign w:val="center"/>
            <w:hideMark/>
          </w:tcPr>
          <w:p w14:paraId="14A9FE3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Male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889A4E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387D2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9566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A8DEC4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1AE1A7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F3A03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F9E54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81EAE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C1608C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1.21 (0.98–1.48)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45A8B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1.32 (0.97–1.81)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0A037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6D2B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0.259</w:t>
            </w:r>
          </w:p>
        </w:tc>
      </w:tr>
      <w:tr w:rsidR="00B241ED" w:rsidRPr="00B849D2" w14:paraId="236D4D8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C94D2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45F30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2E2518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0F5D4C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94703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44BA6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5521F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A8AEC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EAE84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82699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BD229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1.59 (0.62–4.06)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892F4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1.61 (0.62–4.19)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8C360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0.351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4AD2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0.080</w:t>
            </w:r>
          </w:p>
        </w:tc>
      </w:tr>
      <w:tr w:rsidR="00B241ED" w:rsidRPr="00B849D2" w14:paraId="7E1FEC4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3441D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736CD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6C70FE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45D27C0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6EBEC6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3DA2F6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45924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AC942A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0E7C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D2A0D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F7037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0.53 (0.24–1.17)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F2092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0.52 (0.23–1.17)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F8E8A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0.136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6920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0.080</w:t>
            </w:r>
          </w:p>
        </w:tc>
      </w:tr>
      <w:tr w:rsidR="00B241ED" w:rsidRPr="00B849D2" w14:paraId="3DF944CF"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9B90A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AC785C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3634C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637BA3D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49764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24B4F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E2FBC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868430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2DF348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EE53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D03E5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0.44 (0.19–1.00)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98181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 (0.17–0.99)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85AE84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28EDE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0.080</w:t>
            </w:r>
          </w:p>
        </w:tc>
      </w:tr>
      <w:tr w:rsidR="00B241ED" w:rsidRPr="00B849D2" w14:paraId="2B45B52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ED1A1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B24F6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041A71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05776D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1C025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37D2F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495FE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947C8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1EE208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761E72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1ECB6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1.71 (0.63–4.65)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13194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1.73 (0.62–4.82)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61D07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2AABDF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0.027</w:t>
            </w:r>
          </w:p>
        </w:tc>
      </w:tr>
      <w:tr w:rsidR="00B241ED" w:rsidRPr="00B849D2" w14:paraId="7F65A4F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C432A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7B5E3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07D645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423D85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3946A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958DCC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11B4D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F71A95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354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67945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5604E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AB26A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1.05 (0.54–2.05)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9B3B8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1.05 (0.53–2.10)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EB079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0.861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2076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0.027</w:t>
            </w:r>
          </w:p>
        </w:tc>
      </w:tr>
      <w:tr w:rsidR="00B241ED" w:rsidRPr="00B849D2" w14:paraId="036D7FF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97622D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422A7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0085C78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27431E3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4EAFD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61DFE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7ADF0A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6F5EF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ED96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CA2A9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744A48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0.40 (0.20–0.80)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F683D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0.37 (0.18–0.78)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D1530C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0FD60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0.027</w:t>
            </w:r>
          </w:p>
        </w:tc>
      </w:tr>
      <w:tr w:rsidR="00B241ED" w:rsidRPr="00B849D2" w14:paraId="65D2879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AD263B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44961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5E2A0C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0E2896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11B4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049B0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617B33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6437F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67889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93B8C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C9A6AD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0.87 (0.11–6.93)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B02896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0.86 (0.10–7.13)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B5E54E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CEC71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0.049</w:t>
            </w:r>
          </w:p>
        </w:tc>
      </w:tr>
      <w:tr w:rsidR="00B241ED" w:rsidRPr="00B849D2" w14:paraId="358D91F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8A8821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93D5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697414E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2551DE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0CBB14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15DE74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7EAF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914A6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84BF3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4B8F5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6B966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0.64 (0.30–1.37)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19FFC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0.63 (0.29–1.38)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1B6D18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0.273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9058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0.049</w:t>
            </w:r>
          </w:p>
        </w:tc>
      </w:tr>
      <w:tr w:rsidR="00B241ED" w:rsidRPr="00B849D2" w14:paraId="0B21479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3252B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3F699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766594B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32062E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22C39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59CA2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50515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F21067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1023C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DEA27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B03BD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0.16 (0.06–0.44)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99A0A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0.15 (0.05–0.41)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58D30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49A36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0.049</w:t>
            </w:r>
          </w:p>
        </w:tc>
      </w:tr>
      <w:tr w:rsidR="00B241ED" w:rsidRPr="00B849D2" w14:paraId="6530AE2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6C53B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78CA6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59EB3CC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3087E1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7E4EC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440F5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1FF1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382C0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24DDD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35F7C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149CC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 </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74849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 </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B2C98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8D597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0.215</w:t>
            </w:r>
          </w:p>
        </w:tc>
      </w:tr>
      <w:tr w:rsidR="00B241ED" w:rsidRPr="00B849D2" w14:paraId="40BD5A7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7956A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A1AFF6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58C51B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1CCC9F6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10BD9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E96A9D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4FECD4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155E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4DDFCC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337F1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44441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0.16 (0.02–1.16)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996968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0.15 (0.02–1.14)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118BB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0.041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CE24D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0.215</w:t>
            </w:r>
          </w:p>
        </w:tc>
      </w:tr>
      <w:tr w:rsidR="00B241ED" w:rsidRPr="00B849D2" w14:paraId="1E96694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B4393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A7D24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DDE0A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6A3384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5714F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711E3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44D7B2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B7B2C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F78BB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B91B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96D78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0.84 (0.47–1.49)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7B749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0.82 (0.44–1.55)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D94A3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0.641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4545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0.215</w:t>
            </w:r>
          </w:p>
        </w:tc>
      </w:tr>
      <w:tr w:rsidR="00B241ED" w:rsidRPr="00B849D2" w14:paraId="66255BA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B50DC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82308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33125D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295003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93738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682F28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89F71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7CD30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5BD8F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42D7BD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FF4CF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0.96 (0.63–1.47)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DB73D4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0.96 (0.60–1.53)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9B678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832F6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0.885</w:t>
            </w:r>
          </w:p>
        </w:tc>
      </w:tr>
      <w:tr w:rsidR="00B241ED" w:rsidRPr="00B849D2" w14:paraId="767F841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2396F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0759CE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2B11AC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01F0E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28064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29181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31843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F48B7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49800B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65F6E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645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625BD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 (0.47–1.38)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0E9DB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0.79 (0.45–1.40)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6A703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0465D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0.885</w:t>
            </w:r>
          </w:p>
        </w:tc>
      </w:tr>
      <w:tr w:rsidR="00B241ED" w:rsidRPr="00B849D2" w14:paraId="2B1EA04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4FA99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CF00E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507502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33F75AC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62C5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F3DFD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39F6C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BDA9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12AF84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8847A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D5AEE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0.89 (0.30–2.67)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47EE1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0.89 (0.29–2.76)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29083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CFEEED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0.885</w:t>
            </w:r>
          </w:p>
        </w:tc>
      </w:tr>
      <w:tr w:rsidR="00B241ED" w:rsidRPr="00B849D2" w14:paraId="3E98897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0F69C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FE95C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569BF9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38CDE8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E6441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71FF0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F61FB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CFD8D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2554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11CD8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ABC2F8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1.15 (0.73–1.80)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077556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 (0.71–1.93)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D1466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29BD0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0.107</w:t>
            </w:r>
          </w:p>
        </w:tc>
      </w:tr>
      <w:tr w:rsidR="00B241ED" w:rsidRPr="00B849D2" w14:paraId="239B7FD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CDDA0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D6AB5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61B01B8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3C1CA3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C575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F33AAC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2C61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DAAFBC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358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8A502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C326F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645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5D9CDC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0.46 (0.23–0.95)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FB86F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0.45 (0.21–0.95)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1ACF9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0.037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F907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0.107</w:t>
            </w:r>
          </w:p>
        </w:tc>
      </w:tr>
      <w:tr w:rsidR="00B241ED" w:rsidRPr="00B849D2" w14:paraId="2350EFF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F83BF1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C4665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9E22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74AC85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858ED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3C595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DFFE0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C5A7F0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6C6E1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6B425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81957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0.82 (0.32–2.09)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F34E8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0.81 (0.31–2.14)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BCB1D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0.813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A30F5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0.107</w:t>
            </w:r>
          </w:p>
        </w:tc>
      </w:tr>
      <w:tr w:rsidR="00B241ED" w:rsidRPr="00B849D2" w14:paraId="48A3B9F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311A9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7A328A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95B1D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577F16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984A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A774A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D7448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108C7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8D241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535AF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791F1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0.16 (0.02–1.11)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4DD9ED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0.14 (0.02–1.06)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5237B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0.030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5889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r>
      <w:tr w:rsidR="00B241ED" w:rsidRPr="00B849D2" w14:paraId="5CDC379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C228E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4BBE7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179C3E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02537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ECC037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3AE1F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9FF77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89EA6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9608C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F197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645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A47DCD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0.23 (0.09–0.57)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1F0F8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0.22 (0.08–0.56)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47D2D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15A36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r>
      <w:tr w:rsidR="00B241ED" w:rsidRPr="00B849D2" w14:paraId="51D244A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74D18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3B400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B74398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54D02C0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1364B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AF5C6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BD26A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08023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EE232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6BEA9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B7F5C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1.23 (0.55–2.72)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00156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1.24 (0.54–2.83)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E686ED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0.668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77014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r>
      <w:tr w:rsidR="00B241ED" w:rsidRPr="00B849D2" w14:paraId="2D5751E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A9FF7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5D3E0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C61AA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9E127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C5793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BC78C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153644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73A9D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EC0FF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D0918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10AC7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 (0.08–1.33)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58A9F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0.31 (0.07–1.31)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20EC1B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0.146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B2960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0.697</w:t>
            </w:r>
          </w:p>
        </w:tc>
      </w:tr>
      <w:tr w:rsidR="00B241ED" w:rsidRPr="00B849D2" w14:paraId="605D1AE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9EEE4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CC8FE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35D35D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08BE78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E0FF3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4FFFD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B9A0ED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03740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2B7AF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BE0AF6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645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5B5F1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 (0.26–1.41)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FFA54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0.59 (0.25–1.42)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17C54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B56E8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0.697</w:t>
            </w:r>
          </w:p>
        </w:tc>
      </w:tr>
      <w:tr w:rsidR="00B241ED" w:rsidRPr="00B849D2" w14:paraId="6E203AB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EDD5B8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D0C4E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C3476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23C0882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C3301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BDDB3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34847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6DE37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60B9F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6E090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01771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0.37 (0.08–1.60)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E59FB0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0.36 (0.08–1.60)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CFF676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0.257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D2E8E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0.697</w:t>
            </w:r>
          </w:p>
        </w:tc>
      </w:tr>
      <w:tr w:rsidR="00B241ED" w:rsidRPr="00B849D2" w14:paraId="76230217"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578BFB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45EBB0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213A9B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074ABF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F5556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CDA3F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BB8D3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C9725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D97C1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1E93C1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BB391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0.87 (0.29–2.56)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2D936E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0.87 (0.29–2.60)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21CC5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4CA76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0.509</w:t>
            </w:r>
          </w:p>
        </w:tc>
      </w:tr>
      <w:tr w:rsidR="00B241ED" w:rsidRPr="00B849D2" w14:paraId="4979B03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81423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79CAB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506D3B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99449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8D87D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45EE7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7EADF9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8918F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348F0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26040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665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190E4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1.81 (0.94–3.47)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E9DEA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1.84 (0.94–3.62)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B3D81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9202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0.509</w:t>
            </w:r>
          </w:p>
        </w:tc>
      </w:tr>
      <w:tr w:rsidR="00B241ED" w:rsidRPr="00B849D2" w14:paraId="1D83563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C6A46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43207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3E676C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0BD8D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2EF63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4BDBC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F72D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AB0D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3D97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CD92A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252EE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1.51 (0.80–2.83)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286F1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1.56 (0.78–3.13)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DDE85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0.248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CA3A8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0.509</w:t>
            </w:r>
          </w:p>
        </w:tc>
      </w:tr>
      <w:tr w:rsidR="00B241ED" w:rsidRPr="00B849D2" w14:paraId="597212A7"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28F6C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34323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21C04D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96EE6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E7FC5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6D9D1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3678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DBBB1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48EEA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9BCF0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05A2C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 (0.09–2.04)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E76AF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0.42 (0.09–2.05)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A4471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0.327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EB0A3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0.436</w:t>
            </w:r>
          </w:p>
        </w:tc>
      </w:tr>
      <w:tr w:rsidR="00B241ED" w:rsidRPr="00B849D2" w14:paraId="1DE5201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84267D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69553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59B342E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D1998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0C276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F5108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2C459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1AD8E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356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3B221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99858F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665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49A294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 (0.60–2.72)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92DE3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 (0.59–2.80)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0740E6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F5869F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0.436</w:t>
            </w:r>
          </w:p>
        </w:tc>
      </w:tr>
      <w:tr w:rsidR="00B241ED" w:rsidRPr="00B849D2" w14:paraId="12C2954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A0BD3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2C3F0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21DC43A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A1BB1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684FC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3C975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2C025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06E813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6035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7E23F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D97B5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0.92 (0.48–1.74)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02BE1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 (0.46–1.81)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E7D7E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0.865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F7411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0.436</w:t>
            </w:r>
          </w:p>
        </w:tc>
      </w:tr>
      <w:tr w:rsidR="00B241ED" w:rsidRPr="00B849D2" w14:paraId="40C5F52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DE5A0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D511B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2B86DF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02A5A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D4B5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253D7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58329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3EE3F6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603154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F5339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6CC0A4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 </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CB27A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 </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617B8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70909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0.958</w:t>
            </w:r>
          </w:p>
        </w:tc>
      </w:tr>
      <w:tr w:rsidR="00B241ED" w:rsidRPr="00B849D2" w14:paraId="5145388B"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55B1D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38C8D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12182D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4A41B2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6B3676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B930D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823F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6C0B0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93262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D0C85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665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45D5C6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0.61 (0.24–1.56)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CAE7B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0.61 (0.24–1.57)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CB5DB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0.377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79F9C8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0.958</w:t>
            </w:r>
          </w:p>
        </w:tc>
      </w:tr>
      <w:tr w:rsidR="00B241ED" w:rsidRPr="00B849D2" w14:paraId="08B518C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79701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27176B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488BE3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9B03D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933DFD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61E34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FE37C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51E4DB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697464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46F2C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807C1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0.57 (0.27–1.20)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C99901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0.56 (0.26–1.20)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A39E0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0.156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95EE6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0.958</w:t>
            </w:r>
          </w:p>
        </w:tc>
      </w:tr>
      <w:tr w:rsidR="00B241ED" w:rsidRPr="00B849D2" w14:paraId="12B77B2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68320E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F91AB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627DD9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104358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9866E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54E26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218553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A8ADB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C23F9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B39C5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25536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 </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A1BDC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 </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9D3DF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022663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0.269</w:t>
            </w:r>
          </w:p>
        </w:tc>
      </w:tr>
      <w:tr w:rsidR="00B241ED" w:rsidRPr="00B849D2" w14:paraId="0BF2419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3FBA1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77205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3C565A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7E63A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661D3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1FD79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43A56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D20E6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225F9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5D71FF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665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8F2A7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 (0.31–2.68)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02289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 (0.30–2.74)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7EF5A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45CEC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0.269</w:t>
            </w:r>
          </w:p>
        </w:tc>
      </w:tr>
      <w:tr w:rsidR="00B241ED" w:rsidRPr="00B849D2" w14:paraId="28E5C9F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7C9E8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7E204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44E5C2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D5D3D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CFCE7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D5B64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2FC7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1FB07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65647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1385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2FB36F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1.91 (1.10–3.30)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A78F0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2.04 (1.11–3.75)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CAD97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0.027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ABB9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0.269</w:t>
            </w:r>
          </w:p>
        </w:tc>
      </w:tr>
      <w:tr w:rsidR="00B241ED" w:rsidRPr="00B849D2" w14:paraId="41A5B85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280BC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FD9C7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10CDC81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1829D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E80F4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39FD6D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600BB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1BC6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58EED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7405E8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B7693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 (0.79–1.03)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F0802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0.81 (0.62–1.07)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156FC7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0.145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205D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0.155</w:t>
            </w:r>
          </w:p>
        </w:tc>
      </w:tr>
      <w:tr w:rsidR="00B241ED" w:rsidRPr="00B849D2" w14:paraId="264774C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D9CB6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FFFB94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2074B6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897E1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5ADF6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DD058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CF21B7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F14FB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2EFF2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A39A48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068BE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1.01 (0.90–1.13)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D5024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1.02 (0.80–1.30)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685234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CA7392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0.155</w:t>
            </w:r>
          </w:p>
        </w:tc>
      </w:tr>
      <w:tr w:rsidR="00B241ED" w:rsidRPr="00B849D2" w14:paraId="46C91CC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E574B8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5F89E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7DF5EF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EE2555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BF1D5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797C3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4403D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F95C4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FAB12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0E8538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BD85A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1.13 (0.94–1.35)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611C3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 (0.86–1.92)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295CA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0.226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78224C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0.155</w:t>
            </w:r>
          </w:p>
        </w:tc>
      </w:tr>
      <w:tr w:rsidR="00B241ED" w:rsidRPr="00B849D2" w14:paraId="5A0CB32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C6243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0D5C7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346392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AEDD8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860C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E981B0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C50A1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C533E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08AB94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4F31C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D8B0C6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 (0.78–1.06)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A68CE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0.83 (0.61–1.12)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1B866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A3ABA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0.505</w:t>
            </w:r>
          </w:p>
        </w:tc>
      </w:tr>
      <w:tr w:rsidR="00B241ED" w:rsidRPr="00B849D2" w14:paraId="3CF39EB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4415A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A4336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0F7EEE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3A349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49D12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CE8EB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EA177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364376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6AD70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6D076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65E01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0.97 (0.86–1.10)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F5E54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0.94 (0.73–1.22)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0EB52A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0.697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ECE57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0.505</w:t>
            </w:r>
          </w:p>
        </w:tc>
      </w:tr>
      <w:tr w:rsidR="00B241ED" w:rsidRPr="00B849D2" w14:paraId="12F7749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91C70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315BEA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74404E8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210A7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F2BA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E07D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C44E7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A6B13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8E935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C8BCD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10087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(0.88–1.22)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C5DF0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1.08 (0.77–1.51)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AE390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0.672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732CD3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0.505</w:t>
            </w:r>
          </w:p>
        </w:tc>
      </w:tr>
      <w:tr w:rsidR="00B241ED" w:rsidRPr="00B849D2" w14:paraId="4B3E361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A3FEA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11C5AF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77DB03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818DE0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D0AB7D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F3B92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B67086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ABA3F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172A9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C9E3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92407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 (0.87–1.35)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6448E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1.21 (0.72–2.02)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F10BAB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0.516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FD78C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0.615</w:t>
            </w:r>
          </w:p>
        </w:tc>
      </w:tr>
      <w:tr w:rsidR="00B241ED" w:rsidRPr="00B849D2" w14:paraId="407DFB5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CAE53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36BF3C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617CAC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6FB6B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46F23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AC72B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5CA9F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96564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CD0E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A34E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DFF72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0.98 (0.88–1.10)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BD1ED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0.97 (0.76–1.23)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F9565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1637B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0.615</w:t>
            </w:r>
          </w:p>
        </w:tc>
      </w:tr>
      <w:tr w:rsidR="00B241ED" w:rsidRPr="00B849D2" w14:paraId="28738BE7"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C20CF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1CD6A6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50780A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82C08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C3C51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11CEE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EB7B8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DEF22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0EE36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835E8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73809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1.07 (0.91–1.25)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BC5DA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1.14 (0.83–1.57)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06876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0.460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290CF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0.615</w:t>
            </w:r>
          </w:p>
        </w:tc>
      </w:tr>
      <w:tr w:rsidR="00B241ED" w:rsidRPr="00B849D2" w14:paraId="7F38E47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3CAF2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BD6A8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05146CD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BA082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7CB53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E41DA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F6E30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14983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C34ED1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78C97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5D513D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1.07 (0.85–1.34)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A683C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1.16 (0.68–1.96)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BEDDE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0.689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F87FE6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0.860</w:t>
            </w:r>
          </w:p>
        </w:tc>
      </w:tr>
      <w:tr w:rsidR="00B241ED" w:rsidRPr="00B849D2" w14:paraId="7EC13E9B"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4A21B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A0D73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111F534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9CB07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FE410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111E5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68E6FB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6050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6EE4E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F52591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5303F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0.99 (0.85–1.15)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70355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0.98 (0.71–1.35)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5EE0F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0.934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8DC19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0.860</w:t>
            </w:r>
          </w:p>
        </w:tc>
      </w:tr>
      <w:tr w:rsidR="00B241ED" w:rsidRPr="00B849D2" w14:paraId="38194C7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68BAD6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78834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4F48F0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C4372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28AA7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C4ABD2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46DDA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BB23C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FD1F0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40A6BD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ED81F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(0.86–1.24)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433B5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1.06 (0.73–1.53)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ECD05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0.778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519D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0.860</w:t>
            </w:r>
          </w:p>
        </w:tc>
      </w:tr>
      <w:tr w:rsidR="00B241ED" w:rsidRPr="00B849D2" w14:paraId="2DBA078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D9700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50CE3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3A71B22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6CBEA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7ECCE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2B932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5C7A43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6F4D6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9E664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6B49A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98ABA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1.14 (0.95–1.37)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A158C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1.23 (0.93–1.63)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7AD3C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BE6BB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0.339</w:t>
            </w:r>
          </w:p>
        </w:tc>
      </w:tr>
      <w:tr w:rsidR="00B241ED" w:rsidRPr="00B849D2" w14:paraId="3F02E1BF"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4C09F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CA6DA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280C30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6B94D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DEC06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BD5F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60A53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52A39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FF5EB2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84B8C7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559764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1.01 (0.86–1.18)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41B0D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1.01 (0.79–1.30)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CD86EC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0.949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1F6F6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0.339</w:t>
            </w:r>
          </w:p>
        </w:tc>
      </w:tr>
      <w:tr w:rsidR="00B241ED" w:rsidRPr="00B849D2" w14:paraId="0BF92DFF"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C9B2F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887CB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2C9FC9C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90CD9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FBD1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3A3D9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FE97E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B995E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5D222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97651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B1B88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0.89 (0.64–1.23)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A6155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 (0.54–1.32)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31CC1F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14916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0.339</w:t>
            </w:r>
          </w:p>
        </w:tc>
      </w:tr>
      <w:tr w:rsidR="00B241ED" w:rsidRPr="00B849D2" w14:paraId="3D3CF7F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16635F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93277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202C44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D5A3F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47D4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0B2605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625F29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8D986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0A5E1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4C8F7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CD413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 (0.89–1.34)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EFB192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1.15 (0.84–1.58)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20139C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41323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0.857</w:t>
            </w:r>
          </w:p>
        </w:tc>
      </w:tr>
      <w:tr w:rsidR="00B241ED" w:rsidRPr="00B849D2" w14:paraId="29E1A1A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700A5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ED16E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638E0E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BD004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638F4C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367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212CE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69A58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A5476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5423EB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96C08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08789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1.10 (0.93–1.29)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ABD71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1.16 (0.89–1.51)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0AFB6C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0.282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0034E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0.857</w:t>
            </w:r>
          </w:p>
        </w:tc>
      </w:tr>
      <w:tr w:rsidR="00B241ED" w:rsidRPr="00B849D2" w14:paraId="4FEDB80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00408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45BB2F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391234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A834D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2F666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785B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F50A9C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48EB5E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1E51A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D3BB0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5E3EF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 (0.94–1.51)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4555F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1.30 (0.91–1.84)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A47D0F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027BF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0.857</w:t>
            </w:r>
          </w:p>
        </w:tc>
      </w:tr>
      <w:tr w:rsidR="00B241ED" w:rsidRPr="00B849D2" w14:paraId="2F5E607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DB8E8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9B7F8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51CA0A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EF780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7FC48A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47B61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C52356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8D862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058E1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CD510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4E689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1.15 (0.83–1.59)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B2DBB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1.25 (0.74–2.11)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487418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3E9E7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0.923</w:t>
            </w:r>
          </w:p>
        </w:tc>
      </w:tr>
      <w:tr w:rsidR="00B241ED" w:rsidRPr="00B849D2" w14:paraId="28EF380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2A667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54D3F5C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628923A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22A366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876F5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6B8CE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C53F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C16AB7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BD04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A727B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4FA6B2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1.20 (1.03–1.40)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5EC66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1.35 (1.05–1.73)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9194F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0.021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AFE4D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0.923</w:t>
            </w:r>
          </w:p>
        </w:tc>
      </w:tr>
      <w:tr w:rsidR="00B241ED" w:rsidRPr="00B849D2" w14:paraId="29D0F60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C4473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691A64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34A0699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9009EF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7DFA8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A589B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443CC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8188F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39F3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72D8E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9CE92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1.26 (1.01–1.58)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4C4AC9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 (1.01–1.99)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81D46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1F4C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0.923</w:t>
            </w:r>
          </w:p>
        </w:tc>
      </w:tr>
      <w:tr w:rsidR="00B241ED" w:rsidRPr="00B849D2" w14:paraId="4E68992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07A9FD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0B52D14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&lt;45</w:t>
            </w:r>
          </w:p>
        </w:tc>
        <w:tc>
          <w:tcPr>
            <w:tcW w:w="344" w:type="pct"/>
            <w:tcBorders>
              <w:top w:val="single" w:sz="4" w:space="0" w:color="auto"/>
              <w:left w:val="single" w:sz="4" w:space="0" w:color="auto"/>
              <w:bottom w:val="single" w:sz="4" w:space="0" w:color="auto"/>
              <w:right w:val="single" w:sz="4" w:space="0" w:color="auto"/>
            </w:tcBorders>
            <w:vAlign w:val="center"/>
            <w:hideMark/>
          </w:tcPr>
          <w:p w14:paraId="03333F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02824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F031A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51864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3C87B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D2388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73CD22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3577B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E16EF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 (0.85–1.63)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0E301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1.30 (0.76–2.21)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FAEBF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EED4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0.249</w:t>
            </w:r>
          </w:p>
        </w:tc>
      </w:tr>
      <w:tr w:rsidR="00B241ED" w:rsidRPr="00B849D2" w14:paraId="1235E29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DC7F44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1AF3782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45–64</w:t>
            </w:r>
          </w:p>
        </w:tc>
        <w:tc>
          <w:tcPr>
            <w:tcW w:w="344" w:type="pct"/>
            <w:tcBorders>
              <w:top w:val="single" w:sz="4" w:space="0" w:color="auto"/>
              <w:left w:val="single" w:sz="4" w:space="0" w:color="auto"/>
              <w:bottom w:val="single" w:sz="4" w:space="0" w:color="auto"/>
              <w:right w:val="single" w:sz="4" w:space="0" w:color="auto"/>
            </w:tcBorders>
            <w:vAlign w:val="center"/>
            <w:hideMark/>
          </w:tcPr>
          <w:p w14:paraId="095620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81C4EC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1074D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046A1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0A0EC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8ADEE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3B558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FEED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4EACD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1.16 (0.95–1.42)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ECD0F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1.27 (0.92–1.77)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BE16C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20E1B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0.249</w:t>
            </w:r>
          </w:p>
        </w:tc>
      </w:tr>
      <w:tr w:rsidR="00B241ED" w:rsidRPr="00B849D2" w14:paraId="1467776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842B91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Age</w:t>
            </w:r>
          </w:p>
        </w:tc>
        <w:tc>
          <w:tcPr>
            <w:tcW w:w="344" w:type="pct"/>
            <w:tcBorders>
              <w:top w:val="single" w:sz="4" w:space="0" w:color="auto"/>
              <w:left w:val="single" w:sz="4" w:space="0" w:color="auto"/>
              <w:bottom w:val="single" w:sz="4" w:space="0" w:color="auto"/>
              <w:right w:val="single" w:sz="4" w:space="0" w:color="auto"/>
            </w:tcBorders>
            <w:vAlign w:val="center"/>
            <w:hideMark/>
          </w:tcPr>
          <w:p w14:paraId="72C443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≥65</w:t>
            </w:r>
          </w:p>
        </w:tc>
        <w:tc>
          <w:tcPr>
            <w:tcW w:w="344" w:type="pct"/>
            <w:tcBorders>
              <w:top w:val="single" w:sz="4" w:space="0" w:color="auto"/>
              <w:left w:val="single" w:sz="4" w:space="0" w:color="auto"/>
              <w:bottom w:val="single" w:sz="4" w:space="0" w:color="auto"/>
              <w:right w:val="single" w:sz="4" w:space="0" w:color="auto"/>
            </w:tcBorders>
            <w:vAlign w:val="center"/>
            <w:hideMark/>
          </w:tcPr>
          <w:p w14:paraId="6E5DBD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D3B75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1F0F4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B9AA4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95B2C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7F8BE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A8B4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F1B1B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DF95E0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 (0.65–1.19)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29801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0.84 (0.55–1.27)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C83A9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0.467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21115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0.249</w:t>
            </w:r>
          </w:p>
        </w:tc>
      </w:tr>
      <w:tr w:rsidR="00B241ED" w:rsidRPr="00B849D2" w14:paraId="5410C48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05CB3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F4C58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0EFD3A7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23B8DF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65FCC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41F3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2FF3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78CE4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333C3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3EA81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67C03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0.34 (0.14–0.85)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EA636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0.31 (0.12–0.82)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98A81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18D48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0.397</w:t>
            </w:r>
          </w:p>
        </w:tc>
      </w:tr>
      <w:tr w:rsidR="00B241ED" w:rsidRPr="00B849D2" w14:paraId="363398D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24F56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8C439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7ADE957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4819491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15638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896FA2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0827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AD4B8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DBF92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95CB9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53C34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0.37 (0.18–0.75)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1A3DD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0.35 (0.16–0.73)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6655C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9A7D21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0.397</w:t>
            </w:r>
          </w:p>
        </w:tc>
      </w:tr>
      <w:tr w:rsidR="00B241ED" w:rsidRPr="00B849D2" w14:paraId="3BB54A1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47BAB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76972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3358FFE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785DC4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04E8A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02D84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50384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98BFB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4F374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C09AB1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9F55F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1.62 (0.16–16.41)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560A2E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1.67 (0.14–20.02)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75584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B8D4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0.397</w:t>
            </w:r>
          </w:p>
        </w:tc>
      </w:tr>
      <w:tr w:rsidR="00B241ED" w:rsidRPr="00B849D2" w14:paraId="4650878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4E73B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25E5689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6CEA62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76C4C2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5540E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4CAEE0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81B6A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EDA1A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03DD5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F2DF52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12363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0.35 (0.16–0.77)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5BCD4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0.32 (0.14–0.74)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8202B4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529F9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0.172</w:t>
            </w:r>
          </w:p>
        </w:tc>
      </w:tr>
      <w:tr w:rsidR="00B241ED" w:rsidRPr="00B849D2" w14:paraId="3A9DBC7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A6C33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41250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0D984A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265C61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10FBB1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3897C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C6CEE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A0E90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BC4136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C28256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B31122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 (0.42–1.51)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49336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0.78 (0.39–1.57)</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E8FFA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491DB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0.172</w:t>
            </w:r>
          </w:p>
        </w:tc>
      </w:tr>
      <w:tr w:rsidR="00B241ED" w:rsidRPr="00B849D2" w14:paraId="30D71E8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05450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D8F60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107808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67D878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A28A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4B4FC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E4A5C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BE52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176C9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51C5F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C8BA0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2.15 (0.12–37.48)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38D08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2.31 (0.09–58.32)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494F01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0CB43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0.172</w:t>
            </w:r>
          </w:p>
        </w:tc>
      </w:tr>
      <w:tr w:rsidR="00B241ED" w:rsidRPr="00B849D2" w14:paraId="65BA68E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7BA5F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F0ADD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4AEAF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7C253D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BBC134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93C67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D54E7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D500E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3B0A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AFDEE3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AA97F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0.34 (0.18–0.64)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39181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0.31 (0.16–0.61)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026BD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9510F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0.307</w:t>
            </w:r>
          </w:p>
        </w:tc>
      </w:tr>
      <w:tr w:rsidR="00B241ED" w:rsidRPr="00B849D2" w14:paraId="4370433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B56E9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10579B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0BEFCF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09F802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724D3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08F0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80BB1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3992C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4AD9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0784D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24526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0.99 (0.07–14.11)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1DDCAC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0.99 (0.05–18.93)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4B9EE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FE3C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0.307</w:t>
            </w:r>
          </w:p>
        </w:tc>
      </w:tr>
      <w:tr w:rsidR="00B241ED" w:rsidRPr="00B849D2" w14:paraId="6CFA7E9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4CF89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68E051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00A9AE9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089C9E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B71743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A85616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9F76E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44CD34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2514E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4371E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195EA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2.15 (0.12–37.48)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F5C7E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2.31 (0.09–58.32)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A7E318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63DD3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0.307</w:t>
            </w:r>
          </w:p>
        </w:tc>
      </w:tr>
      <w:tr w:rsidR="00B241ED" w:rsidRPr="00B849D2" w14:paraId="0A836D2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0D7D7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65BA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00B936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5C7E10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B3D5B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BDF40C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EC43E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9ADD1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C38BA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752137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2C1B7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 (0.25–1.19)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CA348C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0.51 (0.22–1.19)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F2C52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0.141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26A13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0.338</w:t>
            </w:r>
          </w:p>
        </w:tc>
      </w:tr>
      <w:tr w:rsidR="00B241ED" w:rsidRPr="00B849D2" w14:paraId="78ABBFA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EFF86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BCF171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32B61B0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267" w:type="pct"/>
            <w:tcBorders>
              <w:top w:val="single" w:sz="4" w:space="0" w:color="auto"/>
              <w:left w:val="single" w:sz="4" w:space="0" w:color="auto"/>
              <w:bottom w:val="single" w:sz="4" w:space="0" w:color="auto"/>
              <w:right w:val="single" w:sz="4" w:space="0" w:color="auto"/>
            </w:tcBorders>
            <w:vAlign w:val="center"/>
            <w:hideMark/>
          </w:tcPr>
          <w:p w14:paraId="0F37F2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06E38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F6AE90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37B8D2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E243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4403EB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FB23E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4028D0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2.15 (0.12–37.48)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0EA04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2.31 (0.09–58.32)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CCD38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7EDCB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0.338</w:t>
            </w:r>
          </w:p>
        </w:tc>
      </w:tr>
      <w:tr w:rsidR="00B241ED" w:rsidRPr="00B849D2" w14:paraId="0BDEB7F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FE55E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D6A7B6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090C1E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310704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555D3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8B278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1C421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C558F6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96C5A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CCC942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F5C057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0.37 (0.13–1.04)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84A7E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0.35 (0.12–1.02)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CE966A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11489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0.264</w:t>
            </w:r>
          </w:p>
        </w:tc>
      </w:tr>
      <w:tr w:rsidR="00B241ED" w:rsidRPr="00B849D2" w14:paraId="6EB3834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A44894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325322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3A51FA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7608986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2CB7DC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3A658A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FA49C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91852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52000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7CEC8A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2F46D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0.87 (0.59–1.29)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61523B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 (0.54–1.35)</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407F8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0.556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0D60C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0.264</w:t>
            </w:r>
          </w:p>
        </w:tc>
      </w:tr>
      <w:tr w:rsidR="00B241ED" w:rsidRPr="00B849D2" w14:paraId="048AFBD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7BF313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7CD045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5CF4F7F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3CDA3B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B2251D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EA98C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6DBED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3FE1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7B514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8F1DD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1DDE45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0.34 (0.02–5.95)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88E992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0.32 (0.02–6.28)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1955C8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0CB5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0.264</w:t>
            </w:r>
          </w:p>
        </w:tc>
      </w:tr>
      <w:tr w:rsidR="00B241ED" w:rsidRPr="00B849D2" w14:paraId="1F01D8A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2ECE0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3471E1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0FF7A9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2B3D30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57779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380BE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D1F89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DD8A2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ADAAF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299B3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D96D5F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0.74 (0.38–1.48)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E9A6D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0.73 (0.35–1.52)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56861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0.475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0754C6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0.902</w:t>
            </w:r>
          </w:p>
        </w:tc>
      </w:tr>
      <w:tr w:rsidR="00B241ED" w:rsidRPr="00B849D2" w14:paraId="183D64F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4E042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A67C4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09ECD87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5E39861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FD98B3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7BF015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5A4500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BA0324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BB5BE0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6483D0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C5932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0.89 (0.57–1.39)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4E4922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0.87 (0.51–1.48)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FC883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0.687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73D19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0.902</w:t>
            </w:r>
          </w:p>
        </w:tc>
      </w:tr>
      <w:tr w:rsidR="00B241ED" w:rsidRPr="00B849D2" w14:paraId="46123FE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656B4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74C78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5BA73F6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3A39203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C960C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36CD2B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0DBBD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8F238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F5C5D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57AF1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8938A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 (0.08–18.43)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F3307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 (0.05–27.68)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3B9CCD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F423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0.902</w:t>
            </w:r>
          </w:p>
        </w:tc>
      </w:tr>
      <w:tr w:rsidR="00B241ED" w:rsidRPr="00B849D2" w14:paraId="3BD7382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52ADC8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185B36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7E3973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7D1D30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DD90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F11C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E470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FBFD6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82927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53A14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0251B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0.65 (0.36–1.18)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AAE210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0.63 (0.33–1.19)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536DF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529B37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0.910</w:t>
            </w:r>
          </w:p>
        </w:tc>
      </w:tr>
      <w:tr w:rsidR="00B241ED" w:rsidRPr="00B849D2" w14:paraId="2A1C387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A91C1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4C0DD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05F2B9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4BD4A9F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8971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BCA7C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2094D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9EAC6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ED884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36D80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AF132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 (0.04–8.12)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23594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0.53 (0.03–10.04)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C8BB9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75605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0.910</w:t>
            </w:r>
          </w:p>
        </w:tc>
      </w:tr>
      <w:tr w:rsidR="00B241ED" w:rsidRPr="00B849D2" w14:paraId="0233941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7ADFFD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093CF58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02A44A1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73BBD6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825E31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086AD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9B7D29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C15BF5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95A756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E57A40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33B5F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 (0.08–18.43)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7D81A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 (0.05–27.68)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88F2C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79FA2C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0.910</w:t>
            </w:r>
          </w:p>
        </w:tc>
      </w:tr>
      <w:tr w:rsidR="00B241ED" w:rsidRPr="00B849D2" w14:paraId="0C900A5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FC5F9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390AEC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2892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76829CE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BC9EB1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C4D7C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C104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EDF0E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E4EDB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240C9B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A86F4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0.84 (0.39–1.81)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65810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0.83 (0.36–1.90)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B8216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0.839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9A25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0.814</w:t>
            </w:r>
          </w:p>
        </w:tc>
      </w:tr>
      <w:tr w:rsidR="00B241ED" w:rsidRPr="00B849D2" w14:paraId="095162C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CEA1F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0CD86D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65EA67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267" w:type="pct"/>
            <w:tcBorders>
              <w:top w:val="single" w:sz="4" w:space="0" w:color="auto"/>
              <w:left w:val="single" w:sz="4" w:space="0" w:color="auto"/>
              <w:bottom w:val="single" w:sz="4" w:space="0" w:color="auto"/>
              <w:right w:val="single" w:sz="4" w:space="0" w:color="auto"/>
            </w:tcBorders>
            <w:vAlign w:val="center"/>
            <w:hideMark/>
          </w:tcPr>
          <w:p w14:paraId="6CA1E8E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A71D9A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CB720B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6E4E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ACF8F1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7B1247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1D001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3C929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1.19 (0.08–18.43)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75982F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 (0.05–27.68)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0024E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7E8F6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0.814</w:t>
            </w:r>
          </w:p>
        </w:tc>
      </w:tr>
      <w:tr w:rsidR="00B241ED" w:rsidRPr="00B849D2" w14:paraId="021CB0EC"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24825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74CA96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1B0B85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41F26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A0877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1D193C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01E1D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E67D89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0EC04A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97B23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40265F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2.08 (1.16–3.74)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B0FB4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2.26 (1.17–4.36)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49B4C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4DB0A0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0.128</w:t>
            </w:r>
          </w:p>
        </w:tc>
      </w:tr>
      <w:tr w:rsidR="00B241ED" w:rsidRPr="00B849D2" w14:paraId="12DBE81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1BC03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4D7C2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24540A3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718AF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16908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1B43B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60512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C1516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01EA9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34BB8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B011B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0.81 (0.37–1.78)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4959F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 (0.35–1.83)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B07A7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0.678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FA688D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0.128</w:t>
            </w:r>
          </w:p>
        </w:tc>
      </w:tr>
      <w:tr w:rsidR="00B241ED" w:rsidRPr="00B849D2" w14:paraId="6B2B5204"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96266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6EFE9C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38D0B2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95E3F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FC6971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09E8E0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BC03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0D5A47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F141B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15D26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D9A98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3.23 (0.22–48.13)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EE883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3.42 (0.20–58.80)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902E3D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0.420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EEB7D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0.128</w:t>
            </w:r>
          </w:p>
        </w:tc>
      </w:tr>
      <w:tr w:rsidR="00B241ED" w:rsidRPr="00B849D2" w14:paraId="6220F0E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7F662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22078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72B66D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BA373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89629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3CB44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8182E9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2C153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DA158F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1DDDC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769E13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1.13 (0.59–2.16)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3F1579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1.14 (0.56–2.30)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2CBB06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0.720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DE4807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0.410</w:t>
            </w:r>
          </w:p>
        </w:tc>
      </w:tr>
      <w:tr w:rsidR="00B241ED" w:rsidRPr="00B849D2" w14:paraId="2FDFBF9E"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4C5C28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1C57AC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20032E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521B62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954D4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66240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25CF1B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2B182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EEFCD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0AFEFE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89352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0.61 (0.22–1.69)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6BE99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 (0.21–1.72)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917989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0.460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945A53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0.410</w:t>
            </w:r>
          </w:p>
        </w:tc>
      </w:tr>
      <w:tr w:rsidR="00B241ED" w:rsidRPr="00B849D2" w14:paraId="415970B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5C6D0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2732649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4961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13210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B4FF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2C72DD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E36C2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5DA80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6DF6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7A54FB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BEFCCA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3.58 (0.17–74.33)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98B5D8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3.95 (0.13–116.26)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290516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59071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0.410</w:t>
            </w:r>
          </w:p>
        </w:tc>
      </w:tr>
      <w:tr w:rsidR="00B241ED" w:rsidRPr="00B849D2" w14:paraId="5AA0FF3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F4650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67921D7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6B8255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212EF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B83FCC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8627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2B2DB5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2946A1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314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2B724D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70D80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C002A9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0.36 (0.16–0.81)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D6FDA0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0.35 (0.15–0.80)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70BDD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4B3E4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r>
      <w:tr w:rsidR="00B241ED" w:rsidRPr="00B849D2" w14:paraId="172A09B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D6B97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92998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3A1861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47290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2EB2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C7A5A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E94B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D144D2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EDF8A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0E3AE8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9AB47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5.04 (0.85–29.82)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AEBD73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6.38 (0.62–65.68)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4ABD2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0.195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EC719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r>
      <w:tr w:rsidR="00B241ED" w:rsidRPr="00B849D2" w14:paraId="3459654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2C346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86771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1386B12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147D9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C5E89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1BCED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7E774B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57471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F240B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4DDD0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CA45C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3.58 (0.17–74.33)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88BDC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3.95 (0.13–116.26)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88CC1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AFAD8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r>
      <w:tr w:rsidR="00B241ED" w:rsidRPr="00B849D2" w14:paraId="6CA4756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48E816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A06F9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089F70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7B95F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A381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4B8D9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274D0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68148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8C66BB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F1F9E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B155B1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1.50 (0.76–2.96)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D54115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1.56 (0.74–3.29)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D291E6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0.231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D8118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0.588</w:t>
            </w:r>
          </w:p>
        </w:tc>
      </w:tr>
      <w:tr w:rsidR="00B241ED" w:rsidRPr="00B849D2" w14:paraId="76DC6EB7"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C3918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357890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6D4072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5C645D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56618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9E8795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684F89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642AD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70E7FD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24C71A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9B176E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3.58 (0.17–74.33)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82C38B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3.95 (0.13–116.26)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3889D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0C03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0.588</w:t>
            </w:r>
          </w:p>
        </w:tc>
      </w:tr>
      <w:tr w:rsidR="00B241ED" w:rsidRPr="00B849D2" w14:paraId="727DCB0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19060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1AD3492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36A9FC3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23CAA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C62BF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357DD9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CDDE8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8367B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D2E581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5F646F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40D5F0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 (0.63–1.02)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004502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0.67 (0.44–1.01)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08417F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697A4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0.609</w:t>
            </w:r>
          </w:p>
        </w:tc>
      </w:tr>
      <w:tr w:rsidR="00B241ED" w:rsidRPr="00B849D2" w14:paraId="4D2DD069"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EE2EE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2D974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2B5CAE6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D9BF57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325CC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C25E9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56EA7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12A64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26C1F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90B85F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A1DF2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0.75 (0.60–0.94)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9F0C11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0.64 (0.45–0.91)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42BB6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0.012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1498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0.609</w:t>
            </w:r>
          </w:p>
        </w:tc>
      </w:tr>
      <w:tr w:rsidR="00B241ED" w:rsidRPr="00B849D2" w14:paraId="1B3A42EF"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1A12E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F9116D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0C25A4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B3001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BB73C3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F8E995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C9EA7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D90B3D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34FDA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96B3A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1A8389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 (0.23–1.27)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D9007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 (0.09–1.26)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98BAC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0.121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E68F2D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0.609</w:t>
            </w:r>
          </w:p>
        </w:tc>
      </w:tr>
      <w:tr w:rsidR="00B241ED" w:rsidRPr="00B849D2" w14:paraId="35085ADF"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526904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37A02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0AC2D6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F9C0B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07C4F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BF427E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0ABF2B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F8AD42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F9EA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DAA21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2D84DB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0.66 (0.52–0.83)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F2947F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0.49 (0.34–0.72)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DBB49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4FA65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0.139</w:t>
            </w:r>
          </w:p>
        </w:tc>
      </w:tr>
      <w:tr w:rsidR="00B241ED" w:rsidRPr="00B849D2" w14:paraId="6CCF4CF3"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C92E9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B1811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756E19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BD0E9F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ACA47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22D32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AEDD2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59</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0A174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EFE8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ABE2F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D3FB9C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0.85 (0.66–1.09)</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0C70E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0.76 (0.51–1.14)</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F91182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0.222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C57BBE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0.139</w:t>
            </w:r>
          </w:p>
        </w:tc>
      </w:tr>
      <w:tr w:rsidR="00B241ED" w:rsidRPr="00B849D2" w14:paraId="6BEB5D97"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7C7F88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7D96C67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1C4962A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65A98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C8CEBB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53A83A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0D9407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989C6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5A256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FD5DC4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A6F95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0.22 (0.02–2.97)</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5C1CB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0.11 (0.01–2.22)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6B842D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0.094</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5E84D5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0.139</w:t>
            </w:r>
          </w:p>
        </w:tc>
      </w:tr>
      <w:tr w:rsidR="00B241ED" w:rsidRPr="00B849D2" w14:paraId="02084EC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F724E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1F2E434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4CD8E63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803E4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85C48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764C7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0359D2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91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3DAFA6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2C4DF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5D1CAF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5C637E4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0.57 (0.47–0.70)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FEF635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0.40 (0.29–0.56)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4DC4129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60A3E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0.993</w:t>
            </w:r>
          </w:p>
        </w:tc>
      </w:tr>
      <w:tr w:rsidR="00B241ED" w:rsidRPr="00B849D2" w14:paraId="07E6F04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13C2267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1A499F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156DA32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A18BC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F310F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4DFCB0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87D5EF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CB191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33853F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2FB0CC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4259EB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0.59 (0.11–3.24)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24667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0.45 (0.05–4.42)</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2100D6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0.641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CDF26F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0.993</w:t>
            </w:r>
          </w:p>
        </w:tc>
      </w:tr>
      <w:tr w:rsidR="00B241ED" w:rsidRPr="00B849D2" w14:paraId="6652C0F6"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19CBB1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34C35A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4569EF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C11944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971AC6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8EEB72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F4B8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F64FF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0B83A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6B912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501DD6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 (0.12–2.95)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3970A5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0.38 (0.03–4.46)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4746A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0.577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11FA6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0.993</w:t>
            </w:r>
          </w:p>
        </w:tc>
      </w:tr>
      <w:tr w:rsidR="00B241ED" w:rsidRPr="00B849D2" w14:paraId="52EA9E6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FC17D8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0CF873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3263054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BCF48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A239E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39631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3EAC98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142CD0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AC0AFB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D2179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84435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0.71 (0.54–0.93)</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BC981E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0.55 (0.36–0.86)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C88774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A54667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0.760</w:t>
            </w:r>
          </w:p>
        </w:tc>
      </w:tr>
      <w:tr w:rsidR="00B241ED" w:rsidRPr="00B849D2" w14:paraId="5CCB0C1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0DCB5C0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D95B8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03CD552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774926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5B46A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4B1500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158DA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8B3764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7CC638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713BF2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B9A594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 (0.12–2.95)</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B608F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0.38 (0.03–4.46)</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274BC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0.577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36BE20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0.760</w:t>
            </w:r>
          </w:p>
        </w:tc>
      </w:tr>
      <w:tr w:rsidR="00B241ED" w:rsidRPr="00B849D2" w14:paraId="6358E8BA"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49AED1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7686BA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29B7AD3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67D2A3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C956E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91784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62FFB0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9BDD4C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29951C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EE2231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46827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1.01 (0.82–1.24)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AC901A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1.02 (0.68–1.53)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C506F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4CDB9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0.050</w:t>
            </w:r>
          </w:p>
        </w:tc>
      </w:tr>
      <w:tr w:rsidR="00B241ED" w:rsidRPr="00B849D2" w14:paraId="202493B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64E521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53C73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3B3062B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A48C1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42217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273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AF0B5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F6A3D4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9BE734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89</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A58A5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5CB9F7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FB1A68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1.32 (1.14–1.52)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D4E13A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1.97 (1.39–2.80)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755F27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743D3E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0.050</w:t>
            </w:r>
          </w:p>
        </w:tc>
      </w:tr>
      <w:tr w:rsidR="00B241ED" w:rsidRPr="00B849D2" w14:paraId="4103D1C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3642BA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lastRenderedPageBreak/>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38ED382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7F8EED0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29290C3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6C6D45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4CC6A6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11A49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89313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6DEE6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D6005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7CFBEB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1.24 (0.85–1.82)</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7D3809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2.05 (0.49–8.59)</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7F8F71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0.506</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52C569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0.050</w:t>
            </w:r>
          </w:p>
        </w:tc>
      </w:tr>
      <w:tr w:rsidR="00B241ED" w:rsidRPr="00B849D2" w14:paraId="236F3CD5"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A92916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E046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7DF3E36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1068FF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7228E8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3C3049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B9336F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105</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9B0B1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77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A9704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5E982D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F27073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 (1.00–1.40)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74B7C5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1.44 (0.99–2.08)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5EE603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0.061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4EDD77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0.580</w:t>
            </w:r>
          </w:p>
        </w:tc>
      </w:tr>
      <w:tr w:rsidR="00B241ED" w:rsidRPr="00B849D2" w14:paraId="78DC9BE0"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D7D79F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1BDCB1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7925AFB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5D3B2D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580992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8140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697DA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AAA993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57</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DC5CD8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86A33A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D4D04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 (1.08–1.50)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7EB1C8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1.79 (1.20–2.68)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05775C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0.005</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F3329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0.580</w:t>
            </w:r>
          </w:p>
        </w:tc>
      </w:tr>
      <w:tr w:rsidR="00B241ED" w:rsidRPr="00B849D2" w14:paraId="2796A2AB"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4254C95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9BD479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7D70CAD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B22898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702B76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E43405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508137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1E059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6DB70A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B7E41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5A9022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 (0.92–2.20)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FC54AD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4.36 (0.21–89.88)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ED519C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04AFB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0.580</w:t>
            </w:r>
          </w:p>
        </w:tc>
      </w:tr>
      <w:tr w:rsidR="00B241ED" w:rsidRPr="00B849D2" w14:paraId="1BD04FB2"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8EB45B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54DEAE9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7DDD7FC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357C88E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59BFC9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322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C356F4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FA51B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61D439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88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BB7434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09D275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7FB8DB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1.49 (1.31–1.70)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879C15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2.80 (2.01–3.90)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11FBD29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4CBDC5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0.804</w:t>
            </w:r>
          </w:p>
        </w:tc>
      </w:tr>
      <w:tr w:rsidR="00B241ED" w:rsidRPr="00B849D2" w14:paraId="419D9781"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18E169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630557C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Obesity</w:t>
            </w:r>
          </w:p>
        </w:tc>
        <w:tc>
          <w:tcPr>
            <w:tcW w:w="344" w:type="pct"/>
            <w:tcBorders>
              <w:top w:val="single" w:sz="4" w:space="0" w:color="auto"/>
              <w:left w:val="single" w:sz="4" w:space="0" w:color="auto"/>
              <w:bottom w:val="single" w:sz="4" w:space="0" w:color="auto"/>
              <w:right w:val="single" w:sz="4" w:space="0" w:color="auto"/>
            </w:tcBorders>
            <w:vAlign w:val="center"/>
            <w:hideMark/>
          </w:tcPr>
          <w:p w14:paraId="5F062F1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B4A24A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66C1E1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CCA230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1AEADD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550EDE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4CC358A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7D2C350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3FA9F1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1.47 (0.82–2.61)</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0B5F78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2.87 (0.29–27.91)</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3FE56BB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0.623</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F61AFA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0.804</w:t>
            </w:r>
          </w:p>
        </w:tc>
      </w:tr>
      <w:tr w:rsidR="00B241ED" w:rsidRPr="00B849D2" w14:paraId="256152D7"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55C9FBEA"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40D227D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594FF3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6B3666C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112DAC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B5F09EF"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0CFE4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583A5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66BA3C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A76A53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4AE0BD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1.08 (0.47–2.48)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040952E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1.23 (0.10–14.70)</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74BD73C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230F84A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0.804</w:t>
            </w:r>
          </w:p>
        </w:tc>
      </w:tr>
      <w:tr w:rsidR="00B241ED" w:rsidRPr="00B849D2" w14:paraId="665562A8"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21B3B6D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067AC49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Type 2 diabetes</w:t>
            </w:r>
          </w:p>
        </w:tc>
        <w:tc>
          <w:tcPr>
            <w:tcW w:w="344" w:type="pct"/>
            <w:tcBorders>
              <w:top w:val="single" w:sz="4" w:space="0" w:color="auto"/>
              <w:left w:val="single" w:sz="4" w:space="0" w:color="auto"/>
              <w:bottom w:val="single" w:sz="4" w:space="0" w:color="auto"/>
              <w:right w:val="single" w:sz="4" w:space="0" w:color="auto"/>
            </w:tcBorders>
            <w:vAlign w:val="center"/>
            <w:hideMark/>
          </w:tcPr>
          <w:p w14:paraId="2ED528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426C82F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57E8CD9D"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1924ED5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308</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38B2966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57</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3641895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60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B3DF1B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150</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626E0A83"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158</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32961D0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(0.80–1.24)</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43E5774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(0.65–1.53)</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551DCCC9"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73462DB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0.310</w:t>
            </w:r>
          </w:p>
        </w:tc>
      </w:tr>
      <w:tr w:rsidR="00B241ED" w:rsidRPr="00B849D2" w14:paraId="2A7E549D" w14:textId="77777777" w:rsidTr="00B241ED">
        <w:trPr>
          <w:trHeight w:val="290"/>
        </w:trPr>
        <w:tc>
          <w:tcPr>
            <w:tcW w:w="305" w:type="pct"/>
            <w:tcBorders>
              <w:top w:val="single" w:sz="4" w:space="0" w:color="auto"/>
              <w:left w:val="single" w:sz="4" w:space="0" w:color="auto"/>
              <w:bottom w:val="single" w:sz="4" w:space="0" w:color="auto"/>
              <w:right w:val="single" w:sz="4" w:space="0" w:color="auto"/>
            </w:tcBorders>
            <w:vAlign w:val="center"/>
            <w:hideMark/>
          </w:tcPr>
          <w:p w14:paraId="74B6AD7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Indication</w:t>
            </w:r>
          </w:p>
        </w:tc>
        <w:tc>
          <w:tcPr>
            <w:tcW w:w="344" w:type="pct"/>
            <w:tcBorders>
              <w:top w:val="single" w:sz="4" w:space="0" w:color="auto"/>
              <w:left w:val="single" w:sz="4" w:space="0" w:color="auto"/>
              <w:bottom w:val="single" w:sz="4" w:space="0" w:color="auto"/>
              <w:right w:val="single" w:sz="4" w:space="0" w:color="auto"/>
            </w:tcBorders>
            <w:vAlign w:val="center"/>
            <w:hideMark/>
          </w:tcPr>
          <w:p w14:paraId="1F2946F6"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Both</w:t>
            </w:r>
          </w:p>
        </w:tc>
        <w:tc>
          <w:tcPr>
            <w:tcW w:w="344" w:type="pct"/>
            <w:tcBorders>
              <w:top w:val="single" w:sz="4" w:space="0" w:color="auto"/>
              <w:left w:val="single" w:sz="4" w:space="0" w:color="auto"/>
              <w:bottom w:val="single" w:sz="4" w:space="0" w:color="auto"/>
              <w:right w:val="single" w:sz="4" w:space="0" w:color="auto"/>
            </w:tcBorders>
            <w:vAlign w:val="center"/>
            <w:hideMark/>
          </w:tcPr>
          <w:p w14:paraId="0D93FCC0"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267" w:type="pct"/>
            <w:tcBorders>
              <w:top w:val="single" w:sz="4" w:space="0" w:color="auto"/>
              <w:left w:val="single" w:sz="4" w:space="0" w:color="auto"/>
              <w:bottom w:val="single" w:sz="4" w:space="0" w:color="auto"/>
              <w:right w:val="single" w:sz="4" w:space="0" w:color="auto"/>
            </w:tcBorders>
            <w:vAlign w:val="center"/>
            <w:hideMark/>
          </w:tcPr>
          <w:p w14:paraId="0153F9C4"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DA18788"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08D93025"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0F18C237"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3</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43DF6DBE"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6D81E53B"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26</w:t>
            </w:r>
          </w:p>
        </w:tc>
        <w:tc>
          <w:tcPr>
            <w:tcW w:w="420" w:type="pct"/>
            <w:tcBorders>
              <w:top w:val="single" w:sz="4" w:space="0" w:color="auto"/>
              <w:left w:val="single" w:sz="4" w:space="0" w:color="auto"/>
              <w:bottom w:val="single" w:sz="4" w:space="0" w:color="auto"/>
              <w:right w:val="single" w:sz="4" w:space="0" w:color="auto"/>
            </w:tcBorders>
            <w:noWrap/>
            <w:vAlign w:val="center"/>
            <w:hideMark/>
          </w:tcPr>
          <w:p w14:paraId="2B43EA7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16</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6785BB0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1.42 (0.92–2.20)</w:t>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1063F9EC"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4.36 (0.21–89.88)</w:t>
            </w:r>
          </w:p>
        </w:tc>
        <w:tc>
          <w:tcPr>
            <w:tcW w:w="267" w:type="pct"/>
            <w:tcBorders>
              <w:top w:val="single" w:sz="4" w:space="0" w:color="auto"/>
              <w:left w:val="single" w:sz="4" w:space="0" w:color="auto"/>
              <w:bottom w:val="single" w:sz="4" w:space="0" w:color="auto"/>
              <w:right w:val="single" w:sz="4" w:space="0" w:color="auto"/>
            </w:tcBorders>
            <w:noWrap/>
            <w:vAlign w:val="center"/>
            <w:hideMark/>
          </w:tcPr>
          <w:p w14:paraId="66777D11"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0.542</w:t>
            </w:r>
          </w:p>
        </w:tc>
        <w:tc>
          <w:tcPr>
            <w:tcW w:w="382" w:type="pct"/>
            <w:tcBorders>
              <w:top w:val="single" w:sz="4" w:space="0" w:color="auto"/>
              <w:left w:val="single" w:sz="4" w:space="0" w:color="auto"/>
              <w:bottom w:val="single" w:sz="4" w:space="0" w:color="auto"/>
              <w:right w:val="single" w:sz="4" w:space="0" w:color="auto"/>
            </w:tcBorders>
            <w:noWrap/>
            <w:vAlign w:val="center"/>
            <w:hideMark/>
          </w:tcPr>
          <w:p w14:paraId="1105E712" w14:textId="77777777" w:rsidR="002F28E2" w:rsidRPr="00B849D2" w:rsidRDefault="002F28E2" w:rsidP="00B241ED">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0.310</w:t>
            </w:r>
          </w:p>
        </w:tc>
      </w:tr>
    </w:tbl>
    <w:p w14:paraId="789FEC72" w14:textId="77777777" w:rsidR="002F28E2" w:rsidRPr="00B849D2" w:rsidRDefault="002F28E2">
      <w:pPr>
        <w:rPr>
          <w:rFonts w:ascii="Times New Roman" w:hAnsi="Times New Roman" w:cs="Times New Roman"/>
        </w:rPr>
      </w:pPr>
    </w:p>
    <w:p w14:paraId="6230EC2E" w14:textId="7060B5C2" w:rsidR="00A308B2" w:rsidRPr="00B849D2" w:rsidRDefault="00A40A18">
      <w:pPr>
        <w:rPr>
          <w:rFonts w:ascii="Times New Roman" w:hAnsi="Times New Roman" w:cs="Times New Roman"/>
          <w:b/>
          <w:bCs/>
          <w:color w:val="000000" w:themeColor="text1"/>
        </w:rPr>
      </w:pPr>
      <w:r w:rsidRPr="00B849D2">
        <w:rPr>
          <w:rFonts w:ascii="Times New Roman" w:hAnsi="Times New Roman" w:cs="Times New Roman"/>
          <w:b/>
          <w:bCs/>
        </w:rPr>
        <w:t xml:space="preserve">Supplementary material Table 3-Sensitivity analysis </w:t>
      </w:r>
      <w:r w:rsidR="00C836C2" w:rsidRPr="00B849D2">
        <w:rPr>
          <w:rFonts w:ascii="Times New Roman" w:hAnsi="Times New Roman" w:cs="Times New Roman"/>
          <w:b/>
          <w:bCs/>
        </w:rPr>
        <w:t xml:space="preserve">by </w:t>
      </w:r>
      <w:r w:rsidR="00C836C2" w:rsidRPr="00B849D2">
        <w:rPr>
          <w:rFonts w:ascii="Times New Roman" w:hAnsi="Times New Roman" w:cs="Times New Roman"/>
          <w:b/>
          <w:bCs/>
          <w:color w:val="000000" w:themeColor="text1"/>
        </w:rPr>
        <w:t>excluding reports with unknown indication for use and restricting to U.S. reports geographically.</w:t>
      </w:r>
    </w:p>
    <w:tbl>
      <w:tblPr>
        <w:tblW w:w="5000" w:type="pct"/>
        <w:tblLook w:val="04A0" w:firstRow="1" w:lastRow="0" w:firstColumn="1" w:lastColumn="0" w:noHBand="0" w:noVBand="1"/>
      </w:tblPr>
      <w:tblGrid>
        <w:gridCol w:w="1488"/>
        <w:gridCol w:w="1414"/>
        <w:gridCol w:w="896"/>
        <w:gridCol w:w="896"/>
        <w:gridCol w:w="836"/>
        <w:gridCol w:w="897"/>
        <w:gridCol w:w="897"/>
        <w:gridCol w:w="836"/>
        <w:gridCol w:w="897"/>
        <w:gridCol w:w="897"/>
        <w:gridCol w:w="836"/>
      </w:tblGrid>
      <w:tr w:rsidR="000C3AD0" w:rsidRPr="00B849D2" w14:paraId="742AC9BA" w14:textId="77777777" w:rsidTr="00271469">
        <w:trPr>
          <w:trHeight w:val="293"/>
        </w:trPr>
        <w:tc>
          <w:tcPr>
            <w:tcW w:w="425" w:type="pct"/>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hideMark/>
          </w:tcPr>
          <w:p w14:paraId="53003A17"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Outcome</w:t>
            </w:r>
          </w:p>
        </w:tc>
        <w:tc>
          <w:tcPr>
            <w:tcW w:w="566" w:type="pct"/>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4AC156C7"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Comparator (vs semaglutide)</w:t>
            </w:r>
          </w:p>
        </w:tc>
        <w:tc>
          <w:tcPr>
            <w:tcW w:w="1321" w:type="pct"/>
            <w:gridSpan w:val="3"/>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762AE2A3"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Primary analysis</w:t>
            </w:r>
          </w:p>
        </w:tc>
        <w:tc>
          <w:tcPr>
            <w:tcW w:w="1368" w:type="pct"/>
            <w:gridSpan w:val="3"/>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664578F4"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Sensitivity 1: exclude unknown indication</w:t>
            </w:r>
          </w:p>
        </w:tc>
        <w:tc>
          <w:tcPr>
            <w:tcW w:w="1321" w:type="pct"/>
            <w:gridSpan w:val="3"/>
            <w:tcBorders>
              <w:top w:val="single" w:sz="4" w:space="0" w:color="A6A6A6"/>
              <w:left w:val="nil"/>
              <w:bottom w:val="single" w:sz="4" w:space="0" w:color="A6A6A6"/>
              <w:right w:val="single" w:sz="4" w:space="0" w:color="A6A6A6"/>
            </w:tcBorders>
            <w:shd w:val="clear" w:color="auto" w:fill="D9D9D9" w:themeFill="background1" w:themeFillShade="D9"/>
            <w:vAlign w:val="center"/>
            <w:hideMark/>
          </w:tcPr>
          <w:p w14:paraId="123E1EA8"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Sensitivity 2: U.S. reports only</w:t>
            </w:r>
          </w:p>
        </w:tc>
      </w:tr>
      <w:tr w:rsidR="00271469" w:rsidRPr="00B849D2" w14:paraId="1A3B62D6" w14:textId="77777777" w:rsidTr="00271469">
        <w:trPr>
          <w:trHeight w:val="293"/>
        </w:trPr>
        <w:tc>
          <w:tcPr>
            <w:tcW w:w="425" w:type="pct"/>
            <w:tcBorders>
              <w:top w:val="nil"/>
              <w:left w:val="single" w:sz="4" w:space="0" w:color="A6A6A6"/>
              <w:bottom w:val="single" w:sz="4" w:space="0" w:color="A6A6A6"/>
              <w:right w:val="single" w:sz="4" w:space="0" w:color="A6A6A6"/>
            </w:tcBorders>
            <w:shd w:val="clear" w:color="auto" w:fill="D9D9D9" w:themeFill="background1" w:themeFillShade="D9"/>
            <w:vAlign w:val="center"/>
            <w:hideMark/>
          </w:tcPr>
          <w:p w14:paraId="2889D557"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 </w:t>
            </w:r>
          </w:p>
        </w:tc>
        <w:tc>
          <w:tcPr>
            <w:tcW w:w="566" w:type="pct"/>
            <w:tcBorders>
              <w:top w:val="nil"/>
              <w:left w:val="nil"/>
              <w:bottom w:val="single" w:sz="4" w:space="0" w:color="A6A6A6"/>
              <w:right w:val="single" w:sz="4" w:space="0" w:color="A6A6A6"/>
            </w:tcBorders>
            <w:shd w:val="clear" w:color="auto" w:fill="D9D9D9" w:themeFill="background1" w:themeFillShade="D9"/>
            <w:vAlign w:val="center"/>
            <w:hideMark/>
          </w:tcPr>
          <w:p w14:paraId="4ACA2C51"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 </w:t>
            </w:r>
          </w:p>
        </w:tc>
        <w:tc>
          <w:tcPr>
            <w:tcW w:w="519" w:type="pct"/>
            <w:tcBorders>
              <w:top w:val="nil"/>
              <w:left w:val="nil"/>
              <w:bottom w:val="single" w:sz="4" w:space="0" w:color="A6A6A6"/>
              <w:right w:val="single" w:sz="4" w:space="0" w:color="A6A6A6"/>
            </w:tcBorders>
            <w:shd w:val="clear" w:color="auto" w:fill="D9D9D9" w:themeFill="background1" w:themeFillShade="D9"/>
            <w:vAlign w:val="center"/>
            <w:hideMark/>
          </w:tcPr>
          <w:p w14:paraId="491304BB"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PRR (95% CI)</w:t>
            </w:r>
          </w:p>
        </w:tc>
        <w:tc>
          <w:tcPr>
            <w:tcW w:w="519" w:type="pct"/>
            <w:tcBorders>
              <w:top w:val="nil"/>
              <w:left w:val="nil"/>
              <w:bottom w:val="single" w:sz="4" w:space="0" w:color="A6A6A6"/>
              <w:right w:val="single" w:sz="4" w:space="0" w:color="A6A6A6"/>
            </w:tcBorders>
            <w:shd w:val="clear" w:color="auto" w:fill="D9D9D9" w:themeFill="background1" w:themeFillShade="D9"/>
            <w:vAlign w:val="center"/>
            <w:hideMark/>
          </w:tcPr>
          <w:p w14:paraId="79A94396"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ROR (95% CI)</w:t>
            </w:r>
          </w:p>
        </w:tc>
        <w:tc>
          <w:tcPr>
            <w:tcW w:w="283" w:type="pct"/>
            <w:tcBorders>
              <w:top w:val="nil"/>
              <w:left w:val="nil"/>
              <w:bottom w:val="single" w:sz="4" w:space="0" w:color="A6A6A6"/>
              <w:right w:val="single" w:sz="4" w:space="0" w:color="A6A6A6"/>
            </w:tcBorders>
            <w:shd w:val="clear" w:color="auto" w:fill="D9D9D9" w:themeFill="background1" w:themeFillShade="D9"/>
            <w:vAlign w:val="center"/>
            <w:hideMark/>
          </w:tcPr>
          <w:p w14:paraId="6D92C089"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p-value</w:t>
            </w:r>
          </w:p>
        </w:tc>
        <w:tc>
          <w:tcPr>
            <w:tcW w:w="519" w:type="pct"/>
            <w:tcBorders>
              <w:top w:val="nil"/>
              <w:left w:val="nil"/>
              <w:bottom w:val="single" w:sz="4" w:space="0" w:color="A6A6A6"/>
              <w:right w:val="single" w:sz="4" w:space="0" w:color="A6A6A6"/>
            </w:tcBorders>
            <w:shd w:val="clear" w:color="auto" w:fill="D9D9D9" w:themeFill="background1" w:themeFillShade="D9"/>
            <w:vAlign w:val="center"/>
            <w:hideMark/>
          </w:tcPr>
          <w:p w14:paraId="31F1291A"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PRR (95% CI)</w:t>
            </w:r>
          </w:p>
        </w:tc>
        <w:tc>
          <w:tcPr>
            <w:tcW w:w="519" w:type="pct"/>
            <w:tcBorders>
              <w:top w:val="nil"/>
              <w:left w:val="nil"/>
              <w:bottom w:val="single" w:sz="4" w:space="0" w:color="A6A6A6"/>
              <w:right w:val="single" w:sz="4" w:space="0" w:color="A6A6A6"/>
            </w:tcBorders>
            <w:shd w:val="clear" w:color="auto" w:fill="D9D9D9" w:themeFill="background1" w:themeFillShade="D9"/>
            <w:vAlign w:val="center"/>
            <w:hideMark/>
          </w:tcPr>
          <w:p w14:paraId="0BC2A27D"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ROR (95% CI)</w:t>
            </w:r>
          </w:p>
        </w:tc>
        <w:tc>
          <w:tcPr>
            <w:tcW w:w="330" w:type="pct"/>
            <w:tcBorders>
              <w:top w:val="nil"/>
              <w:left w:val="nil"/>
              <w:bottom w:val="single" w:sz="4" w:space="0" w:color="A6A6A6"/>
              <w:right w:val="single" w:sz="4" w:space="0" w:color="A6A6A6"/>
            </w:tcBorders>
            <w:shd w:val="clear" w:color="auto" w:fill="D9D9D9" w:themeFill="background1" w:themeFillShade="D9"/>
            <w:vAlign w:val="center"/>
            <w:hideMark/>
          </w:tcPr>
          <w:p w14:paraId="44E0594C"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p-value</w:t>
            </w:r>
          </w:p>
        </w:tc>
        <w:tc>
          <w:tcPr>
            <w:tcW w:w="519" w:type="pct"/>
            <w:tcBorders>
              <w:top w:val="nil"/>
              <w:left w:val="nil"/>
              <w:bottom w:val="single" w:sz="4" w:space="0" w:color="A6A6A6"/>
              <w:right w:val="single" w:sz="4" w:space="0" w:color="A6A6A6"/>
            </w:tcBorders>
            <w:shd w:val="clear" w:color="auto" w:fill="D9D9D9" w:themeFill="background1" w:themeFillShade="D9"/>
            <w:vAlign w:val="center"/>
            <w:hideMark/>
          </w:tcPr>
          <w:p w14:paraId="6DCE81D0"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PRR (95% CI)</w:t>
            </w:r>
          </w:p>
        </w:tc>
        <w:tc>
          <w:tcPr>
            <w:tcW w:w="519" w:type="pct"/>
            <w:tcBorders>
              <w:top w:val="nil"/>
              <w:left w:val="nil"/>
              <w:bottom w:val="single" w:sz="4" w:space="0" w:color="A6A6A6"/>
              <w:right w:val="single" w:sz="4" w:space="0" w:color="A6A6A6"/>
            </w:tcBorders>
            <w:shd w:val="clear" w:color="auto" w:fill="D9D9D9" w:themeFill="background1" w:themeFillShade="D9"/>
            <w:vAlign w:val="center"/>
            <w:hideMark/>
          </w:tcPr>
          <w:p w14:paraId="2656F429"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ROR (95% CI)</w:t>
            </w:r>
          </w:p>
        </w:tc>
        <w:tc>
          <w:tcPr>
            <w:tcW w:w="283" w:type="pct"/>
            <w:tcBorders>
              <w:top w:val="nil"/>
              <w:left w:val="nil"/>
              <w:bottom w:val="single" w:sz="4" w:space="0" w:color="A6A6A6"/>
              <w:right w:val="single" w:sz="4" w:space="0" w:color="A6A6A6"/>
            </w:tcBorders>
            <w:shd w:val="clear" w:color="auto" w:fill="D9D9D9" w:themeFill="background1" w:themeFillShade="D9"/>
            <w:vAlign w:val="center"/>
            <w:hideMark/>
          </w:tcPr>
          <w:p w14:paraId="70E19C70" w14:textId="77777777" w:rsidR="000C3AD0" w:rsidRPr="00B849D2" w:rsidRDefault="000C3AD0" w:rsidP="000C3AD0">
            <w:pPr>
              <w:spacing w:after="0" w:line="240" w:lineRule="auto"/>
              <w:jc w:val="center"/>
              <w:rPr>
                <w:rFonts w:ascii="Times New Roman" w:eastAsia="Times New Roman" w:hAnsi="Times New Roman" w:cs="Times New Roman"/>
                <w:b/>
                <w:bCs/>
                <w:color w:val="000000" w:themeColor="text1"/>
                <w:kern w:val="0"/>
                <w:sz w:val="22"/>
                <w:szCs w:val="22"/>
                <w14:ligatures w14:val="none"/>
              </w:rPr>
            </w:pPr>
            <w:r w:rsidRPr="00B849D2">
              <w:rPr>
                <w:rFonts w:ascii="Times New Roman" w:eastAsia="Times New Roman" w:hAnsi="Times New Roman" w:cs="Times New Roman"/>
                <w:b/>
                <w:bCs/>
                <w:color w:val="000000" w:themeColor="text1"/>
                <w:kern w:val="0"/>
                <w:sz w:val="22"/>
                <w:szCs w:val="22"/>
                <w14:ligatures w14:val="none"/>
              </w:rPr>
              <w:t>p-value</w:t>
            </w:r>
          </w:p>
        </w:tc>
      </w:tr>
      <w:tr w:rsidR="00271469" w:rsidRPr="00B849D2" w14:paraId="3F1161EF" w14:textId="77777777" w:rsidTr="00271469">
        <w:trPr>
          <w:trHeight w:val="268"/>
        </w:trPr>
        <w:tc>
          <w:tcPr>
            <w:tcW w:w="425" w:type="pct"/>
            <w:tcBorders>
              <w:top w:val="single" w:sz="8" w:space="0" w:color="1F4E79"/>
              <w:left w:val="single" w:sz="4" w:space="0" w:color="A6A6A6"/>
              <w:bottom w:val="single" w:sz="4" w:space="0" w:color="A6A6A6"/>
              <w:right w:val="single" w:sz="4" w:space="0" w:color="A6A6A6"/>
            </w:tcBorders>
            <w:vAlign w:val="center"/>
            <w:hideMark/>
          </w:tcPr>
          <w:p w14:paraId="734B5FD1" w14:textId="77777777" w:rsidR="000C3AD0" w:rsidRPr="00B849D2" w:rsidRDefault="000C3AD0" w:rsidP="000C3AD0">
            <w:pPr>
              <w:spacing w:after="0" w:line="240" w:lineRule="auto"/>
              <w:rPr>
                <w:rFonts w:ascii="Times New Roman" w:eastAsia="Times New Roman" w:hAnsi="Times New Roman" w:cs="Times New Roman"/>
                <w:b/>
                <w:bCs/>
                <w:kern w:val="0"/>
                <w:sz w:val="22"/>
                <w:szCs w:val="22"/>
                <w14:ligatures w14:val="none"/>
              </w:rPr>
            </w:pPr>
            <w:r w:rsidRPr="00B849D2">
              <w:rPr>
                <w:rFonts w:ascii="Times New Roman" w:eastAsia="Times New Roman" w:hAnsi="Times New Roman" w:cs="Times New Roman"/>
                <w:b/>
                <w:bCs/>
                <w:kern w:val="0"/>
                <w:sz w:val="22"/>
                <w:szCs w:val="22"/>
                <w14:ligatures w14:val="none"/>
              </w:rPr>
              <w:t>Bile duct stone</w:t>
            </w:r>
          </w:p>
        </w:tc>
        <w:tc>
          <w:tcPr>
            <w:tcW w:w="566" w:type="pct"/>
            <w:tcBorders>
              <w:top w:val="single" w:sz="8" w:space="0" w:color="1F4E79"/>
              <w:left w:val="nil"/>
              <w:bottom w:val="single" w:sz="4" w:space="0" w:color="A6A6A6"/>
              <w:right w:val="single" w:sz="4" w:space="0" w:color="A6A6A6"/>
            </w:tcBorders>
            <w:vAlign w:val="center"/>
            <w:hideMark/>
          </w:tcPr>
          <w:p w14:paraId="2DA7B7FC"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519" w:type="pct"/>
            <w:tcBorders>
              <w:top w:val="single" w:sz="8" w:space="0" w:color="1F4E79"/>
              <w:left w:val="nil"/>
              <w:bottom w:val="single" w:sz="4" w:space="0" w:color="A6A6A6"/>
              <w:right w:val="single" w:sz="4" w:space="0" w:color="A6A6A6"/>
            </w:tcBorders>
            <w:vAlign w:val="center"/>
            <w:hideMark/>
          </w:tcPr>
          <w:p w14:paraId="1649F71F"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0.59 (0.40–0.86)</w:t>
            </w:r>
          </w:p>
        </w:tc>
        <w:tc>
          <w:tcPr>
            <w:tcW w:w="519" w:type="pct"/>
            <w:tcBorders>
              <w:top w:val="single" w:sz="8" w:space="0" w:color="1F4E79"/>
              <w:left w:val="nil"/>
              <w:bottom w:val="single" w:sz="4" w:space="0" w:color="A6A6A6"/>
              <w:right w:val="single" w:sz="4" w:space="0" w:color="A6A6A6"/>
            </w:tcBorders>
            <w:vAlign w:val="center"/>
            <w:hideMark/>
          </w:tcPr>
          <w:p w14:paraId="2E9A190F"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0.57 (0.38–0.85)</w:t>
            </w:r>
          </w:p>
        </w:tc>
        <w:tc>
          <w:tcPr>
            <w:tcW w:w="283" w:type="pct"/>
            <w:tcBorders>
              <w:top w:val="single" w:sz="8" w:space="0" w:color="1F4E79"/>
              <w:left w:val="nil"/>
              <w:bottom w:val="single" w:sz="4" w:space="0" w:color="A6A6A6"/>
              <w:right w:val="single" w:sz="4" w:space="0" w:color="A6A6A6"/>
            </w:tcBorders>
            <w:vAlign w:val="center"/>
            <w:hideMark/>
          </w:tcPr>
          <w:p w14:paraId="68C0222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0.006</w:t>
            </w:r>
          </w:p>
        </w:tc>
        <w:tc>
          <w:tcPr>
            <w:tcW w:w="519" w:type="pct"/>
            <w:tcBorders>
              <w:top w:val="single" w:sz="8" w:space="0" w:color="1F4E79"/>
              <w:left w:val="nil"/>
              <w:bottom w:val="single" w:sz="4" w:space="0" w:color="A6A6A6"/>
              <w:right w:val="single" w:sz="4" w:space="0" w:color="A6A6A6"/>
            </w:tcBorders>
            <w:vAlign w:val="center"/>
            <w:hideMark/>
          </w:tcPr>
          <w:p w14:paraId="2DEAF38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0.46 (0.28–0.75)</w:t>
            </w:r>
          </w:p>
        </w:tc>
        <w:tc>
          <w:tcPr>
            <w:tcW w:w="519" w:type="pct"/>
            <w:tcBorders>
              <w:top w:val="single" w:sz="8" w:space="0" w:color="1F4E79"/>
              <w:left w:val="nil"/>
              <w:bottom w:val="single" w:sz="4" w:space="0" w:color="A6A6A6"/>
              <w:right w:val="single" w:sz="4" w:space="0" w:color="A6A6A6"/>
            </w:tcBorders>
            <w:vAlign w:val="center"/>
            <w:hideMark/>
          </w:tcPr>
          <w:p w14:paraId="298C84B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 (0.26–0.73)</w:t>
            </w:r>
          </w:p>
        </w:tc>
        <w:tc>
          <w:tcPr>
            <w:tcW w:w="330" w:type="pct"/>
            <w:tcBorders>
              <w:top w:val="single" w:sz="8" w:space="0" w:color="1F4E79"/>
              <w:left w:val="nil"/>
              <w:bottom w:val="single" w:sz="4" w:space="0" w:color="A6A6A6"/>
              <w:right w:val="single" w:sz="4" w:space="0" w:color="A6A6A6"/>
            </w:tcBorders>
            <w:vAlign w:val="center"/>
            <w:hideMark/>
          </w:tcPr>
          <w:p w14:paraId="0ECB323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0.001</w:t>
            </w:r>
          </w:p>
        </w:tc>
        <w:tc>
          <w:tcPr>
            <w:tcW w:w="519" w:type="pct"/>
            <w:tcBorders>
              <w:top w:val="single" w:sz="8" w:space="0" w:color="1F4E79"/>
              <w:left w:val="nil"/>
              <w:bottom w:val="single" w:sz="4" w:space="0" w:color="A6A6A6"/>
              <w:right w:val="single" w:sz="4" w:space="0" w:color="A6A6A6"/>
            </w:tcBorders>
            <w:vAlign w:val="center"/>
            <w:hideMark/>
          </w:tcPr>
          <w:p w14:paraId="2451955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 (0.23–1.25)</w:t>
            </w:r>
          </w:p>
        </w:tc>
        <w:tc>
          <w:tcPr>
            <w:tcW w:w="519" w:type="pct"/>
            <w:tcBorders>
              <w:top w:val="single" w:sz="8" w:space="0" w:color="1F4E79"/>
              <w:left w:val="nil"/>
              <w:bottom w:val="single" w:sz="4" w:space="0" w:color="A6A6A6"/>
              <w:right w:val="single" w:sz="4" w:space="0" w:color="A6A6A6"/>
            </w:tcBorders>
            <w:vAlign w:val="center"/>
            <w:hideMark/>
          </w:tcPr>
          <w:p w14:paraId="68DAD0A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0.53 (0.23–1.26)</w:t>
            </w:r>
          </w:p>
        </w:tc>
        <w:tc>
          <w:tcPr>
            <w:tcW w:w="283" w:type="pct"/>
            <w:tcBorders>
              <w:top w:val="single" w:sz="8" w:space="0" w:color="1F4E79"/>
              <w:left w:val="nil"/>
              <w:bottom w:val="single" w:sz="4" w:space="0" w:color="A6A6A6"/>
              <w:right w:val="single" w:sz="4" w:space="0" w:color="A6A6A6"/>
            </w:tcBorders>
            <w:vAlign w:val="center"/>
            <w:hideMark/>
          </w:tcPr>
          <w:p w14:paraId="2D84147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0.177</w:t>
            </w:r>
          </w:p>
        </w:tc>
      </w:tr>
      <w:tr w:rsidR="00271469" w:rsidRPr="00B849D2" w14:paraId="47A17078"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18E6E5B8"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566" w:type="pct"/>
            <w:tcBorders>
              <w:top w:val="nil"/>
              <w:left w:val="nil"/>
              <w:bottom w:val="single" w:sz="4" w:space="0" w:color="A6A6A6"/>
              <w:right w:val="single" w:sz="4" w:space="0" w:color="A6A6A6"/>
            </w:tcBorders>
            <w:vAlign w:val="center"/>
            <w:hideMark/>
          </w:tcPr>
          <w:p w14:paraId="6D0779CA"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519" w:type="pct"/>
            <w:tcBorders>
              <w:top w:val="nil"/>
              <w:left w:val="nil"/>
              <w:bottom w:val="single" w:sz="4" w:space="0" w:color="A6A6A6"/>
              <w:right w:val="single" w:sz="4" w:space="0" w:color="A6A6A6"/>
            </w:tcBorders>
            <w:vAlign w:val="center"/>
            <w:hideMark/>
          </w:tcPr>
          <w:p w14:paraId="52D8323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0.80 (0.55–1.16)</w:t>
            </w:r>
          </w:p>
        </w:tc>
        <w:tc>
          <w:tcPr>
            <w:tcW w:w="519" w:type="pct"/>
            <w:tcBorders>
              <w:top w:val="nil"/>
              <w:left w:val="nil"/>
              <w:bottom w:val="single" w:sz="4" w:space="0" w:color="A6A6A6"/>
              <w:right w:val="single" w:sz="4" w:space="0" w:color="A6A6A6"/>
            </w:tcBorders>
            <w:vAlign w:val="center"/>
            <w:hideMark/>
          </w:tcPr>
          <w:p w14:paraId="4B0A6CB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0.79 (0.53–1.17)</w:t>
            </w:r>
          </w:p>
        </w:tc>
        <w:tc>
          <w:tcPr>
            <w:tcW w:w="283" w:type="pct"/>
            <w:tcBorders>
              <w:top w:val="nil"/>
              <w:left w:val="nil"/>
              <w:bottom w:val="single" w:sz="4" w:space="0" w:color="A6A6A6"/>
              <w:right w:val="single" w:sz="4" w:space="0" w:color="A6A6A6"/>
            </w:tcBorders>
            <w:vAlign w:val="center"/>
            <w:hideMark/>
          </w:tcPr>
          <w:p w14:paraId="69F9D6C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0.278</w:t>
            </w:r>
          </w:p>
        </w:tc>
        <w:tc>
          <w:tcPr>
            <w:tcW w:w="519" w:type="pct"/>
            <w:tcBorders>
              <w:top w:val="nil"/>
              <w:left w:val="nil"/>
              <w:bottom w:val="single" w:sz="4" w:space="0" w:color="A6A6A6"/>
              <w:right w:val="single" w:sz="4" w:space="0" w:color="A6A6A6"/>
            </w:tcBorders>
            <w:vAlign w:val="center"/>
            <w:hideMark/>
          </w:tcPr>
          <w:p w14:paraId="30B0E3B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0.69 (0.44–1.07)</w:t>
            </w:r>
          </w:p>
        </w:tc>
        <w:tc>
          <w:tcPr>
            <w:tcW w:w="519" w:type="pct"/>
            <w:tcBorders>
              <w:top w:val="nil"/>
              <w:left w:val="nil"/>
              <w:bottom w:val="single" w:sz="4" w:space="0" w:color="A6A6A6"/>
              <w:right w:val="single" w:sz="4" w:space="0" w:color="A6A6A6"/>
            </w:tcBorders>
            <w:vAlign w:val="center"/>
            <w:hideMark/>
          </w:tcPr>
          <w:p w14:paraId="0D1C940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0.67 (0.41–1.07)</w:t>
            </w:r>
          </w:p>
        </w:tc>
        <w:tc>
          <w:tcPr>
            <w:tcW w:w="330" w:type="pct"/>
            <w:tcBorders>
              <w:top w:val="nil"/>
              <w:left w:val="nil"/>
              <w:bottom w:val="single" w:sz="4" w:space="0" w:color="A6A6A6"/>
              <w:right w:val="single" w:sz="4" w:space="0" w:color="A6A6A6"/>
            </w:tcBorders>
            <w:vAlign w:val="center"/>
            <w:hideMark/>
          </w:tcPr>
          <w:p w14:paraId="1C67EBB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0.110</w:t>
            </w:r>
          </w:p>
        </w:tc>
        <w:tc>
          <w:tcPr>
            <w:tcW w:w="519" w:type="pct"/>
            <w:tcBorders>
              <w:top w:val="nil"/>
              <w:left w:val="nil"/>
              <w:bottom w:val="single" w:sz="4" w:space="0" w:color="A6A6A6"/>
              <w:right w:val="single" w:sz="4" w:space="0" w:color="A6A6A6"/>
            </w:tcBorders>
            <w:vAlign w:val="center"/>
            <w:hideMark/>
          </w:tcPr>
          <w:p w14:paraId="59CAD280"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1.51 (0.82–2.79)</w:t>
            </w:r>
          </w:p>
        </w:tc>
        <w:tc>
          <w:tcPr>
            <w:tcW w:w="519" w:type="pct"/>
            <w:tcBorders>
              <w:top w:val="nil"/>
              <w:left w:val="nil"/>
              <w:bottom w:val="single" w:sz="4" w:space="0" w:color="A6A6A6"/>
              <w:right w:val="single" w:sz="4" w:space="0" w:color="A6A6A6"/>
            </w:tcBorders>
            <w:vAlign w:val="center"/>
            <w:hideMark/>
          </w:tcPr>
          <w:p w14:paraId="54FA5E7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1.54 (0.81–2.92)</w:t>
            </w:r>
          </w:p>
        </w:tc>
        <w:tc>
          <w:tcPr>
            <w:tcW w:w="283" w:type="pct"/>
            <w:tcBorders>
              <w:top w:val="nil"/>
              <w:left w:val="nil"/>
              <w:bottom w:val="single" w:sz="4" w:space="0" w:color="A6A6A6"/>
              <w:right w:val="single" w:sz="4" w:space="0" w:color="A6A6A6"/>
            </w:tcBorders>
            <w:vAlign w:val="center"/>
            <w:hideMark/>
          </w:tcPr>
          <w:p w14:paraId="2407505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0.228</w:t>
            </w:r>
          </w:p>
        </w:tc>
      </w:tr>
      <w:tr w:rsidR="00271469" w:rsidRPr="00B849D2" w14:paraId="6F8495C3"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17649026"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566" w:type="pct"/>
            <w:tcBorders>
              <w:top w:val="nil"/>
              <w:left w:val="nil"/>
              <w:bottom w:val="single" w:sz="4" w:space="0" w:color="A6A6A6"/>
              <w:right w:val="single" w:sz="4" w:space="0" w:color="A6A6A6"/>
            </w:tcBorders>
            <w:vAlign w:val="center"/>
            <w:hideMark/>
          </w:tcPr>
          <w:p w14:paraId="07FAD282"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519" w:type="pct"/>
            <w:tcBorders>
              <w:top w:val="nil"/>
              <w:left w:val="nil"/>
              <w:bottom w:val="single" w:sz="4" w:space="0" w:color="A6A6A6"/>
              <w:right w:val="single" w:sz="4" w:space="0" w:color="A6A6A6"/>
            </w:tcBorders>
            <w:vAlign w:val="center"/>
            <w:hideMark/>
          </w:tcPr>
          <w:p w14:paraId="3C6A6A6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0.46 (0.28–0.75)</w:t>
            </w:r>
          </w:p>
        </w:tc>
        <w:tc>
          <w:tcPr>
            <w:tcW w:w="519" w:type="pct"/>
            <w:tcBorders>
              <w:top w:val="nil"/>
              <w:left w:val="nil"/>
              <w:bottom w:val="single" w:sz="4" w:space="0" w:color="A6A6A6"/>
              <w:right w:val="single" w:sz="4" w:space="0" w:color="A6A6A6"/>
            </w:tcBorders>
            <w:vAlign w:val="center"/>
            <w:hideMark/>
          </w:tcPr>
          <w:p w14:paraId="59805BC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0.44 (0.27–0.74)</w:t>
            </w:r>
          </w:p>
        </w:tc>
        <w:tc>
          <w:tcPr>
            <w:tcW w:w="283" w:type="pct"/>
            <w:tcBorders>
              <w:top w:val="nil"/>
              <w:left w:val="nil"/>
              <w:bottom w:val="single" w:sz="4" w:space="0" w:color="A6A6A6"/>
              <w:right w:val="single" w:sz="4" w:space="0" w:color="A6A6A6"/>
            </w:tcBorders>
            <w:vAlign w:val="center"/>
            <w:hideMark/>
          </w:tcPr>
          <w:p w14:paraId="2C4D351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0.001</w:t>
            </w:r>
          </w:p>
        </w:tc>
        <w:tc>
          <w:tcPr>
            <w:tcW w:w="519" w:type="pct"/>
            <w:tcBorders>
              <w:top w:val="nil"/>
              <w:left w:val="nil"/>
              <w:bottom w:val="single" w:sz="4" w:space="0" w:color="A6A6A6"/>
              <w:right w:val="single" w:sz="4" w:space="0" w:color="A6A6A6"/>
            </w:tcBorders>
            <w:vAlign w:val="center"/>
            <w:hideMark/>
          </w:tcPr>
          <w:p w14:paraId="28FA606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0.42 (0.25–0.72)</w:t>
            </w:r>
          </w:p>
        </w:tc>
        <w:tc>
          <w:tcPr>
            <w:tcW w:w="519" w:type="pct"/>
            <w:tcBorders>
              <w:top w:val="nil"/>
              <w:left w:val="nil"/>
              <w:bottom w:val="single" w:sz="4" w:space="0" w:color="A6A6A6"/>
              <w:right w:val="single" w:sz="4" w:space="0" w:color="A6A6A6"/>
            </w:tcBorders>
            <w:vAlign w:val="center"/>
            <w:hideMark/>
          </w:tcPr>
          <w:p w14:paraId="2850962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0.40 (0.23–0.70)</w:t>
            </w:r>
          </w:p>
        </w:tc>
        <w:tc>
          <w:tcPr>
            <w:tcW w:w="330" w:type="pct"/>
            <w:tcBorders>
              <w:top w:val="nil"/>
              <w:left w:val="nil"/>
              <w:bottom w:val="single" w:sz="4" w:space="0" w:color="A6A6A6"/>
              <w:right w:val="single" w:sz="4" w:space="0" w:color="A6A6A6"/>
            </w:tcBorders>
            <w:vAlign w:val="center"/>
            <w:hideMark/>
          </w:tcPr>
          <w:p w14:paraId="369DF88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6553B45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0.78 (0.38–1.62)</w:t>
            </w:r>
          </w:p>
        </w:tc>
        <w:tc>
          <w:tcPr>
            <w:tcW w:w="519" w:type="pct"/>
            <w:tcBorders>
              <w:top w:val="nil"/>
              <w:left w:val="nil"/>
              <w:bottom w:val="single" w:sz="4" w:space="0" w:color="A6A6A6"/>
              <w:right w:val="single" w:sz="4" w:space="0" w:color="A6A6A6"/>
            </w:tcBorders>
            <w:vAlign w:val="center"/>
            <w:hideMark/>
          </w:tcPr>
          <w:p w14:paraId="57399BD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0.77 (0.36–1.65)</w:t>
            </w:r>
          </w:p>
        </w:tc>
        <w:tc>
          <w:tcPr>
            <w:tcW w:w="283" w:type="pct"/>
            <w:tcBorders>
              <w:top w:val="nil"/>
              <w:left w:val="nil"/>
              <w:bottom w:val="single" w:sz="4" w:space="0" w:color="A6A6A6"/>
              <w:right w:val="single" w:sz="4" w:space="0" w:color="A6A6A6"/>
            </w:tcBorders>
            <w:vAlign w:val="center"/>
            <w:hideMark/>
          </w:tcPr>
          <w:p w14:paraId="581D1A3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0.583</w:t>
            </w:r>
          </w:p>
        </w:tc>
      </w:tr>
      <w:tr w:rsidR="00271469" w:rsidRPr="00B849D2" w14:paraId="7BFA18C3"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4C72407E"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Bile duct stone</w:t>
            </w:r>
          </w:p>
        </w:tc>
        <w:tc>
          <w:tcPr>
            <w:tcW w:w="566" w:type="pct"/>
            <w:tcBorders>
              <w:top w:val="nil"/>
              <w:left w:val="nil"/>
              <w:bottom w:val="single" w:sz="4" w:space="0" w:color="A6A6A6"/>
              <w:right w:val="single" w:sz="4" w:space="0" w:color="A6A6A6"/>
            </w:tcBorders>
            <w:vAlign w:val="center"/>
            <w:hideMark/>
          </w:tcPr>
          <w:p w14:paraId="5620F5EB"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519" w:type="pct"/>
            <w:tcBorders>
              <w:top w:val="nil"/>
              <w:left w:val="nil"/>
              <w:bottom w:val="single" w:sz="4" w:space="0" w:color="A6A6A6"/>
              <w:right w:val="single" w:sz="4" w:space="0" w:color="A6A6A6"/>
            </w:tcBorders>
            <w:vAlign w:val="center"/>
            <w:hideMark/>
          </w:tcPr>
          <w:p w14:paraId="4987118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0.72 (0.44–1.18)</w:t>
            </w:r>
          </w:p>
        </w:tc>
        <w:tc>
          <w:tcPr>
            <w:tcW w:w="519" w:type="pct"/>
            <w:tcBorders>
              <w:top w:val="nil"/>
              <w:left w:val="nil"/>
              <w:bottom w:val="single" w:sz="4" w:space="0" w:color="A6A6A6"/>
              <w:right w:val="single" w:sz="4" w:space="0" w:color="A6A6A6"/>
            </w:tcBorders>
            <w:vAlign w:val="center"/>
            <w:hideMark/>
          </w:tcPr>
          <w:p w14:paraId="5DB8947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0.70 (0.42–1.18)</w:t>
            </w:r>
          </w:p>
        </w:tc>
        <w:tc>
          <w:tcPr>
            <w:tcW w:w="283" w:type="pct"/>
            <w:tcBorders>
              <w:top w:val="nil"/>
              <w:left w:val="nil"/>
              <w:bottom w:val="single" w:sz="4" w:space="0" w:color="A6A6A6"/>
              <w:right w:val="single" w:sz="4" w:space="0" w:color="A6A6A6"/>
            </w:tcBorders>
            <w:vAlign w:val="center"/>
            <w:hideMark/>
          </w:tcPr>
          <w:p w14:paraId="0D23FE4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0.224</w:t>
            </w:r>
          </w:p>
        </w:tc>
        <w:tc>
          <w:tcPr>
            <w:tcW w:w="519" w:type="pct"/>
            <w:tcBorders>
              <w:top w:val="nil"/>
              <w:left w:val="nil"/>
              <w:bottom w:val="single" w:sz="4" w:space="0" w:color="A6A6A6"/>
              <w:right w:val="single" w:sz="4" w:space="0" w:color="A6A6A6"/>
            </w:tcBorders>
            <w:vAlign w:val="center"/>
            <w:hideMark/>
          </w:tcPr>
          <w:p w14:paraId="38DDF4D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0.47 (0.23–0.96)</w:t>
            </w:r>
          </w:p>
        </w:tc>
        <w:tc>
          <w:tcPr>
            <w:tcW w:w="519" w:type="pct"/>
            <w:tcBorders>
              <w:top w:val="nil"/>
              <w:left w:val="nil"/>
              <w:bottom w:val="single" w:sz="4" w:space="0" w:color="A6A6A6"/>
              <w:right w:val="single" w:sz="4" w:space="0" w:color="A6A6A6"/>
            </w:tcBorders>
            <w:vAlign w:val="center"/>
            <w:hideMark/>
          </w:tcPr>
          <w:p w14:paraId="3606547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0.45 (0.21–0.95)</w:t>
            </w:r>
          </w:p>
        </w:tc>
        <w:tc>
          <w:tcPr>
            <w:tcW w:w="330" w:type="pct"/>
            <w:tcBorders>
              <w:top w:val="nil"/>
              <w:left w:val="nil"/>
              <w:bottom w:val="single" w:sz="4" w:space="0" w:color="A6A6A6"/>
              <w:right w:val="single" w:sz="4" w:space="0" w:color="A6A6A6"/>
            </w:tcBorders>
            <w:vAlign w:val="center"/>
            <w:hideMark/>
          </w:tcPr>
          <w:p w14:paraId="2BE31ED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0.035</w:t>
            </w:r>
          </w:p>
        </w:tc>
        <w:tc>
          <w:tcPr>
            <w:tcW w:w="519" w:type="pct"/>
            <w:tcBorders>
              <w:top w:val="nil"/>
              <w:left w:val="nil"/>
              <w:bottom w:val="single" w:sz="4" w:space="0" w:color="A6A6A6"/>
              <w:right w:val="single" w:sz="4" w:space="0" w:color="A6A6A6"/>
            </w:tcBorders>
            <w:vAlign w:val="center"/>
            <w:hideMark/>
          </w:tcPr>
          <w:p w14:paraId="4322EE2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0.40 (0.12–1.33)</w:t>
            </w:r>
          </w:p>
        </w:tc>
        <w:tc>
          <w:tcPr>
            <w:tcW w:w="519" w:type="pct"/>
            <w:tcBorders>
              <w:top w:val="nil"/>
              <w:left w:val="nil"/>
              <w:bottom w:val="single" w:sz="4" w:space="0" w:color="A6A6A6"/>
              <w:right w:val="single" w:sz="4" w:space="0" w:color="A6A6A6"/>
            </w:tcBorders>
            <w:vAlign w:val="center"/>
            <w:hideMark/>
          </w:tcPr>
          <w:p w14:paraId="2E16418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0.40 (0.12–1.33)</w:t>
            </w:r>
          </w:p>
        </w:tc>
        <w:tc>
          <w:tcPr>
            <w:tcW w:w="283" w:type="pct"/>
            <w:tcBorders>
              <w:top w:val="nil"/>
              <w:left w:val="nil"/>
              <w:bottom w:val="single" w:sz="4" w:space="0" w:color="A6A6A6"/>
              <w:right w:val="single" w:sz="4" w:space="0" w:color="A6A6A6"/>
            </w:tcBorders>
            <w:vAlign w:val="center"/>
            <w:hideMark/>
          </w:tcPr>
          <w:p w14:paraId="26DCB43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0.163</w:t>
            </w:r>
          </w:p>
        </w:tc>
      </w:tr>
      <w:tr w:rsidR="00271469" w:rsidRPr="00B849D2" w14:paraId="2804746C" w14:textId="77777777" w:rsidTr="00271469">
        <w:trPr>
          <w:trHeight w:val="268"/>
        </w:trPr>
        <w:tc>
          <w:tcPr>
            <w:tcW w:w="425" w:type="pct"/>
            <w:tcBorders>
              <w:top w:val="single" w:sz="8" w:space="0" w:color="1F4E79"/>
              <w:left w:val="single" w:sz="4" w:space="0" w:color="A6A6A6"/>
              <w:bottom w:val="single" w:sz="4" w:space="0" w:color="A6A6A6"/>
              <w:right w:val="single" w:sz="4" w:space="0" w:color="A6A6A6"/>
            </w:tcBorders>
            <w:vAlign w:val="center"/>
            <w:hideMark/>
          </w:tcPr>
          <w:p w14:paraId="4494E3EE" w14:textId="77777777" w:rsidR="000C3AD0" w:rsidRPr="00B849D2" w:rsidRDefault="000C3AD0" w:rsidP="000C3AD0">
            <w:pPr>
              <w:spacing w:after="0" w:line="240" w:lineRule="auto"/>
              <w:rPr>
                <w:rFonts w:ascii="Times New Roman" w:eastAsia="Times New Roman" w:hAnsi="Times New Roman" w:cs="Times New Roman"/>
                <w:b/>
                <w:bCs/>
                <w:kern w:val="0"/>
                <w:sz w:val="22"/>
                <w:szCs w:val="22"/>
                <w14:ligatures w14:val="none"/>
              </w:rPr>
            </w:pPr>
            <w:r w:rsidRPr="00B849D2">
              <w:rPr>
                <w:rFonts w:ascii="Times New Roman" w:eastAsia="Times New Roman" w:hAnsi="Times New Roman" w:cs="Times New Roman"/>
                <w:b/>
                <w:bCs/>
                <w:kern w:val="0"/>
                <w:sz w:val="22"/>
                <w:szCs w:val="22"/>
                <w14:ligatures w14:val="none"/>
              </w:rPr>
              <w:lastRenderedPageBreak/>
              <w:t>Biliary colic</w:t>
            </w:r>
          </w:p>
        </w:tc>
        <w:tc>
          <w:tcPr>
            <w:tcW w:w="566" w:type="pct"/>
            <w:tcBorders>
              <w:top w:val="single" w:sz="8" w:space="0" w:color="1F4E79"/>
              <w:left w:val="nil"/>
              <w:bottom w:val="single" w:sz="4" w:space="0" w:color="A6A6A6"/>
              <w:right w:val="single" w:sz="4" w:space="0" w:color="A6A6A6"/>
            </w:tcBorders>
            <w:vAlign w:val="center"/>
            <w:hideMark/>
          </w:tcPr>
          <w:p w14:paraId="1EF8FB4D"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519" w:type="pct"/>
            <w:tcBorders>
              <w:top w:val="single" w:sz="8" w:space="0" w:color="1F4E79"/>
              <w:left w:val="nil"/>
              <w:bottom w:val="single" w:sz="4" w:space="0" w:color="A6A6A6"/>
              <w:right w:val="single" w:sz="4" w:space="0" w:color="A6A6A6"/>
            </w:tcBorders>
            <w:vAlign w:val="center"/>
            <w:hideMark/>
          </w:tcPr>
          <w:p w14:paraId="50CD8AA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0.91 (0.71–1.18)</w:t>
            </w:r>
          </w:p>
        </w:tc>
        <w:tc>
          <w:tcPr>
            <w:tcW w:w="519" w:type="pct"/>
            <w:tcBorders>
              <w:top w:val="single" w:sz="8" w:space="0" w:color="1F4E79"/>
              <w:left w:val="nil"/>
              <w:bottom w:val="single" w:sz="4" w:space="0" w:color="A6A6A6"/>
              <w:right w:val="single" w:sz="4" w:space="0" w:color="A6A6A6"/>
            </w:tcBorders>
            <w:vAlign w:val="center"/>
            <w:hideMark/>
          </w:tcPr>
          <w:p w14:paraId="784CB55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0.90 (0.68–1.20)</w:t>
            </w:r>
          </w:p>
        </w:tc>
        <w:tc>
          <w:tcPr>
            <w:tcW w:w="283" w:type="pct"/>
            <w:tcBorders>
              <w:top w:val="single" w:sz="8" w:space="0" w:color="1F4E79"/>
              <w:left w:val="nil"/>
              <w:bottom w:val="single" w:sz="4" w:space="0" w:color="A6A6A6"/>
              <w:right w:val="single" w:sz="4" w:space="0" w:color="A6A6A6"/>
            </w:tcBorders>
            <w:vAlign w:val="center"/>
            <w:hideMark/>
          </w:tcPr>
          <w:p w14:paraId="31D54C1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0.514</w:t>
            </w:r>
          </w:p>
        </w:tc>
        <w:tc>
          <w:tcPr>
            <w:tcW w:w="519" w:type="pct"/>
            <w:tcBorders>
              <w:top w:val="single" w:sz="8" w:space="0" w:color="1F4E79"/>
              <w:left w:val="nil"/>
              <w:bottom w:val="single" w:sz="4" w:space="0" w:color="A6A6A6"/>
              <w:right w:val="single" w:sz="4" w:space="0" w:color="A6A6A6"/>
            </w:tcBorders>
            <w:vAlign w:val="center"/>
            <w:hideMark/>
          </w:tcPr>
          <w:p w14:paraId="5ED5738F"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(0.74–1.44)</w:t>
            </w:r>
          </w:p>
        </w:tc>
        <w:tc>
          <w:tcPr>
            <w:tcW w:w="519" w:type="pct"/>
            <w:tcBorders>
              <w:top w:val="single" w:sz="8" w:space="0" w:color="1F4E79"/>
              <w:left w:val="nil"/>
              <w:bottom w:val="single" w:sz="4" w:space="0" w:color="A6A6A6"/>
              <w:right w:val="single" w:sz="4" w:space="0" w:color="A6A6A6"/>
            </w:tcBorders>
            <w:vAlign w:val="center"/>
            <w:hideMark/>
          </w:tcPr>
          <w:p w14:paraId="3DBF274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(0.72–1.51)</w:t>
            </w:r>
          </w:p>
        </w:tc>
        <w:tc>
          <w:tcPr>
            <w:tcW w:w="330" w:type="pct"/>
            <w:tcBorders>
              <w:top w:val="single" w:sz="8" w:space="0" w:color="1F4E79"/>
              <w:left w:val="nil"/>
              <w:bottom w:val="single" w:sz="4" w:space="0" w:color="A6A6A6"/>
              <w:right w:val="single" w:sz="4" w:space="0" w:color="A6A6A6"/>
            </w:tcBorders>
            <w:vAlign w:val="center"/>
            <w:hideMark/>
          </w:tcPr>
          <w:p w14:paraId="695322C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0.849</w:t>
            </w:r>
          </w:p>
        </w:tc>
        <w:tc>
          <w:tcPr>
            <w:tcW w:w="519" w:type="pct"/>
            <w:tcBorders>
              <w:top w:val="single" w:sz="8" w:space="0" w:color="1F4E79"/>
              <w:left w:val="nil"/>
              <w:bottom w:val="single" w:sz="4" w:space="0" w:color="A6A6A6"/>
              <w:right w:val="single" w:sz="4" w:space="0" w:color="A6A6A6"/>
            </w:tcBorders>
            <w:vAlign w:val="center"/>
            <w:hideMark/>
          </w:tcPr>
          <w:p w14:paraId="35698DB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(0.61–1.64)</w:t>
            </w:r>
          </w:p>
        </w:tc>
        <w:tc>
          <w:tcPr>
            <w:tcW w:w="519" w:type="pct"/>
            <w:tcBorders>
              <w:top w:val="single" w:sz="8" w:space="0" w:color="1F4E79"/>
              <w:left w:val="nil"/>
              <w:bottom w:val="single" w:sz="4" w:space="0" w:color="A6A6A6"/>
              <w:right w:val="single" w:sz="4" w:space="0" w:color="A6A6A6"/>
            </w:tcBorders>
            <w:vAlign w:val="center"/>
            <w:hideMark/>
          </w:tcPr>
          <w:p w14:paraId="2D6EC7D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 (0.59–1.69)</w:t>
            </w:r>
          </w:p>
        </w:tc>
        <w:tc>
          <w:tcPr>
            <w:tcW w:w="283" w:type="pct"/>
            <w:tcBorders>
              <w:top w:val="single" w:sz="8" w:space="0" w:color="1F4E79"/>
              <w:left w:val="nil"/>
              <w:bottom w:val="single" w:sz="4" w:space="0" w:color="A6A6A6"/>
              <w:right w:val="single" w:sz="4" w:space="0" w:color="A6A6A6"/>
            </w:tcBorders>
            <w:vAlign w:val="center"/>
            <w:hideMark/>
          </w:tcPr>
          <w:p w14:paraId="0DF5C14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r>
      <w:tr w:rsidR="00271469" w:rsidRPr="00B849D2" w14:paraId="08EDA49A"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4DF30C7B"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566" w:type="pct"/>
            <w:tcBorders>
              <w:top w:val="nil"/>
              <w:left w:val="nil"/>
              <w:bottom w:val="single" w:sz="4" w:space="0" w:color="A6A6A6"/>
              <w:right w:val="single" w:sz="4" w:space="0" w:color="A6A6A6"/>
            </w:tcBorders>
            <w:vAlign w:val="center"/>
            <w:hideMark/>
          </w:tcPr>
          <w:p w14:paraId="00329BD6"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519" w:type="pct"/>
            <w:tcBorders>
              <w:top w:val="nil"/>
              <w:left w:val="nil"/>
              <w:bottom w:val="single" w:sz="4" w:space="0" w:color="A6A6A6"/>
              <w:right w:val="single" w:sz="4" w:space="0" w:color="A6A6A6"/>
            </w:tcBorders>
            <w:vAlign w:val="center"/>
            <w:hideMark/>
          </w:tcPr>
          <w:p w14:paraId="3091095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0.89 (0.67–1.18)</w:t>
            </w:r>
          </w:p>
        </w:tc>
        <w:tc>
          <w:tcPr>
            <w:tcW w:w="519" w:type="pct"/>
            <w:tcBorders>
              <w:top w:val="nil"/>
              <w:left w:val="nil"/>
              <w:bottom w:val="single" w:sz="4" w:space="0" w:color="A6A6A6"/>
              <w:right w:val="single" w:sz="4" w:space="0" w:color="A6A6A6"/>
            </w:tcBorders>
            <w:vAlign w:val="center"/>
            <w:hideMark/>
          </w:tcPr>
          <w:p w14:paraId="4720ACC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 (0.64–1.20)</w:t>
            </w:r>
          </w:p>
        </w:tc>
        <w:tc>
          <w:tcPr>
            <w:tcW w:w="283" w:type="pct"/>
            <w:tcBorders>
              <w:top w:val="nil"/>
              <w:left w:val="nil"/>
              <w:bottom w:val="single" w:sz="4" w:space="0" w:color="A6A6A6"/>
              <w:right w:val="single" w:sz="4" w:space="0" w:color="A6A6A6"/>
            </w:tcBorders>
            <w:vAlign w:val="center"/>
            <w:hideMark/>
          </w:tcPr>
          <w:p w14:paraId="4B90D91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0.427</w:t>
            </w:r>
          </w:p>
        </w:tc>
        <w:tc>
          <w:tcPr>
            <w:tcW w:w="519" w:type="pct"/>
            <w:tcBorders>
              <w:top w:val="nil"/>
              <w:left w:val="nil"/>
              <w:bottom w:val="single" w:sz="4" w:space="0" w:color="A6A6A6"/>
              <w:right w:val="single" w:sz="4" w:space="0" w:color="A6A6A6"/>
            </w:tcBorders>
            <w:vAlign w:val="center"/>
            <w:hideMark/>
          </w:tcPr>
          <w:p w14:paraId="0EE4DA7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0.88 (0.61–1.27)</w:t>
            </w:r>
          </w:p>
        </w:tc>
        <w:tc>
          <w:tcPr>
            <w:tcW w:w="519" w:type="pct"/>
            <w:tcBorders>
              <w:top w:val="nil"/>
              <w:left w:val="nil"/>
              <w:bottom w:val="single" w:sz="4" w:space="0" w:color="A6A6A6"/>
              <w:right w:val="single" w:sz="4" w:space="0" w:color="A6A6A6"/>
            </w:tcBorders>
            <w:vAlign w:val="center"/>
            <w:hideMark/>
          </w:tcPr>
          <w:p w14:paraId="7C9DC6E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0.87 (0.58–1.31)</w:t>
            </w:r>
          </w:p>
        </w:tc>
        <w:tc>
          <w:tcPr>
            <w:tcW w:w="330" w:type="pct"/>
            <w:tcBorders>
              <w:top w:val="nil"/>
              <w:left w:val="nil"/>
              <w:bottom w:val="single" w:sz="4" w:space="0" w:color="A6A6A6"/>
              <w:right w:val="single" w:sz="4" w:space="0" w:color="A6A6A6"/>
            </w:tcBorders>
            <w:vAlign w:val="center"/>
            <w:hideMark/>
          </w:tcPr>
          <w:p w14:paraId="4BE50E5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0.541</w:t>
            </w:r>
          </w:p>
        </w:tc>
        <w:tc>
          <w:tcPr>
            <w:tcW w:w="519" w:type="pct"/>
            <w:tcBorders>
              <w:top w:val="nil"/>
              <w:left w:val="nil"/>
              <w:bottom w:val="single" w:sz="4" w:space="0" w:color="A6A6A6"/>
              <w:right w:val="single" w:sz="4" w:space="0" w:color="A6A6A6"/>
            </w:tcBorders>
            <w:vAlign w:val="center"/>
            <w:hideMark/>
          </w:tcPr>
          <w:p w14:paraId="2D64323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0.60 (0.32–1.12)</w:t>
            </w:r>
          </w:p>
        </w:tc>
        <w:tc>
          <w:tcPr>
            <w:tcW w:w="519" w:type="pct"/>
            <w:tcBorders>
              <w:top w:val="nil"/>
              <w:left w:val="nil"/>
              <w:bottom w:val="single" w:sz="4" w:space="0" w:color="A6A6A6"/>
              <w:right w:val="single" w:sz="4" w:space="0" w:color="A6A6A6"/>
            </w:tcBorders>
            <w:vAlign w:val="center"/>
            <w:hideMark/>
          </w:tcPr>
          <w:p w14:paraId="77E83A0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 (0.30–1.12)</w:t>
            </w:r>
          </w:p>
        </w:tc>
        <w:tc>
          <w:tcPr>
            <w:tcW w:w="283" w:type="pct"/>
            <w:tcBorders>
              <w:top w:val="nil"/>
              <w:left w:val="nil"/>
              <w:bottom w:val="single" w:sz="4" w:space="0" w:color="A6A6A6"/>
              <w:right w:val="single" w:sz="4" w:space="0" w:color="A6A6A6"/>
            </w:tcBorders>
            <w:vAlign w:val="center"/>
            <w:hideMark/>
          </w:tcPr>
          <w:p w14:paraId="23081A8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0.132</w:t>
            </w:r>
          </w:p>
        </w:tc>
      </w:tr>
      <w:tr w:rsidR="00271469" w:rsidRPr="00B849D2" w14:paraId="4DC3BA96"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1FD06457"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566" w:type="pct"/>
            <w:tcBorders>
              <w:top w:val="nil"/>
              <w:left w:val="nil"/>
              <w:bottom w:val="single" w:sz="4" w:space="0" w:color="A6A6A6"/>
              <w:right w:val="single" w:sz="4" w:space="0" w:color="A6A6A6"/>
            </w:tcBorders>
            <w:vAlign w:val="center"/>
            <w:hideMark/>
          </w:tcPr>
          <w:p w14:paraId="18A62085"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519" w:type="pct"/>
            <w:tcBorders>
              <w:top w:val="nil"/>
              <w:left w:val="nil"/>
              <w:bottom w:val="single" w:sz="4" w:space="0" w:color="A6A6A6"/>
              <w:right w:val="single" w:sz="4" w:space="0" w:color="A6A6A6"/>
            </w:tcBorders>
            <w:vAlign w:val="center"/>
            <w:hideMark/>
          </w:tcPr>
          <w:p w14:paraId="383A49A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0.31 (0.20–0.50)</w:t>
            </w:r>
          </w:p>
        </w:tc>
        <w:tc>
          <w:tcPr>
            <w:tcW w:w="519" w:type="pct"/>
            <w:tcBorders>
              <w:top w:val="nil"/>
              <w:left w:val="nil"/>
              <w:bottom w:val="single" w:sz="4" w:space="0" w:color="A6A6A6"/>
              <w:right w:val="single" w:sz="4" w:space="0" w:color="A6A6A6"/>
            </w:tcBorders>
            <w:vAlign w:val="center"/>
            <w:hideMark/>
          </w:tcPr>
          <w:p w14:paraId="2F28ACD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0.29 (0.18–0.47)</w:t>
            </w:r>
          </w:p>
        </w:tc>
        <w:tc>
          <w:tcPr>
            <w:tcW w:w="283" w:type="pct"/>
            <w:tcBorders>
              <w:top w:val="nil"/>
              <w:left w:val="nil"/>
              <w:bottom w:val="single" w:sz="4" w:space="0" w:color="A6A6A6"/>
              <w:right w:val="single" w:sz="4" w:space="0" w:color="A6A6A6"/>
            </w:tcBorders>
            <w:vAlign w:val="center"/>
            <w:hideMark/>
          </w:tcPr>
          <w:p w14:paraId="467B82C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0B5501D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0.38 (0.23–0.64)</w:t>
            </w:r>
          </w:p>
        </w:tc>
        <w:tc>
          <w:tcPr>
            <w:tcW w:w="519" w:type="pct"/>
            <w:tcBorders>
              <w:top w:val="nil"/>
              <w:left w:val="nil"/>
              <w:bottom w:val="single" w:sz="4" w:space="0" w:color="A6A6A6"/>
              <w:right w:val="single" w:sz="4" w:space="0" w:color="A6A6A6"/>
            </w:tcBorders>
            <w:vAlign w:val="center"/>
            <w:hideMark/>
          </w:tcPr>
          <w:p w14:paraId="5735082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0.36 (0.21–0.61)</w:t>
            </w:r>
          </w:p>
        </w:tc>
        <w:tc>
          <w:tcPr>
            <w:tcW w:w="330" w:type="pct"/>
            <w:tcBorders>
              <w:top w:val="nil"/>
              <w:left w:val="nil"/>
              <w:bottom w:val="single" w:sz="4" w:space="0" w:color="A6A6A6"/>
              <w:right w:val="single" w:sz="4" w:space="0" w:color="A6A6A6"/>
            </w:tcBorders>
            <w:vAlign w:val="center"/>
            <w:hideMark/>
          </w:tcPr>
          <w:p w14:paraId="2887631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6CF2354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0.39 (0.19–0.80)</w:t>
            </w:r>
          </w:p>
        </w:tc>
        <w:tc>
          <w:tcPr>
            <w:tcW w:w="519" w:type="pct"/>
            <w:tcBorders>
              <w:top w:val="nil"/>
              <w:left w:val="nil"/>
              <w:bottom w:val="single" w:sz="4" w:space="0" w:color="A6A6A6"/>
              <w:right w:val="single" w:sz="4" w:space="0" w:color="A6A6A6"/>
            </w:tcBorders>
            <w:vAlign w:val="center"/>
            <w:hideMark/>
          </w:tcPr>
          <w:p w14:paraId="22F324F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0.38 (0.18–0.79)</w:t>
            </w:r>
          </w:p>
        </w:tc>
        <w:tc>
          <w:tcPr>
            <w:tcW w:w="283" w:type="pct"/>
            <w:tcBorders>
              <w:top w:val="nil"/>
              <w:left w:val="nil"/>
              <w:bottom w:val="single" w:sz="4" w:space="0" w:color="A6A6A6"/>
              <w:right w:val="single" w:sz="4" w:space="0" w:color="A6A6A6"/>
            </w:tcBorders>
            <w:vAlign w:val="center"/>
            <w:hideMark/>
          </w:tcPr>
          <w:p w14:paraId="64DEADF0"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0.006</w:t>
            </w:r>
          </w:p>
        </w:tc>
      </w:tr>
      <w:tr w:rsidR="00271469" w:rsidRPr="00B849D2" w14:paraId="25B26D5F"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68D9E3A2"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Biliary colic</w:t>
            </w:r>
          </w:p>
        </w:tc>
        <w:tc>
          <w:tcPr>
            <w:tcW w:w="566" w:type="pct"/>
            <w:tcBorders>
              <w:top w:val="nil"/>
              <w:left w:val="nil"/>
              <w:bottom w:val="single" w:sz="4" w:space="0" w:color="A6A6A6"/>
              <w:right w:val="single" w:sz="4" w:space="0" w:color="A6A6A6"/>
            </w:tcBorders>
            <w:vAlign w:val="center"/>
            <w:hideMark/>
          </w:tcPr>
          <w:p w14:paraId="09FEA136"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519" w:type="pct"/>
            <w:tcBorders>
              <w:top w:val="nil"/>
              <w:left w:val="nil"/>
              <w:bottom w:val="single" w:sz="4" w:space="0" w:color="A6A6A6"/>
              <w:right w:val="single" w:sz="4" w:space="0" w:color="A6A6A6"/>
            </w:tcBorders>
            <w:vAlign w:val="center"/>
            <w:hideMark/>
          </w:tcPr>
          <w:p w14:paraId="087B428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0.46 (0.29–0.75)</w:t>
            </w:r>
          </w:p>
        </w:tc>
        <w:tc>
          <w:tcPr>
            <w:tcW w:w="519" w:type="pct"/>
            <w:tcBorders>
              <w:top w:val="nil"/>
              <w:left w:val="nil"/>
              <w:bottom w:val="single" w:sz="4" w:space="0" w:color="A6A6A6"/>
              <w:right w:val="single" w:sz="4" w:space="0" w:color="A6A6A6"/>
            </w:tcBorders>
            <w:vAlign w:val="center"/>
            <w:hideMark/>
          </w:tcPr>
          <w:p w14:paraId="7BB4DBF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0.43 (0.26–0.72)</w:t>
            </w:r>
          </w:p>
        </w:tc>
        <w:tc>
          <w:tcPr>
            <w:tcW w:w="283" w:type="pct"/>
            <w:tcBorders>
              <w:top w:val="nil"/>
              <w:left w:val="nil"/>
              <w:bottom w:val="single" w:sz="4" w:space="0" w:color="A6A6A6"/>
              <w:right w:val="single" w:sz="4" w:space="0" w:color="A6A6A6"/>
            </w:tcBorders>
            <w:vAlign w:val="center"/>
            <w:hideMark/>
          </w:tcPr>
          <w:p w14:paraId="646743C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68A1352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 (0.26–0.94)</w:t>
            </w:r>
          </w:p>
        </w:tc>
        <w:tc>
          <w:tcPr>
            <w:tcW w:w="519" w:type="pct"/>
            <w:tcBorders>
              <w:top w:val="nil"/>
              <w:left w:val="nil"/>
              <w:bottom w:val="single" w:sz="4" w:space="0" w:color="A6A6A6"/>
              <w:right w:val="single" w:sz="4" w:space="0" w:color="A6A6A6"/>
            </w:tcBorders>
            <w:vAlign w:val="center"/>
            <w:hideMark/>
          </w:tcPr>
          <w:p w14:paraId="0B8070D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0.47 (0.24–0.92)</w:t>
            </w:r>
          </w:p>
        </w:tc>
        <w:tc>
          <w:tcPr>
            <w:tcW w:w="330" w:type="pct"/>
            <w:tcBorders>
              <w:top w:val="nil"/>
              <w:left w:val="nil"/>
              <w:bottom w:val="single" w:sz="4" w:space="0" w:color="A6A6A6"/>
              <w:right w:val="single" w:sz="4" w:space="0" w:color="A6A6A6"/>
            </w:tcBorders>
            <w:vAlign w:val="center"/>
            <w:hideMark/>
          </w:tcPr>
          <w:p w14:paraId="5976660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0.026</w:t>
            </w:r>
          </w:p>
        </w:tc>
        <w:tc>
          <w:tcPr>
            <w:tcW w:w="519" w:type="pct"/>
            <w:tcBorders>
              <w:top w:val="nil"/>
              <w:left w:val="nil"/>
              <w:bottom w:val="single" w:sz="4" w:space="0" w:color="A6A6A6"/>
              <w:right w:val="single" w:sz="4" w:space="0" w:color="A6A6A6"/>
            </w:tcBorders>
            <w:vAlign w:val="center"/>
            <w:hideMark/>
          </w:tcPr>
          <w:p w14:paraId="2E35575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0.76 (0.39–1.48)</w:t>
            </w:r>
          </w:p>
        </w:tc>
        <w:tc>
          <w:tcPr>
            <w:tcW w:w="519" w:type="pct"/>
            <w:tcBorders>
              <w:top w:val="nil"/>
              <w:left w:val="nil"/>
              <w:bottom w:val="single" w:sz="4" w:space="0" w:color="A6A6A6"/>
              <w:right w:val="single" w:sz="4" w:space="0" w:color="A6A6A6"/>
            </w:tcBorders>
            <w:vAlign w:val="center"/>
            <w:hideMark/>
          </w:tcPr>
          <w:p w14:paraId="4F655A6F"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0.74 (0.37–1.51)</w:t>
            </w:r>
          </w:p>
        </w:tc>
        <w:tc>
          <w:tcPr>
            <w:tcW w:w="283" w:type="pct"/>
            <w:tcBorders>
              <w:top w:val="nil"/>
              <w:left w:val="nil"/>
              <w:bottom w:val="single" w:sz="4" w:space="0" w:color="A6A6A6"/>
              <w:right w:val="single" w:sz="4" w:space="0" w:color="A6A6A6"/>
            </w:tcBorders>
            <w:vAlign w:val="center"/>
            <w:hideMark/>
          </w:tcPr>
          <w:p w14:paraId="7E4B316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0.503</w:t>
            </w:r>
          </w:p>
        </w:tc>
      </w:tr>
      <w:tr w:rsidR="00271469" w:rsidRPr="00B849D2" w14:paraId="60E0119A" w14:textId="77777777" w:rsidTr="00271469">
        <w:trPr>
          <w:trHeight w:val="268"/>
        </w:trPr>
        <w:tc>
          <w:tcPr>
            <w:tcW w:w="425" w:type="pct"/>
            <w:tcBorders>
              <w:top w:val="single" w:sz="8" w:space="0" w:color="1F4E79"/>
              <w:left w:val="single" w:sz="4" w:space="0" w:color="A6A6A6"/>
              <w:bottom w:val="single" w:sz="4" w:space="0" w:color="A6A6A6"/>
              <w:right w:val="single" w:sz="4" w:space="0" w:color="A6A6A6"/>
            </w:tcBorders>
            <w:vAlign w:val="center"/>
            <w:hideMark/>
          </w:tcPr>
          <w:p w14:paraId="491A9739" w14:textId="77777777" w:rsidR="000C3AD0" w:rsidRPr="00B849D2" w:rsidRDefault="000C3AD0" w:rsidP="000C3AD0">
            <w:pPr>
              <w:spacing w:after="0" w:line="240" w:lineRule="auto"/>
              <w:rPr>
                <w:rFonts w:ascii="Times New Roman" w:eastAsia="Times New Roman" w:hAnsi="Times New Roman" w:cs="Times New Roman"/>
                <w:b/>
                <w:bCs/>
                <w:kern w:val="0"/>
                <w:sz w:val="22"/>
                <w:szCs w:val="22"/>
                <w14:ligatures w14:val="none"/>
              </w:rPr>
            </w:pPr>
            <w:r w:rsidRPr="00B849D2">
              <w:rPr>
                <w:rFonts w:ascii="Times New Roman" w:eastAsia="Times New Roman" w:hAnsi="Times New Roman" w:cs="Times New Roman"/>
                <w:b/>
                <w:bCs/>
                <w:kern w:val="0"/>
                <w:sz w:val="22"/>
                <w:szCs w:val="22"/>
                <w14:ligatures w14:val="none"/>
              </w:rPr>
              <w:t>Cholangitis</w:t>
            </w:r>
          </w:p>
        </w:tc>
        <w:tc>
          <w:tcPr>
            <w:tcW w:w="566" w:type="pct"/>
            <w:tcBorders>
              <w:top w:val="single" w:sz="8" w:space="0" w:color="1F4E79"/>
              <w:left w:val="nil"/>
              <w:bottom w:val="single" w:sz="4" w:space="0" w:color="A6A6A6"/>
              <w:right w:val="single" w:sz="4" w:space="0" w:color="A6A6A6"/>
            </w:tcBorders>
            <w:vAlign w:val="center"/>
            <w:hideMark/>
          </w:tcPr>
          <w:p w14:paraId="1C284B03"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519" w:type="pct"/>
            <w:tcBorders>
              <w:top w:val="single" w:sz="8" w:space="0" w:color="1F4E79"/>
              <w:left w:val="nil"/>
              <w:bottom w:val="single" w:sz="4" w:space="0" w:color="A6A6A6"/>
              <w:right w:val="single" w:sz="4" w:space="0" w:color="A6A6A6"/>
            </w:tcBorders>
            <w:vAlign w:val="center"/>
            <w:hideMark/>
          </w:tcPr>
          <w:p w14:paraId="50D27BB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 (0.90–1.81)</w:t>
            </w:r>
          </w:p>
        </w:tc>
        <w:tc>
          <w:tcPr>
            <w:tcW w:w="519" w:type="pct"/>
            <w:tcBorders>
              <w:top w:val="single" w:sz="8" w:space="0" w:color="1F4E79"/>
              <w:left w:val="nil"/>
              <w:bottom w:val="single" w:sz="4" w:space="0" w:color="A6A6A6"/>
              <w:right w:val="single" w:sz="4" w:space="0" w:color="A6A6A6"/>
            </w:tcBorders>
            <w:vAlign w:val="center"/>
            <w:hideMark/>
          </w:tcPr>
          <w:p w14:paraId="35E2171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1.29 (0.89–1.88)</w:t>
            </w:r>
          </w:p>
        </w:tc>
        <w:tc>
          <w:tcPr>
            <w:tcW w:w="283" w:type="pct"/>
            <w:tcBorders>
              <w:top w:val="single" w:sz="8" w:space="0" w:color="1F4E79"/>
              <w:left w:val="nil"/>
              <w:bottom w:val="single" w:sz="4" w:space="0" w:color="A6A6A6"/>
              <w:right w:val="single" w:sz="4" w:space="0" w:color="A6A6A6"/>
            </w:tcBorders>
            <w:vAlign w:val="center"/>
            <w:hideMark/>
          </w:tcPr>
          <w:p w14:paraId="3D9BC85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0.179</w:t>
            </w:r>
          </w:p>
        </w:tc>
        <w:tc>
          <w:tcPr>
            <w:tcW w:w="519" w:type="pct"/>
            <w:tcBorders>
              <w:top w:val="single" w:sz="8" w:space="0" w:color="1F4E79"/>
              <w:left w:val="nil"/>
              <w:bottom w:val="single" w:sz="4" w:space="0" w:color="A6A6A6"/>
              <w:right w:val="single" w:sz="4" w:space="0" w:color="A6A6A6"/>
            </w:tcBorders>
            <w:vAlign w:val="center"/>
            <w:hideMark/>
          </w:tcPr>
          <w:p w14:paraId="1C623B7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1.37 (0.87–2.16)</w:t>
            </w:r>
          </w:p>
        </w:tc>
        <w:tc>
          <w:tcPr>
            <w:tcW w:w="519" w:type="pct"/>
            <w:tcBorders>
              <w:top w:val="single" w:sz="8" w:space="0" w:color="1F4E79"/>
              <w:left w:val="nil"/>
              <w:bottom w:val="single" w:sz="4" w:space="0" w:color="A6A6A6"/>
              <w:right w:val="single" w:sz="4" w:space="0" w:color="A6A6A6"/>
            </w:tcBorders>
            <w:vAlign w:val="center"/>
            <w:hideMark/>
          </w:tcPr>
          <w:p w14:paraId="7F8F964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1.40 (0.87–2.27)</w:t>
            </w:r>
          </w:p>
        </w:tc>
        <w:tc>
          <w:tcPr>
            <w:tcW w:w="330" w:type="pct"/>
            <w:tcBorders>
              <w:top w:val="single" w:sz="8" w:space="0" w:color="1F4E79"/>
              <w:left w:val="nil"/>
              <w:bottom w:val="single" w:sz="4" w:space="0" w:color="A6A6A6"/>
              <w:right w:val="single" w:sz="4" w:space="0" w:color="A6A6A6"/>
            </w:tcBorders>
            <w:vAlign w:val="center"/>
            <w:hideMark/>
          </w:tcPr>
          <w:p w14:paraId="4285D48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0.170</w:t>
            </w:r>
          </w:p>
        </w:tc>
        <w:tc>
          <w:tcPr>
            <w:tcW w:w="519" w:type="pct"/>
            <w:tcBorders>
              <w:top w:val="single" w:sz="8" w:space="0" w:color="1F4E79"/>
              <w:left w:val="nil"/>
              <w:bottom w:val="single" w:sz="4" w:space="0" w:color="A6A6A6"/>
              <w:right w:val="single" w:sz="4" w:space="0" w:color="A6A6A6"/>
            </w:tcBorders>
            <w:vAlign w:val="center"/>
            <w:hideMark/>
          </w:tcPr>
          <w:p w14:paraId="2337F14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0.89 (0.27–2.94)</w:t>
            </w:r>
          </w:p>
        </w:tc>
        <w:tc>
          <w:tcPr>
            <w:tcW w:w="519" w:type="pct"/>
            <w:tcBorders>
              <w:top w:val="single" w:sz="8" w:space="0" w:color="1F4E79"/>
              <w:left w:val="nil"/>
              <w:bottom w:val="single" w:sz="4" w:space="0" w:color="A6A6A6"/>
              <w:right w:val="single" w:sz="4" w:space="0" w:color="A6A6A6"/>
            </w:tcBorders>
            <w:vAlign w:val="center"/>
            <w:hideMark/>
          </w:tcPr>
          <w:p w14:paraId="342FF24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0.89 (0.27–2.98)</w:t>
            </w:r>
          </w:p>
        </w:tc>
        <w:tc>
          <w:tcPr>
            <w:tcW w:w="283" w:type="pct"/>
            <w:tcBorders>
              <w:top w:val="single" w:sz="8" w:space="0" w:color="1F4E79"/>
              <w:left w:val="nil"/>
              <w:bottom w:val="single" w:sz="4" w:space="0" w:color="A6A6A6"/>
              <w:right w:val="single" w:sz="4" w:space="0" w:color="A6A6A6"/>
            </w:tcBorders>
            <w:vAlign w:val="center"/>
            <w:hideMark/>
          </w:tcPr>
          <w:p w14:paraId="2E6E848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r>
      <w:tr w:rsidR="00271469" w:rsidRPr="00B849D2" w14:paraId="2B985723"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0F102EDE"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566" w:type="pct"/>
            <w:tcBorders>
              <w:top w:val="nil"/>
              <w:left w:val="nil"/>
              <w:bottom w:val="single" w:sz="4" w:space="0" w:color="A6A6A6"/>
              <w:right w:val="single" w:sz="4" w:space="0" w:color="A6A6A6"/>
            </w:tcBorders>
            <w:vAlign w:val="center"/>
            <w:hideMark/>
          </w:tcPr>
          <w:p w14:paraId="7AE2C007"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519" w:type="pct"/>
            <w:tcBorders>
              <w:top w:val="nil"/>
              <w:left w:val="nil"/>
              <w:bottom w:val="single" w:sz="4" w:space="0" w:color="A6A6A6"/>
              <w:right w:val="single" w:sz="4" w:space="0" w:color="A6A6A6"/>
            </w:tcBorders>
            <w:vAlign w:val="center"/>
            <w:hideMark/>
          </w:tcPr>
          <w:p w14:paraId="67EDD46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0.92 (0.60–1.41)</w:t>
            </w:r>
          </w:p>
        </w:tc>
        <w:tc>
          <w:tcPr>
            <w:tcW w:w="519" w:type="pct"/>
            <w:tcBorders>
              <w:top w:val="nil"/>
              <w:left w:val="nil"/>
              <w:bottom w:val="single" w:sz="4" w:space="0" w:color="A6A6A6"/>
              <w:right w:val="single" w:sz="4" w:space="0" w:color="A6A6A6"/>
            </w:tcBorders>
            <w:vAlign w:val="center"/>
            <w:hideMark/>
          </w:tcPr>
          <w:p w14:paraId="29F9BFF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0.92 (0.59–1.44)</w:t>
            </w:r>
          </w:p>
        </w:tc>
        <w:tc>
          <w:tcPr>
            <w:tcW w:w="283" w:type="pct"/>
            <w:tcBorders>
              <w:top w:val="nil"/>
              <w:left w:val="nil"/>
              <w:bottom w:val="single" w:sz="4" w:space="0" w:color="A6A6A6"/>
              <w:right w:val="single" w:sz="4" w:space="0" w:color="A6A6A6"/>
            </w:tcBorders>
            <w:vAlign w:val="center"/>
            <w:hideMark/>
          </w:tcPr>
          <w:p w14:paraId="6D45628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0.737</w:t>
            </w:r>
          </w:p>
        </w:tc>
        <w:tc>
          <w:tcPr>
            <w:tcW w:w="519" w:type="pct"/>
            <w:tcBorders>
              <w:top w:val="nil"/>
              <w:left w:val="nil"/>
              <w:bottom w:val="single" w:sz="4" w:space="0" w:color="A6A6A6"/>
              <w:right w:val="single" w:sz="4" w:space="0" w:color="A6A6A6"/>
            </w:tcBorders>
            <w:vAlign w:val="center"/>
            <w:hideMark/>
          </w:tcPr>
          <w:p w14:paraId="19E2D1E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1.14 (0.70–1.88)</w:t>
            </w:r>
          </w:p>
        </w:tc>
        <w:tc>
          <w:tcPr>
            <w:tcW w:w="519" w:type="pct"/>
            <w:tcBorders>
              <w:top w:val="nil"/>
              <w:left w:val="nil"/>
              <w:bottom w:val="single" w:sz="4" w:space="0" w:color="A6A6A6"/>
              <w:right w:val="single" w:sz="4" w:space="0" w:color="A6A6A6"/>
            </w:tcBorders>
            <w:vAlign w:val="center"/>
            <w:hideMark/>
          </w:tcPr>
          <w:p w14:paraId="2D9B6F8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1.15 (0.68–1.95)</w:t>
            </w:r>
          </w:p>
        </w:tc>
        <w:tc>
          <w:tcPr>
            <w:tcW w:w="330" w:type="pct"/>
            <w:tcBorders>
              <w:top w:val="nil"/>
              <w:left w:val="nil"/>
              <w:bottom w:val="single" w:sz="4" w:space="0" w:color="A6A6A6"/>
              <w:right w:val="single" w:sz="4" w:space="0" w:color="A6A6A6"/>
            </w:tcBorders>
            <w:vAlign w:val="center"/>
            <w:hideMark/>
          </w:tcPr>
          <w:p w14:paraId="3F13258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0.589</w:t>
            </w:r>
          </w:p>
        </w:tc>
        <w:tc>
          <w:tcPr>
            <w:tcW w:w="519" w:type="pct"/>
            <w:tcBorders>
              <w:top w:val="nil"/>
              <w:left w:val="nil"/>
              <w:bottom w:val="single" w:sz="4" w:space="0" w:color="A6A6A6"/>
              <w:right w:val="single" w:sz="4" w:space="0" w:color="A6A6A6"/>
            </w:tcBorders>
            <w:vAlign w:val="center"/>
            <w:hideMark/>
          </w:tcPr>
          <w:p w14:paraId="5C93737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2.30 (0.90–5.90)</w:t>
            </w:r>
          </w:p>
        </w:tc>
        <w:tc>
          <w:tcPr>
            <w:tcW w:w="519" w:type="pct"/>
            <w:tcBorders>
              <w:top w:val="nil"/>
              <w:left w:val="nil"/>
              <w:bottom w:val="single" w:sz="4" w:space="0" w:color="A6A6A6"/>
              <w:right w:val="single" w:sz="4" w:space="0" w:color="A6A6A6"/>
            </w:tcBorders>
            <w:vAlign w:val="center"/>
            <w:hideMark/>
          </w:tcPr>
          <w:p w14:paraId="1FC0E09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2.34 (0.89–6.11)</w:t>
            </w:r>
          </w:p>
        </w:tc>
        <w:tc>
          <w:tcPr>
            <w:tcW w:w="283" w:type="pct"/>
            <w:tcBorders>
              <w:top w:val="nil"/>
              <w:left w:val="nil"/>
              <w:bottom w:val="single" w:sz="4" w:space="0" w:color="A6A6A6"/>
              <w:right w:val="single" w:sz="4" w:space="0" w:color="A6A6A6"/>
            </w:tcBorders>
            <w:vAlign w:val="center"/>
            <w:hideMark/>
          </w:tcPr>
          <w:p w14:paraId="4574C43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0.114</w:t>
            </w:r>
          </w:p>
        </w:tc>
      </w:tr>
      <w:tr w:rsidR="00271469" w:rsidRPr="00B849D2" w14:paraId="28188546"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0E539570"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566" w:type="pct"/>
            <w:tcBorders>
              <w:top w:val="nil"/>
              <w:left w:val="nil"/>
              <w:bottom w:val="single" w:sz="4" w:space="0" w:color="A6A6A6"/>
              <w:right w:val="single" w:sz="4" w:space="0" w:color="A6A6A6"/>
            </w:tcBorders>
            <w:vAlign w:val="center"/>
            <w:hideMark/>
          </w:tcPr>
          <w:p w14:paraId="3798943F"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519" w:type="pct"/>
            <w:tcBorders>
              <w:top w:val="nil"/>
              <w:left w:val="nil"/>
              <w:bottom w:val="single" w:sz="4" w:space="0" w:color="A6A6A6"/>
              <w:right w:val="single" w:sz="4" w:space="0" w:color="A6A6A6"/>
            </w:tcBorders>
            <w:vAlign w:val="center"/>
            <w:hideMark/>
          </w:tcPr>
          <w:p w14:paraId="737C155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 (0.74–1.68)</w:t>
            </w:r>
          </w:p>
        </w:tc>
        <w:tc>
          <w:tcPr>
            <w:tcW w:w="519" w:type="pct"/>
            <w:tcBorders>
              <w:top w:val="nil"/>
              <w:left w:val="nil"/>
              <w:bottom w:val="single" w:sz="4" w:space="0" w:color="A6A6A6"/>
              <w:right w:val="single" w:sz="4" w:space="0" w:color="A6A6A6"/>
            </w:tcBorders>
            <w:vAlign w:val="center"/>
            <w:hideMark/>
          </w:tcPr>
          <w:p w14:paraId="7A4ABBD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1.12 (0.73–1.73)</w:t>
            </w:r>
          </w:p>
        </w:tc>
        <w:tc>
          <w:tcPr>
            <w:tcW w:w="283" w:type="pct"/>
            <w:tcBorders>
              <w:top w:val="nil"/>
              <w:left w:val="nil"/>
              <w:bottom w:val="single" w:sz="4" w:space="0" w:color="A6A6A6"/>
              <w:right w:val="single" w:sz="4" w:space="0" w:color="A6A6A6"/>
            </w:tcBorders>
            <w:vAlign w:val="center"/>
            <w:hideMark/>
          </w:tcPr>
          <w:p w14:paraId="2015D57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0.652</w:t>
            </w:r>
          </w:p>
        </w:tc>
        <w:tc>
          <w:tcPr>
            <w:tcW w:w="519" w:type="pct"/>
            <w:tcBorders>
              <w:top w:val="nil"/>
              <w:left w:val="nil"/>
              <w:bottom w:val="single" w:sz="4" w:space="0" w:color="A6A6A6"/>
              <w:right w:val="single" w:sz="4" w:space="0" w:color="A6A6A6"/>
            </w:tcBorders>
            <w:vAlign w:val="center"/>
            <w:hideMark/>
          </w:tcPr>
          <w:p w14:paraId="00AA26E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1.24 (0.77–2.01)</w:t>
            </w:r>
          </w:p>
        </w:tc>
        <w:tc>
          <w:tcPr>
            <w:tcW w:w="519" w:type="pct"/>
            <w:tcBorders>
              <w:top w:val="nil"/>
              <w:left w:val="nil"/>
              <w:bottom w:val="single" w:sz="4" w:space="0" w:color="A6A6A6"/>
              <w:right w:val="single" w:sz="4" w:space="0" w:color="A6A6A6"/>
            </w:tcBorders>
            <w:vAlign w:val="center"/>
            <w:hideMark/>
          </w:tcPr>
          <w:p w14:paraId="1AA2E6A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1.26 (0.76–2.09)</w:t>
            </w:r>
          </w:p>
        </w:tc>
        <w:tc>
          <w:tcPr>
            <w:tcW w:w="330" w:type="pct"/>
            <w:tcBorders>
              <w:top w:val="nil"/>
              <w:left w:val="nil"/>
              <w:bottom w:val="single" w:sz="4" w:space="0" w:color="A6A6A6"/>
              <w:right w:val="single" w:sz="4" w:space="0" w:color="A6A6A6"/>
            </w:tcBorders>
            <w:vAlign w:val="center"/>
            <w:hideMark/>
          </w:tcPr>
          <w:p w14:paraId="7678394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0.426</w:t>
            </w:r>
          </w:p>
        </w:tc>
        <w:tc>
          <w:tcPr>
            <w:tcW w:w="519" w:type="pct"/>
            <w:tcBorders>
              <w:top w:val="nil"/>
              <w:left w:val="nil"/>
              <w:bottom w:val="single" w:sz="4" w:space="0" w:color="A6A6A6"/>
              <w:right w:val="single" w:sz="4" w:space="0" w:color="A6A6A6"/>
            </w:tcBorders>
            <w:vAlign w:val="center"/>
            <w:hideMark/>
          </w:tcPr>
          <w:p w14:paraId="7D39B07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5.61 (2.56–12.32)</w:t>
            </w:r>
          </w:p>
        </w:tc>
        <w:tc>
          <w:tcPr>
            <w:tcW w:w="519" w:type="pct"/>
            <w:tcBorders>
              <w:top w:val="nil"/>
              <w:left w:val="nil"/>
              <w:bottom w:val="single" w:sz="4" w:space="0" w:color="A6A6A6"/>
              <w:right w:val="single" w:sz="4" w:space="0" w:color="A6A6A6"/>
            </w:tcBorders>
            <w:vAlign w:val="center"/>
            <w:hideMark/>
          </w:tcPr>
          <w:p w14:paraId="2932D34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5.96 (2.66–13.35)</w:t>
            </w:r>
          </w:p>
        </w:tc>
        <w:tc>
          <w:tcPr>
            <w:tcW w:w="283" w:type="pct"/>
            <w:tcBorders>
              <w:top w:val="nil"/>
              <w:left w:val="nil"/>
              <w:bottom w:val="single" w:sz="4" w:space="0" w:color="A6A6A6"/>
              <w:right w:val="single" w:sz="4" w:space="0" w:color="A6A6A6"/>
            </w:tcBorders>
            <w:vAlign w:val="center"/>
            <w:hideMark/>
          </w:tcPr>
          <w:p w14:paraId="1DDFA70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r>
      <w:tr w:rsidR="00271469" w:rsidRPr="00B849D2" w14:paraId="50F4E6D7"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4FBDA951"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Cholangitis</w:t>
            </w:r>
          </w:p>
        </w:tc>
        <w:tc>
          <w:tcPr>
            <w:tcW w:w="566" w:type="pct"/>
            <w:tcBorders>
              <w:top w:val="nil"/>
              <w:left w:val="nil"/>
              <w:bottom w:val="single" w:sz="4" w:space="0" w:color="A6A6A6"/>
              <w:right w:val="single" w:sz="4" w:space="0" w:color="A6A6A6"/>
            </w:tcBorders>
            <w:vAlign w:val="center"/>
            <w:hideMark/>
          </w:tcPr>
          <w:p w14:paraId="3A156EEE"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519" w:type="pct"/>
            <w:tcBorders>
              <w:top w:val="nil"/>
              <w:left w:val="nil"/>
              <w:bottom w:val="single" w:sz="4" w:space="0" w:color="A6A6A6"/>
              <w:right w:val="single" w:sz="4" w:space="0" w:color="A6A6A6"/>
            </w:tcBorders>
            <w:vAlign w:val="center"/>
            <w:hideMark/>
          </w:tcPr>
          <w:p w14:paraId="634D668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1.55 (1.01–2.38)</w:t>
            </w:r>
          </w:p>
        </w:tc>
        <w:tc>
          <w:tcPr>
            <w:tcW w:w="519" w:type="pct"/>
            <w:tcBorders>
              <w:top w:val="nil"/>
              <w:left w:val="nil"/>
              <w:bottom w:val="single" w:sz="4" w:space="0" w:color="A6A6A6"/>
              <w:right w:val="single" w:sz="4" w:space="0" w:color="A6A6A6"/>
            </w:tcBorders>
            <w:vAlign w:val="center"/>
            <w:hideMark/>
          </w:tcPr>
          <w:p w14:paraId="2B62CFC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1.59 (1.00–2.53)</w:t>
            </w:r>
          </w:p>
        </w:tc>
        <w:tc>
          <w:tcPr>
            <w:tcW w:w="283" w:type="pct"/>
            <w:tcBorders>
              <w:top w:val="nil"/>
              <w:left w:val="nil"/>
              <w:bottom w:val="single" w:sz="4" w:space="0" w:color="A6A6A6"/>
              <w:right w:val="single" w:sz="4" w:space="0" w:color="A6A6A6"/>
            </w:tcBorders>
            <w:vAlign w:val="center"/>
            <w:hideMark/>
          </w:tcPr>
          <w:p w14:paraId="08CA393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0.052</w:t>
            </w:r>
          </w:p>
        </w:tc>
        <w:tc>
          <w:tcPr>
            <w:tcW w:w="519" w:type="pct"/>
            <w:tcBorders>
              <w:top w:val="nil"/>
              <w:left w:val="nil"/>
              <w:bottom w:val="single" w:sz="4" w:space="0" w:color="A6A6A6"/>
              <w:right w:val="single" w:sz="4" w:space="0" w:color="A6A6A6"/>
            </w:tcBorders>
            <w:vAlign w:val="center"/>
            <w:hideMark/>
          </w:tcPr>
          <w:p w14:paraId="5101119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1.73 (1.00–3.00)</w:t>
            </w:r>
          </w:p>
        </w:tc>
        <w:tc>
          <w:tcPr>
            <w:tcW w:w="519" w:type="pct"/>
            <w:tcBorders>
              <w:top w:val="nil"/>
              <w:left w:val="nil"/>
              <w:bottom w:val="single" w:sz="4" w:space="0" w:color="A6A6A6"/>
              <w:right w:val="single" w:sz="4" w:space="0" w:color="A6A6A6"/>
            </w:tcBorders>
            <w:vAlign w:val="center"/>
            <w:hideMark/>
          </w:tcPr>
          <w:p w14:paraId="310C092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1.80 (0.99–3.26)</w:t>
            </w:r>
          </w:p>
        </w:tc>
        <w:tc>
          <w:tcPr>
            <w:tcW w:w="330" w:type="pct"/>
            <w:tcBorders>
              <w:top w:val="nil"/>
              <w:left w:val="nil"/>
              <w:bottom w:val="single" w:sz="4" w:space="0" w:color="A6A6A6"/>
              <w:right w:val="single" w:sz="4" w:space="0" w:color="A6A6A6"/>
            </w:tcBorders>
            <w:vAlign w:val="center"/>
            <w:hideMark/>
          </w:tcPr>
          <w:p w14:paraId="35C7BAF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0.058</w:t>
            </w:r>
          </w:p>
        </w:tc>
        <w:tc>
          <w:tcPr>
            <w:tcW w:w="519" w:type="pct"/>
            <w:tcBorders>
              <w:top w:val="nil"/>
              <w:left w:val="nil"/>
              <w:bottom w:val="single" w:sz="4" w:space="0" w:color="A6A6A6"/>
              <w:right w:val="single" w:sz="4" w:space="0" w:color="A6A6A6"/>
            </w:tcBorders>
            <w:vAlign w:val="center"/>
            <w:hideMark/>
          </w:tcPr>
          <w:p w14:paraId="4A5D60F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0.77 (0.17–3.62)</w:t>
            </w:r>
          </w:p>
        </w:tc>
        <w:tc>
          <w:tcPr>
            <w:tcW w:w="519" w:type="pct"/>
            <w:tcBorders>
              <w:top w:val="nil"/>
              <w:left w:val="nil"/>
              <w:bottom w:val="single" w:sz="4" w:space="0" w:color="A6A6A6"/>
              <w:right w:val="single" w:sz="4" w:space="0" w:color="A6A6A6"/>
            </w:tcBorders>
            <w:vAlign w:val="center"/>
            <w:hideMark/>
          </w:tcPr>
          <w:p w14:paraId="7B5EA50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0.77 (0.16–3.67)</w:t>
            </w:r>
          </w:p>
        </w:tc>
        <w:tc>
          <w:tcPr>
            <w:tcW w:w="283" w:type="pct"/>
            <w:tcBorders>
              <w:top w:val="nil"/>
              <w:left w:val="nil"/>
              <w:bottom w:val="single" w:sz="4" w:space="0" w:color="A6A6A6"/>
              <w:right w:val="single" w:sz="4" w:space="0" w:color="A6A6A6"/>
            </w:tcBorders>
            <w:vAlign w:val="center"/>
            <w:hideMark/>
          </w:tcPr>
          <w:p w14:paraId="78EDAC3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1.000</w:t>
            </w:r>
          </w:p>
        </w:tc>
      </w:tr>
      <w:tr w:rsidR="00271469" w:rsidRPr="00B849D2" w14:paraId="57843E4F" w14:textId="77777777" w:rsidTr="00271469">
        <w:trPr>
          <w:trHeight w:val="268"/>
        </w:trPr>
        <w:tc>
          <w:tcPr>
            <w:tcW w:w="425" w:type="pct"/>
            <w:tcBorders>
              <w:top w:val="single" w:sz="8" w:space="0" w:color="1F4E79"/>
              <w:left w:val="single" w:sz="4" w:space="0" w:color="A6A6A6"/>
              <w:bottom w:val="single" w:sz="4" w:space="0" w:color="A6A6A6"/>
              <w:right w:val="single" w:sz="4" w:space="0" w:color="A6A6A6"/>
            </w:tcBorders>
            <w:vAlign w:val="center"/>
            <w:hideMark/>
          </w:tcPr>
          <w:p w14:paraId="5E48A1BE" w14:textId="77777777" w:rsidR="000C3AD0" w:rsidRPr="00B849D2" w:rsidRDefault="000C3AD0" w:rsidP="000C3AD0">
            <w:pPr>
              <w:spacing w:after="0" w:line="240" w:lineRule="auto"/>
              <w:rPr>
                <w:rFonts w:ascii="Times New Roman" w:eastAsia="Times New Roman" w:hAnsi="Times New Roman" w:cs="Times New Roman"/>
                <w:b/>
                <w:bCs/>
                <w:kern w:val="0"/>
                <w:sz w:val="22"/>
                <w:szCs w:val="22"/>
                <w14:ligatures w14:val="none"/>
              </w:rPr>
            </w:pPr>
            <w:r w:rsidRPr="00B849D2">
              <w:rPr>
                <w:rFonts w:ascii="Times New Roman" w:eastAsia="Times New Roman" w:hAnsi="Times New Roman" w:cs="Times New Roman"/>
                <w:b/>
                <w:bCs/>
                <w:kern w:val="0"/>
                <w:sz w:val="22"/>
                <w:szCs w:val="22"/>
                <w14:ligatures w14:val="none"/>
              </w:rPr>
              <w:t>Cholecystitis</w:t>
            </w:r>
          </w:p>
        </w:tc>
        <w:tc>
          <w:tcPr>
            <w:tcW w:w="566" w:type="pct"/>
            <w:tcBorders>
              <w:top w:val="single" w:sz="8" w:space="0" w:color="1F4E79"/>
              <w:left w:val="nil"/>
              <w:bottom w:val="single" w:sz="4" w:space="0" w:color="A6A6A6"/>
              <w:right w:val="single" w:sz="4" w:space="0" w:color="A6A6A6"/>
            </w:tcBorders>
            <w:vAlign w:val="center"/>
            <w:hideMark/>
          </w:tcPr>
          <w:p w14:paraId="2371D57C"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519" w:type="pct"/>
            <w:tcBorders>
              <w:top w:val="single" w:sz="8" w:space="0" w:color="1F4E79"/>
              <w:left w:val="nil"/>
              <w:bottom w:val="single" w:sz="4" w:space="0" w:color="A6A6A6"/>
              <w:right w:val="single" w:sz="4" w:space="0" w:color="A6A6A6"/>
            </w:tcBorders>
            <w:vAlign w:val="center"/>
            <w:hideMark/>
          </w:tcPr>
          <w:p w14:paraId="6117B94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(1.00–1.08)</w:t>
            </w:r>
          </w:p>
        </w:tc>
        <w:tc>
          <w:tcPr>
            <w:tcW w:w="519" w:type="pct"/>
            <w:tcBorders>
              <w:top w:val="single" w:sz="8" w:space="0" w:color="1F4E79"/>
              <w:left w:val="nil"/>
              <w:bottom w:val="single" w:sz="4" w:space="0" w:color="A6A6A6"/>
              <w:right w:val="single" w:sz="4" w:space="0" w:color="A6A6A6"/>
            </w:tcBorders>
            <w:vAlign w:val="center"/>
            <w:hideMark/>
          </w:tcPr>
          <w:p w14:paraId="662AF03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1.28 (1.00–1.64)</w:t>
            </w:r>
          </w:p>
        </w:tc>
        <w:tc>
          <w:tcPr>
            <w:tcW w:w="283" w:type="pct"/>
            <w:tcBorders>
              <w:top w:val="single" w:sz="8" w:space="0" w:color="1F4E79"/>
              <w:left w:val="nil"/>
              <w:bottom w:val="single" w:sz="4" w:space="0" w:color="A6A6A6"/>
              <w:right w:val="single" w:sz="4" w:space="0" w:color="A6A6A6"/>
            </w:tcBorders>
            <w:vAlign w:val="center"/>
            <w:hideMark/>
          </w:tcPr>
          <w:p w14:paraId="184D7220"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0.055</w:t>
            </w:r>
          </w:p>
        </w:tc>
        <w:tc>
          <w:tcPr>
            <w:tcW w:w="519" w:type="pct"/>
            <w:tcBorders>
              <w:top w:val="single" w:sz="8" w:space="0" w:color="1F4E79"/>
              <w:left w:val="nil"/>
              <w:bottom w:val="single" w:sz="4" w:space="0" w:color="A6A6A6"/>
              <w:right w:val="single" w:sz="4" w:space="0" w:color="A6A6A6"/>
            </w:tcBorders>
            <w:vAlign w:val="center"/>
            <w:hideMark/>
          </w:tcPr>
          <w:p w14:paraId="6E2005C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(0.99–1.09)</w:t>
            </w:r>
          </w:p>
        </w:tc>
        <w:tc>
          <w:tcPr>
            <w:tcW w:w="519" w:type="pct"/>
            <w:tcBorders>
              <w:top w:val="single" w:sz="8" w:space="0" w:color="1F4E79"/>
              <w:left w:val="nil"/>
              <w:bottom w:val="single" w:sz="4" w:space="0" w:color="A6A6A6"/>
              <w:right w:val="single" w:sz="4" w:space="0" w:color="A6A6A6"/>
            </w:tcBorders>
            <w:vAlign w:val="center"/>
            <w:hideMark/>
          </w:tcPr>
          <w:p w14:paraId="5D8B4A9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1.27 (0.92–1.76)</w:t>
            </w:r>
          </w:p>
        </w:tc>
        <w:tc>
          <w:tcPr>
            <w:tcW w:w="330" w:type="pct"/>
            <w:tcBorders>
              <w:top w:val="single" w:sz="8" w:space="0" w:color="1F4E79"/>
              <w:left w:val="nil"/>
              <w:bottom w:val="single" w:sz="4" w:space="0" w:color="A6A6A6"/>
              <w:right w:val="single" w:sz="4" w:space="0" w:color="A6A6A6"/>
            </w:tcBorders>
            <w:vAlign w:val="center"/>
            <w:hideMark/>
          </w:tcPr>
          <w:p w14:paraId="43B9307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0.170</w:t>
            </w:r>
          </w:p>
        </w:tc>
        <w:tc>
          <w:tcPr>
            <w:tcW w:w="519" w:type="pct"/>
            <w:tcBorders>
              <w:top w:val="single" w:sz="8" w:space="0" w:color="1F4E79"/>
              <w:left w:val="nil"/>
              <w:bottom w:val="single" w:sz="4" w:space="0" w:color="A6A6A6"/>
              <w:right w:val="single" w:sz="4" w:space="0" w:color="A6A6A6"/>
            </w:tcBorders>
            <w:vAlign w:val="center"/>
            <w:hideMark/>
          </w:tcPr>
          <w:p w14:paraId="3285F6A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1.02 (0.98–1.06)</w:t>
            </w:r>
          </w:p>
        </w:tc>
        <w:tc>
          <w:tcPr>
            <w:tcW w:w="519" w:type="pct"/>
            <w:tcBorders>
              <w:top w:val="single" w:sz="8" w:space="0" w:color="1F4E79"/>
              <w:left w:val="nil"/>
              <w:bottom w:val="single" w:sz="4" w:space="0" w:color="A6A6A6"/>
              <w:right w:val="single" w:sz="4" w:space="0" w:color="A6A6A6"/>
            </w:tcBorders>
            <w:vAlign w:val="center"/>
            <w:hideMark/>
          </w:tcPr>
          <w:p w14:paraId="5853B32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 (0.77–1.95)</w:t>
            </w:r>
          </w:p>
        </w:tc>
        <w:tc>
          <w:tcPr>
            <w:tcW w:w="283" w:type="pct"/>
            <w:tcBorders>
              <w:top w:val="single" w:sz="8" w:space="0" w:color="1F4E79"/>
              <w:left w:val="nil"/>
              <w:bottom w:val="single" w:sz="4" w:space="0" w:color="A6A6A6"/>
              <w:right w:val="single" w:sz="4" w:space="0" w:color="A6A6A6"/>
            </w:tcBorders>
            <w:vAlign w:val="center"/>
            <w:hideMark/>
          </w:tcPr>
          <w:p w14:paraId="1E0C437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0.419</w:t>
            </w:r>
          </w:p>
        </w:tc>
      </w:tr>
      <w:tr w:rsidR="00271469" w:rsidRPr="00B849D2" w14:paraId="5004F7D5"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07574AFF"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566" w:type="pct"/>
            <w:tcBorders>
              <w:top w:val="nil"/>
              <w:left w:val="nil"/>
              <w:bottom w:val="single" w:sz="4" w:space="0" w:color="A6A6A6"/>
              <w:right w:val="single" w:sz="4" w:space="0" w:color="A6A6A6"/>
            </w:tcBorders>
            <w:vAlign w:val="center"/>
            <w:hideMark/>
          </w:tcPr>
          <w:p w14:paraId="3AE4DA80"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519" w:type="pct"/>
            <w:tcBorders>
              <w:top w:val="nil"/>
              <w:left w:val="nil"/>
              <w:bottom w:val="single" w:sz="4" w:space="0" w:color="A6A6A6"/>
              <w:right w:val="single" w:sz="4" w:space="0" w:color="A6A6A6"/>
            </w:tcBorders>
            <w:vAlign w:val="center"/>
            <w:hideMark/>
          </w:tcPr>
          <w:p w14:paraId="789F2D60"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1.06 (1.02–1.10)</w:t>
            </w:r>
          </w:p>
        </w:tc>
        <w:tc>
          <w:tcPr>
            <w:tcW w:w="519" w:type="pct"/>
            <w:tcBorders>
              <w:top w:val="nil"/>
              <w:left w:val="nil"/>
              <w:bottom w:val="single" w:sz="4" w:space="0" w:color="A6A6A6"/>
              <w:right w:val="single" w:sz="4" w:space="0" w:color="A6A6A6"/>
            </w:tcBorders>
            <w:vAlign w:val="center"/>
            <w:hideMark/>
          </w:tcPr>
          <w:p w14:paraId="0D9CA3A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1.47 (1.11–1.96)</w:t>
            </w:r>
          </w:p>
        </w:tc>
        <w:tc>
          <w:tcPr>
            <w:tcW w:w="283" w:type="pct"/>
            <w:tcBorders>
              <w:top w:val="nil"/>
              <w:left w:val="nil"/>
              <w:bottom w:val="single" w:sz="4" w:space="0" w:color="A6A6A6"/>
              <w:right w:val="single" w:sz="4" w:space="0" w:color="A6A6A6"/>
            </w:tcBorders>
            <w:vAlign w:val="center"/>
            <w:hideMark/>
          </w:tcPr>
          <w:p w14:paraId="4D3F072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0.007</w:t>
            </w:r>
          </w:p>
        </w:tc>
        <w:tc>
          <w:tcPr>
            <w:tcW w:w="519" w:type="pct"/>
            <w:tcBorders>
              <w:top w:val="nil"/>
              <w:left w:val="nil"/>
              <w:bottom w:val="single" w:sz="4" w:space="0" w:color="A6A6A6"/>
              <w:right w:val="single" w:sz="4" w:space="0" w:color="A6A6A6"/>
            </w:tcBorders>
            <w:vAlign w:val="center"/>
            <w:hideMark/>
          </w:tcPr>
          <w:p w14:paraId="0603041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(0.99–1.09)</w:t>
            </w:r>
          </w:p>
        </w:tc>
        <w:tc>
          <w:tcPr>
            <w:tcW w:w="519" w:type="pct"/>
            <w:tcBorders>
              <w:top w:val="nil"/>
              <w:left w:val="nil"/>
              <w:bottom w:val="single" w:sz="4" w:space="0" w:color="A6A6A6"/>
              <w:right w:val="single" w:sz="4" w:space="0" w:color="A6A6A6"/>
            </w:tcBorders>
            <w:vAlign w:val="center"/>
            <w:hideMark/>
          </w:tcPr>
          <w:p w14:paraId="3CC0CFC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1.27 (0.90–1.78)</w:t>
            </w:r>
          </w:p>
        </w:tc>
        <w:tc>
          <w:tcPr>
            <w:tcW w:w="330" w:type="pct"/>
            <w:tcBorders>
              <w:top w:val="nil"/>
              <w:left w:val="nil"/>
              <w:bottom w:val="single" w:sz="4" w:space="0" w:color="A6A6A6"/>
              <w:right w:val="single" w:sz="4" w:space="0" w:color="A6A6A6"/>
            </w:tcBorders>
            <w:vAlign w:val="center"/>
            <w:hideMark/>
          </w:tcPr>
          <w:p w14:paraId="4BEFF4F0"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0.180</w:t>
            </w:r>
          </w:p>
        </w:tc>
        <w:tc>
          <w:tcPr>
            <w:tcW w:w="519" w:type="pct"/>
            <w:tcBorders>
              <w:top w:val="nil"/>
              <w:left w:val="nil"/>
              <w:bottom w:val="single" w:sz="4" w:space="0" w:color="A6A6A6"/>
              <w:right w:val="single" w:sz="4" w:space="0" w:color="A6A6A6"/>
            </w:tcBorders>
            <w:vAlign w:val="center"/>
            <w:hideMark/>
          </w:tcPr>
          <w:p w14:paraId="4F94676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1.02 (0.98–1.06)</w:t>
            </w:r>
          </w:p>
        </w:tc>
        <w:tc>
          <w:tcPr>
            <w:tcW w:w="519" w:type="pct"/>
            <w:tcBorders>
              <w:top w:val="nil"/>
              <w:left w:val="nil"/>
              <w:bottom w:val="single" w:sz="4" w:space="0" w:color="A6A6A6"/>
              <w:right w:val="single" w:sz="4" w:space="0" w:color="A6A6A6"/>
            </w:tcBorders>
            <w:vAlign w:val="center"/>
            <w:hideMark/>
          </w:tcPr>
          <w:p w14:paraId="0B4F36C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1.30 (0.79–2.15)</w:t>
            </w:r>
          </w:p>
        </w:tc>
        <w:tc>
          <w:tcPr>
            <w:tcW w:w="283" w:type="pct"/>
            <w:tcBorders>
              <w:top w:val="nil"/>
              <w:left w:val="nil"/>
              <w:bottom w:val="single" w:sz="4" w:space="0" w:color="A6A6A6"/>
              <w:right w:val="single" w:sz="4" w:space="0" w:color="A6A6A6"/>
            </w:tcBorders>
            <w:vAlign w:val="center"/>
            <w:hideMark/>
          </w:tcPr>
          <w:p w14:paraId="78F45244"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0.330</w:t>
            </w:r>
          </w:p>
        </w:tc>
      </w:tr>
      <w:tr w:rsidR="00271469" w:rsidRPr="00B849D2" w14:paraId="14C44CCC"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69A48D67"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566" w:type="pct"/>
            <w:tcBorders>
              <w:top w:val="nil"/>
              <w:left w:val="nil"/>
              <w:bottom w:val="single" w:sz="4" w:space="0" w:color="A6A6A6"/>
              <w:right w:val="single" w:sz="4" w:space="0" w:color="A6A6A6"/>
            </w:tcBorders>
            <w:vAlign w:val="center"/>
            <w:hideMark/>
          </w:tcPr>
          <w:p w14:paraId="68D19F41"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519" w:type="pct"/>
            <w:tcBorders>
              <w:top w:val="nil"/>
              <w:left w:val="nil"/>
              <w:bottom w:val="single" w:sz="4" w:space="0" w:color="A6A6A6"/>
              <w:right w:val="single" w:sz="4" w:space="0" w:color="A6A6A6"/>
            </w:tcBorders>
            <w:vAlign w:val="center"/>
            <w:hideMark/>
          </w:tcPr>
          <w:p w14:paraId="4CD75D9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 (1.06–1.13)</w:t>
            </w:r>
          </w:p>
        </w:tc>
        <w:tc>
          <w:tcPr>
            <w:tcW w:w="519" w:type="pct"/>
            <w:tcBorders>
              <w:top w:val="nil"/>
              <w:left w:val="nil"/>
              <w:bottom w:val="single" w:sz="4" w:space="0" w:color="A6A6A6"/>
              <w:right w:val="single" w:sz="4" w:space="0" w:color="A6A6A6"/>
            </w:tcBorders>
            <w:vAlign w:val="center"/>
            <w:hideMark/>
          </w:tcPr>
          <w:p w14:paraId="7D2EA06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2.07 (1.50–2.87)</w:t>
            </w:r>
          </w:p>
        </w:tc>
        <w:tc>
          <w:tcPr>
            <w:tcW w:w="283" w:type="pct"/>
            <w:tcBorders>
              <w:top w:val="nil"/>
              <w:left w:val="nil"/>
              <w:bottom w:val="single" w:sz="4" w:space="0" w:color="A6A6A6"/>
              <w:right w:val="single" w:sz="4" w:space="0" w:color="A6A6A6"/>
            </w:tcBorders>
            <w:vAlign w:val="center"/>
            <w:hideMark/>
          </w:tcPr>
          <w:p w14:paraId="00CB955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1D2DC87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1.09 (1.04–1.13)</w:t>
            </w:r>
          </w:p>
        </w:tc>
        <w:tc>
          <w:tcPr>
            <w:tcW w:w="519" w:type="pct"/>
            <w:tcBorders>
              <w:top w:val="nil"/>
              <w:left w:val="nil"/>
              <w:bottom w:val="single" w:sz="4" w:space="0" w:color="A6A6A6"/>
              <w:right w:val="single" w:sz="4" w:space="0" w:color="A6A6A6"/>
            </w:tcBorders>
            <w:vAlign w:val="center"/>
            <w:hideMark/>
          </w:tcPr>
          <w:p w14:paraId="007008C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1.91 (1.31–2.77)</w:t>
            </w:r>
          </w:p>
        </w:tc>
        <w:tc>
          <w:tcPr>
            <w:tcW w:w="330" w:type="pct"/>
            <w:tcBorders>
              <w:top w:val="nil"/>
              <w:left w:val="nil"/>
              <w:bottom w:val="single" w:sz="4" w:space="0" w:color="A6A6A6"/>
              <w:right w:val="single" w:sz="4" w:space="0" w:color="A6A6A6"/>
            </w:tcBorders>
            <w:vAlign w:val="center"/>
            <w:hideMark/>
          </w:tcPr>
          <w:p w14:paraId="650D51D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4B0A306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1.02 (0.98–1.06)</w:t>
            </w:r>
          </w:p>
        </w:tc>
        <w:tc>
          <w:tcPr>
            <w:tcW w:w="519" w:type="pct"/>
            <w:tcBorders>
              <w:top w:val="nil"/>
              <w:left w:val="nil"/>
              <w:bottom w:val="single" w:sz="4" w:space="0" w:color="A6A6A6"/>
              <w:right w:val="single" w:sz="4" w:space="0" w:color="A6A6A6"/>
            </w:tcBorders>
            <w:vAlign w:val="center"/>
            <w:hideMark/>
          </w:tcPr>
          <w:p w14:paraId="60F024C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1.21 (0.76–1.94)</w:t>
            </w:r>
          </w:p>
        </w:tc>
        <w:tc>
          <w:tcPr>
            <w:tcW w:w="283" w:type="pct"/>
            <w:tcBorders>
              <w:top w:val="nil"/>
              <w:left w:val="nil"/>
              <w:bottom w:val="single" w:sz="4" w:space="0" w:color="A6A6A6"/>
              <w:right w:val="single" w:sz="4" w:space="0" w:color="A6A6A6"/>
            </w:tcBorders>
            <w:vAlign w:val="center"/>
            <w:hideMark/>
          </w:tcPr>
          <w:p w14:paraId="77BFD110"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0.485</w:t>
            </w:r>
          </w:p>
        </w:tc>
      </w:tr>
      <w:tr w:rsidR="00271469" w:rsidRPr="00B849D2" w14:paraId="1AA68F43"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49C2FCDC"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Cholecystitis</w:t>
            </w:r>
          </w:p>
        </w:tc>
        <w:tc>
          <w:tcPr>
            <w:tcW w:w="566" w:type="pct"/>
            <w:tcBorders>
              <w:top w:val="nil"/>
              <w:left w:val="nil"/>
              <w:bottom w:val="single" w:sz="4" w:space="0" w:color="A6A6A6"/>
              <w:right w:val="single" w:sz="4" w:space="0" w:color="A6A6A6"/>
            </w:tcBorders>
            <w:vAlign w:val="center"/>
            <w:hideMark/>
          </w:tcPr>
          <w:p w14:paraId="586B5A17"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519" w:type="pct"/>
            <w:tcBorders>
              <w:top w:val="nil"/>
              <w:left w:val="nil"/>
              <w:bottom w:val="single" w:sz="4" w:space="0" w:color="A6A6A6"/>
              <w:right w:val="single" w:sz="4" w:space="0" w:color="A6A6A6"/>
            </w:tcBorders>
            <w:vAlign w:val="center"/>
            <w:hideMark/>
          </w:tcPr>
          <w:p w14:paraId="296BF9D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(0.98–1.08)</w:t>
            </w:r>
          </w:p>
        </w:tc>
        <w:tc>
          <w:tcPr>
            <w:tcW w:w="519" w:type="pct"/>
            <w:tcBorders>
              <w:top w:val="nil"/>
              <w:left w:val="nil"/>
              <w:bottom w:val="single" w:sz="4" w:space="0" w:color="A6A6A6"/>
              <w:right w:val="single" w:sz="4" w:space="0" w:color="A6A6A6"/>
            </w:tcBorders>
            <w:vAlign w:val="center"/>
            <w:hideMark/>
          </w:tcPr>
          <w:p w14:paraId="2E5CDD5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1.22 (0.87–1.70)</w:t>
            </w:r>
          </w:p>
        </w:tc>
        <w:tc>
          <w:tcPr>
            <w:tcW w:w="283" w:type="pct"/>
            <w:tcBorders>
              <w:top w:val="nil"/>
              <w:left w:val="nil"/>
              <w:bottom w:val="single" w:sz="4" w:space="0" w:color="A6A6A6"/>
              <w:right w:val="single" w:sz="4" w:space="0" w:color="A6A6A6"/>
            </w:tcBorders>
            <w:vAlign w:val="center"/>
            <w:hideMark/>
          </w:tcPr>
          <w:p w14:paraId="3BA40E7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0.285</w:t>
            </w:r>
          </w:p>
        </w:tc>
        <w:tc>
          <w:tcPr>
            <w:tcW w:w="519" w:type="pct"/>
            <w:tcBorders>
              <w:top w:val="nil"/>
              <w:left w:val="nil"/>
              <w:bottom w:val="single" w:sz="4" w:space="0" w:color="A6A6A6"/>
              <w:right w:val="single" w:sz="4" w:space="0" w:color="A6A6A6"/>
            </w:tcBorders>
            <w:vAlign w:val="center"/>
            <w:hideMark/>
          </w:tcPr>
          <w:p w14:paraId="1FCC16D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1.03 (0.96–1.10)</w:t>
            </w:r>
          </w:p>
        </w:tc>
        <w:tc>
          <w:tcPr>
            <w:tcW w:w="519" w:type="pct"/>
            <w:tcBorders>
              <w:top w:val="nil"/>
              <w:left w:val="nil"/>
              <w:bottom w:val="single" w:sz="4" w:space="0" w:color="A6A6A6"/>
              <w:right w:val="single" w:sz="4" w:space="0" w:color="A6A6A6"/>
            </w:tcBorders>
            <w:vAlign w:val="center"/>
            <w:hideMark/>
          </w:tcPr>
          <w:p w14:paraId="7394281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1.20 (0.77–1.86)</w:t>
            </w:r>
          </w:p>
        </w:tc>
        <w:tc>
          <w:tcPr>
            <w:tcW w:w="330" w:type="pct"/>
            <w:tcBorders>
              <w:top w:val="nil"/>
              <w:left w:val="nil"/>
              <w:bottom w:val="single" w:sz="4" w:space="0" w:color="A6A6A6"/>
              <w:right w:val="single" w:sz="4" w:space="0" w:color="A6A6A6"/>
            </w:tcBorders>
            <w:vAlign w:val="center"/>
            <w:hideMark/>
          </w:tcPr>
          <w:p w14:paraId="15D3D8B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0.513</w:t>
            </w:r>
          </w:p>
        </w:tc>
        <w:tc>
          <w:tcPr>
            <w:tcW w:w="519" w:type="pct"/>
            <w:tcBorders>
              <w:top w:val="nil"/>
              <w:left w:val="nil"/>
              <w:bottom w:val="single" w:sz="4" w:space="0" w:color="A6A6A6"/>
              <w:right w:val="single" w:sz="4" w:space="0" w:color="A6A6A6"/>
            </w:tcBorders>
            <w:vAlign w:val="center"/>
            <w:hideMark/>
          </w:tcPr>
          <w:p w14:paraId="7B2DF22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1.04 (1.00–1.09)</w:t>
            </w:r>
          </w:p>
        </w:tc>
        <w:tc>
          <w:tcPr>
            <w:tcW w:w="519" w:type="pct"/>
            <w:tcBorders>
              <w:top w:val="nil"/>
              <w:left w:val="nil"/>
              <w:bottom w:val="single" w:sz="4" w:space="0" w:color="A6A6A6"/>
              <w:right w:val="single" w:sz="4" w:space="0" w:color="A6A6A6"/>
            </w:tcBorders>
            <w:vAlign w:val="center"/>
            <w:hideMark/>
          </w:tcPr>
          <w:p w14:paraId="2CB047F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1.84 (0.95–3.56)</w:t>
            </w:r>
          </w:p>
        </w:tc>
        <w:tc>
          <w:tcPr>
            <w:tcW w:w="283" w:type="pct"/>
            <w:tcBorders>
              <w:top w:val="nil"/>
              <w:left w:val="nil"/>
              <w:bottom w:val="single" w:sz="4" w:space="0" w:color="A6A6A6"/>
              <w:right w:val="single" w:sz="4" w:space="0" w:color="A6A6A6"/>
            </w:tcBorders>
            <w:vAlign w:val="center"/>
            <w:hideMark/>
          </w:tcPr>
          <w:p w14:paraId="01C5C1C0"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0.083</w:t>
            </w:r>
          </w:p>
        </w:tc>
      </w:tr>
      <w:tr w:rsidR="00271469" w:rsidRPr="00B849D2" w14:paraId="3A973DFC" w14:textId="77777777" w:rsidTr="00271469">
        <w:trPr>
          <w:trHeight w:val="268"/>
        </w:trPr>
        <w:tc>
          <w:tcPr>
            <w:tcW w:w="425" w:type="pct"/>
            <w:tcBorders>
              <w:top w:val="single" w:sz="8" w:space="0" w:color="1F4E79"/>
              <w:left w:val="single" w:sz="4" w:space="0" w:color="A6A6A6"/>
              <w:bottom w:val="single" w:sz="4" w:space="0" w:color="A6A6A6"/>
              <w:right w:val="single" w:sz="4" w:space="0" w:color="A6A6A6"/>
            </w:tcBorders>
            <w:vAlign w:val="center"/>
            <w:hideMark/>
          </w:tcPr>
          <w:p w14:paraId="02D2ACC7" w14:textId="77777777" w:rsidR="000C3AD0" w:rsidRPr="00B849D2" w:rsidRDefault="000C3AD0" w:rsidP="000C3AD0">
            <w:pPr>
              <w:spacing w:after="0" w:line="240" w:lineRule="auto"/>
              <w:rPr>
                <w:rFonts w:ascii="Times New Roman" w:eastAsia="Times New Roman" w:hAnsi="Times New Roman" w:cs="Times New Roman"/>
                <w:b/>
                <w:bCs/>
                <w:kern w:val="0"/>
                <w:sz w:val="22"/>
                <w:szCs w:val="22"/>
                <w14:ligatures w14:val="none"/>
              </w:rPr>
            </w:pPr>
            <w:r w:rsidRPr="00B849D2">
              <w:rPr>
                <w:rFonts w:ascii="Times New Roman" w:eastAsia="Times New Roman" w:hAnsi="Times New Roman" w:cs="Times New Roman"/>
                <w:b/>
                <w:bCs/>
                <w:kern w:val="0"/>
                <w:sz w:val="22"/>
                <w:szCs w:val="22"/>
                <w14:ligatures w14:val="none"/>
              </w:rPr>
              <w:t>Cholelithiasis</w:t>
            </w:r>
          </w:p>
        </w:tc>
        <w:tc>
          <w:tcPr>
            <w:tcW w:w="566" w:type="pct"/>
            <w:tcBorders>
              <w:top w:val="single" w:sz="8" w:space="0" w:color="1F4E79"/>
              <w:left w:val="nil"/>
              <w:bottom w:val="single" w:sz="4" w:space="0" w:color="A6A6A6"/>
              <w:right w:val="single" w:sz="4" w:space="0" w:color="A6A6A6"/>
            </w:tcBorders>
            <w:vAlign w:val="center"/>
            <w:hideMark/>
          </w:tcPr>
          <w:p w14:paraId="673AF195"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Tirzepatide</w:t>
            </w:r>
          </w:p>
        </w:tc>
        <w:tc>
          <w:tcPr>
            <w:tcW w:w="519" w:type="pct"/>
            <w:tcBorders>
              <w:top w:val="single" w:sz="8" w:space="0" w:color="1F4E79"/>
              <w:left w:val="nil"/>
              <w:bottom w:val="single" w:sz="4" w:space="0" w:color="A6A6A6"/>
              <w:right w:val="single" w:sz="4" w:space="0" w:color="A6A6A6"/>
            </w:tcBorders>
            <w:vAlign w:val="center"/>
            <w:hideMark/>
          </w:tcPr>
          <w:p w14:paraId="5B52D02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 (1.03–1.19)</w:t>
            </w:r>
          </w:p>
        </w:tc>
        <w:tc>
          <w:tcPr>
            <w:tcW w:w="519" w:type="pct"/>
            <w:tcBorders>
              <w:top w:val="single" w:sz="8" w:space="0" w:color="1F4E79"/>
              <w:left w:val="nil"/>
              <w:bottom w:val="single" w:sz="4" w:space="0" w:color="A6A6A6"/>
              <w:right w:val="single" w:sz="4" w:space="0" w:color="A6A6A6"/>
            </w:tcBorders>
            <w:vAlign w:val="center"/>
            <w:hideMark/>
          </w:tcPr>
          <w:p w14:paraId="1309202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1.27 (1.06–1.52)</w:t>
            </w:r>
          </w:p>
        </w:tc>
        <w:tc>
          <w:tcPr>
            <w:tcW w:w="283" w:type="pct"/>
            <w:tcBorders>
              <w:top w:val="single" w:sz="8" w:space="0" w:color="1F4E79"/>
              <w:left w:val="nil"/>
              <w:bottom w:val="single" w:sz="4" w:space="0" w:color="A6A6A6"/>
              <w:right w:val="single" w:sz="4" w:space="0" w:color="A6A6A6"/>
            </w:tcBorders>
            <w:vAlign w:val="center"/>
            <w:hideMark/>
          </w:tcPr>
          <w:p w14:paraId="6023F8F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0.009</w:t>
            </w:r>
          </w:p>
        </w:tc>
        <w:tc>
          <w:tcPr>
            <w:tcW w:w="519" w:type="pct"/>
            <w:tcBorders>
              <w:top w:val="single" w:sz="8" w:space="0" w:color="1F4E79"/>
              <w:left w:val="nil"/>
              <w:bottom w:val="single" w:sz="4" w:space="0" w:color="A6A6A6"/>
              <w:right w:val="single" w:sz="4" w:space="0" w:color="A6A6A6"/>
            </w:tcBorders>
            <w:vAlign w:val="center"/>
            <w:hideMark/>
          </w:tcPr>
          <w:p w14:paraId="5F12484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 (1.07–1.30)</w:t>
            </w:r>
          </w:p>
        </w:tc>
        <w:tc>
          <w:tcPr>
            <w:tcW w:w="519" w:type="pct"/>
            <w:tcBorders>
              <w:top w:val="single" w:sz="8" w:space="0" w:color="1F4E79"/>
              <w:left w:val="nil"/>
              <w:bottom w:val="single" w:sz="4" w:space="0" w:color="A6A6A6"/>
              <w:right w:val="single" w:sz="4" w:space="0" w:color="A6A6A6"/>
            </w:tcBorders>
            <w:vAlign w:val="center"/>
            <w:hideMark/>
          </w:tcPr>
          <w:p w14:paraId="5B6AFED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1.47 (1.16–1.85)</w:t>
            </w:r>
          </w:p>
        </w:tc>
        <w:tc>
          <w:tcPr>
            <w:tcW w:w="330" w:type="pct"/>
            <w:tcBorders>
              <w:top w:val="single" w:sz="8" w:space="0" w:color="1F4E79"/>
              <w:left w:val="nil"/>
              <w:bottom w:val="single" w:sz="4" w:space="0" w:color="A6A6A6"/>
              <w:right w:val="single" w:sz="4" w:space="0" w:color="A6A6A6"/>
            </w:tcBorders>
            <w:vAlign w:val="center"/>
            <w:hideMark/>
          </w:tcPr>
          <w:p w14:paraId="32BF696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0.001</w:t>
            </w:r>
          </w:p>
        </w:tc>
        <w:tc>
          <w:tcPr>
            <w:tcW w:w="519" w:type="pct"/>
            <w:tcBorders>
              <w:top w:val="single" w:sz="8" w:space="0" w:color="1F4E79"/>
              <w:left w:val="nil"/>
              <w:bottom w:val="single" w:sz="4" w:space="0" w:color="A6A6A6"/>
              <w:right w:val="single" w:sz="4" w:space="0" w:color="A6A6A6"/>
            </w:tcBorders>
            <w:vAlign w:val="center"/>
            <w:hideMark/>
          </w:tcPr>
          <w:p w14:paraId="743B727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1.08 (0.99–1.18)</w:t>
            </w:r>
          </w:p>
        </w:tc>
        <w:tc>
          <w:tcPr>
            <w:tcW w:w="519" w:type="pct"/>
            <w:tcBorders>
              <w:top w:val="single" w:sz="8" w:space="0" w:color="1F4E79"/>
              <w:left w:val="nil"/>
              <w:bottom w:val="single" w:sz="4" w:space="0" w:color="A6A6A6"/>
              <w:right w:val="single" w:sz="4" w:space="0" w:color="A6A6A6"/>
            </w:tcBorders>
            <w:vAlign w:val="center"/>
            <w:hideMark/>
          </w:tcPr>
          <w:p w14:paraId="27A2A46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1.27 (0.97–1.67)</w:t>
            </w:r>
          </w:p>
        </w:tc>
        <w:tc>
          <w:tcPr>
            <w:tcW w:w="283" w:type="pct"/>
            <w:tcBorders>
              <w:top w:val="single" w:sz="8" w:space="0" w:color="1F4E79"/>
              <w:left w:val="nil"/>
              <w:bottom w:val="single" w:sz="4" w:space="0" w:color="A6A6A6"/>
              <w:right w:val="single" w:sz="4" w:space="0" w:color="A6A6A6"/>
            </w:tcBorders>
            <w:vAlign w:val="center"/>
            <w:hideMark/>
          </w:tcPr>
          <w:p w14:paraId="258A02B9"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0.099</w:t>
            </w:r>
          </w:p>
        </w:tc>
      </w:tr>
      <w:tr w:rsidR="00271469" w:rsidRPr="00B849D2" w14:paraId="14BC43B7"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5731D106"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566" w:type="pct"/>
            <w:tcBorders>
              <w:top w:val="nil"/>
              <w:left w:val="nil"/>
              <w:bottom w:val="single" w:sz="4" w:space="0" w:color="A6A6A6"/>
              <w:right w:val="single" w:sz="4" w:space="0" w:color="A6A6A6"/>
            </w:tcBorders>
            <w:vAlign w:val="center"/>
            <w:hideMark/>
          </w:tcPr>
          <w:p w14:paraId="2D2CC346"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Liraglutide</w:t>
            </w:r>
          </w:p>
        </w:tc>
        <w:tc>
          <w:tcPr>
            <w:tcW w:w="519" w:type="pct"/>
            <w:tcBorders>
              <w:top w:val="nil"/>
              <w:left w:val="nil"/>
              <w:bottom w:val="single" w:sz="4" w:space="0" w:color="A6A6A6"/>
              <w:right w:val="single" w:sz="4" w:space="0" w:color="A6A6A6"/>
            </w:tcBorders>
            <w:vAlign w:val="center"/>
            <w:hideMark/>
          </w:tcPr>
          <w:p w14:paraId="294C241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1.17 (1.09–1.27)</w:t>
            </w:r>
          </w:p>
        </w:tc>
        <w:tc>
          <w:tcPr>
            <w:tcW w:w="519" w:type="pct"/>
            <w:tcBorders>
              <w:top w:val="nil"/>
              <w:left w:val="nil"/>
              <w:bottom w:val="single" w:sz="4" w:space="0" w:color="A6A6A6"/>
              <w:right w:val="single" w:sz="4" w:space="0" w:color="A6A6A6"/>
            </w:tcBorders>
            <w:vAlign w:val="center"/>
            <w:hideMark/>
          </w:tcPr>
          <w:p w14:paraId="6910F053"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1.49 (1.22–1.81)</w:t>
            </w:r>
          </w:p>
        </w:tc>
        <w:tc>
          <w:tcPr>
            <w:tcW w:w="283" w:type="pct"/>
            <w:tcBorders>
              <w:top w:val="nil"/>
              <w:left w:val="nil"/>
              <w:bottom w:val="single" w:sz="4" w:space="0" w:color="A6A6A6"/>
              <w:right w:val="single" w:sz="4" w:space="0" w:color="A6A6A6"/>
            </w:tcBorders>
            <w:vAlign w:val="center"/>
            <w:hideMark/>
          </w:tcPr>
          <w:p w14:paraId="49E090E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47246F5F"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1.20 (1.08–1.32)</w:t>
            </w:r>
          </w:p>
        </w:tc>
        <w:tc>
          <w:tcPr>
            <w:tcW w:w="519" w:type="pct"/>
            <w:tcBorders>
              <w:top w:val="nil"/>
              <w:left w:val="nil"/>
              <w:bottom w:val="single" w:sz="4" w:space="0" w:color="A6A6A6"/>
              <w:right w:val="single" w:sz="4" w:space="0" w:color="A6A6A6"/>
            </w:tcBorders>
            <w:vAlign w:val="center"/>
            <w:hideMark/>
          </w:tcPr>
          <w:p w14:paraId="5BD16DD8"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1.53 (1.20–1.96)</w:t>
            </w:r>
          </w:p>
        </w:tc>
        <w:tc>
          <w:tcPr>
            <w:tcW w:w="330" w:type="pct"/>
            <w:tcBorders>
              <w:top w:val="nil"/>
              <w:left w:val="nil"/>
              <w:bottom w:val="single" w:sz="4" w:space="0" w:color="A6A6A6"/>
              <w:right w:val="single" w:sz="4" w:space="0" w:color="A6A6A6"/>
            </w:tcBorders>
            <w:vAlign w:val="center"/>
            <w:hideMark/>
          </w:tcPr>
          <w:p w14:paraId="0C6FEB9C"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3CAE87FA"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1.10 (1.00–1.21)</w:t>
            </w:r>
          </w:p>
        </w:tc>
        <w:tc>
          <w:tcPr>
            <w:tcW w:w="519" w:type="pct"/>
            <w:tcBorders>
              <w:top w:val="nil"/>
              <w:left w:val="nil"/>
              <w:bottom w:val="single" w:sz="4" w:space="0" w:color="A6A6A6"/>
              <w:right w:val="single" w:sz="4" w:space="0" w:color="A6A6A6"/>
            </w:tcBorders>
            <w:vAlign w:val="center"/>
            <w:hideMark/>
          </w:tcPr>
          <w:p w14:paraId="0EA3668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1.34 (1.00–1.78)</w:t>
            </w:r>
          </w:p>
        </w:tc>
        <w:tc>
          <w:tcPr>
            <w:tcW w:w="283" w:type="pct"/>
            <w:tcBorders>
              <w:top w:val="nil"/>
              <w:left w:val="nil"/>
              <w:bottom w:val="single" w:sz="4" w:space="0" w:color="A6A6A6"/>
              <w:right w:val="single" w:sz="4" w:space="0" w:color="A6A6A6"/>
            </w:tcBorders>
            <w:vAlign w:val="center"/>
            <w:hideMark/>
          </w:tcPr>
          <w:p w14:paraId="2DA1015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0.052</w:t>
            </w:r>
          </w:p>
        </w:tc>
      </w:tr>
      <w:tr w:rsidR="00271469" w:rsidRPr="00B849D2" w14:paraId="7B4C7091"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157E7B4E"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566" w:type="pct"/>
            <w:tcBorders>
              <w:top w:val="nil"/>
              <w:left w:val="nil"/>
              <w:bottom w:val="single" w:sz="4" w:space="0" w:color="A6A6A6"/>
              <w:right w:val="single" w:sz="4" w:space="0" w:color="A6A6A6"/>
            </w:tcBorders>
            <w:vAlign w:val="center"/>
            <w:hideMark/>
          </w:tcPr>
          <w:p w14:paraId="304D1F2D"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Exenatide</w:t>
            </w:r>
          </w:p>
        </w:tc>
        <w:tc>
          <w:tcPr>
            <w:tcW w:w="519" w:type="pct"/>
            <w:tcBorders>
              <w:top w:val="nil"/>
              <w:left w:val="nil"/>
              <w:bottom w:val="single" w:sz="4" w:space="0" w:color="A6A6A6"/>
              <w:right w:val="single" w:sz="4" w:space="0" w:color="A6A6A6"/>
            </w:tcBorders>
            <w:vAlign w:val="center"/>
            <w:hideMark/>
          </w:tcPr>
          <w:p w14:paraId="19B1D1E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1.27 (1.18–1.36)</w:t>
            </w:r>
          </w:p>
        </w:tc>
        <w:tc>
          <w:tcPr>
            <w:tcW w:w="519" w:type="pct"/>
            <w:tcBorders>
              <w:top w:val="nil"/>
              <w:left w:val="nil"/>
              <w:bottom w:val="single" w:sz="4" w:space="0" w:color="A6A6A6"/>
              <w:right w:val="single" w:sz="4" w:space="0" w:color="A6A6A6"/>
            </w:tcBorders>
            <w:vAlign w:val="center"/>
            <w:hideMark/>
          </w:tcPr>
          <w:p w14:paraId="55CE222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1.88 (1.52–2.32)</w:t>
            </w:r>
          </w:p>
        </w:tc>
        <w:tc>
          <w:tcPr>
            <w:tcW w:w="283" w:type="pct"/>
            <w:tcBorders>
              <w:top w:val="nil"/>
              <w:left w:val="nil"/>
              <w:bottom w:val="single" w:sz="4" w:space="0" w:color="A6A6A6"/>
              <w:right w:val="single" w:sz="4" w:space="0" w:color="A6A6A6"/>
            </w:tcBorders>
            <w:vAlign w:val="center"/>
            <w:hideMark/>
          </w:tcPr>
          <w:p w14:paraId="6000CB1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197D2A6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1.36 (1.24–1.49)</w:t>
            </w:r>
          </w:p>
        </w:tc>
        <w:tc>
          <w:tcPr>
            <w:tcW w:w="519" w:type="pct"/>
            <w:tcBorders>
              <w:top w:val="nil"/>
              <w:left w:val="nil"/>
              <w:bottom w:val="single" w:sz="4" w:space="0" w:color="A6A6A6"/>
              <w:right w:val="single" w:sz="4" w:space="0" w:color="A6A6A6"/>
            </w:tcBorders>
            <w:vAlign w:val="center"/>
            <w:hideMark/>
          </w:tcPr>
          <w:p w14:paraId="71D03F2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2.27 (1.76–2.92)</w:t>
            </w:r>
          </w:p>
        </w:tc>
        <w:tc>
          <w:tcPr>
            <w:tcW w:w="330" w:type="pct"/>
            <w:tcBorders>
              <w:top w:val="nil"/>
              <w:left w:val="nil"/>
              <w:bottom w:val="single" w:sz="4" w:space="0" w:color="A6A6A6"/>
              <w:right w:val="single" w:sz="4" w:space="0" w:color="A6A6A6"/>
            </w:tcBorders>
            <w:vAlign w:val="center"/>
            <w:hideMark/>
          </w:tcPr>
          <w:p w14:paraId="5D12B80B"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&lt;0.001</w:t>
            </w:r>
          </w:p>
        </w:tc>
        <w:tc>
          <w:tcPr>
            <w:tcW w:w="519" w:type="pct"/>
            <w:tcBorders>
              <w:top w:val="nil"/>
              <w:left w:val="nil"/>
              <w:bottom w:val="single" w:sz="4" w:space="0" w:color="A6A6A6"/>
              <w:right w:val="single" w:sz="4" w:space="0" w:color="A6A6A6"/>
            </w:tcBorders>
            <w:vAlign w:val="center"/>
            <w:hideMark/>
          </w:tcPr>
          <w:p w14:paraId="322B5CEE"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 (1.02–1.21)</w:t>
            </w:r>
          </w:p>
        </w:tc>
        <w:tc>
          <w:tcPr>
            <w:tcW w:w="519" w:type="pct"/>
            <w:tcBorders>
              <w:top w:val="nil"/>
              <w:left w:val="nil"/>
              <w:bottom w:val="single" w:sz="4" w:space="0" w:color="A6A6A6"/>
              <w:right w:val="single" w:sz="4" w:space="0" w:color="A6A6A6"/>
            </w:tcBorders>
            <w:vAlign w:val="center"/>
            <w:hideMark/>
          </w:tcPr>
          <w:p w14:paraId="4498F59F"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1.37 (1.04–1.81)</w:t>
            </w:r>
          </w:p>
        </w:tc>
        <w:tc>
          <w:tcPr>
            <w:tcW w:w="283" w:type="pct"/>
            <w:tcBorders>
              <w:top w:val="nil"/>
              <w:left w:val="nil"/>
              <w:bottom w:val="single" w:sz="4" w:space="0" w:color="A6A6A6"/>
              <w:right w:val="single" w:sz="4" w:space="0" w:color="A6A6A6"/>
            </w:tcBorders>
            <w:vAlign w:val="center"/>
            <w:hideMark/>
          </w:tcPr>
          <w:p w14:paraId="3B13A277"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0.027</w:t>
            </w:r>
          </w:p>
        </w:tc>
      </w:tr>
      <w:tr w:rsidR="00271469" w:rsidRPr="00B849D2" w14:paraId="575069CB" w14:textId="77777777" w:rsidTr="00271469">
        <w:trPr>
          <w:trHeight w:val="268"/>
        </w:trPr>
        <w:tc>
          <w:tcPr>
            <w:tcW w:w="425" w:type="pct"/>
            <w:tcBorders>
              <w:top w:val="nil"/>
              <w:left w:val="single" w:sz="4" w:space="0" w:color="A6A6A6"/>
              <w:bottom w:val="single" w:sz="4" w:space="0" w:color="A6A6A6"/>
              <w:right w:val="single" w:sz="4" w:space="0" w:color="A6A6A6"/>
            </w:tcBorders>
            <w:vAlign w:val="center"/>
            <w:hideMark/>
          </w:tcPr>
          <w:p w14:paraId="3E875380"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Cholelithiasis</w:t>
            </w:r>
          </w:p>
        </w:tc>
        <w:tc>
          <w:tcPr>
            <w:tcW w:w="566" w:type="pct"/>
            <w:tcBorders>
              <w:top w:val="nil"/>
              <w:left w:val="nil"/>
              <w:bottom w:val="single" w:sz="4" w:space="0" w:color="A6A6A6"/>
              <w:right w:val="single" w:sz="4" w:space="0" w:color="A6A6A6"/>
            </w:tcBorders>
            <w:vAlign w:val="center"/>
            <w:hideMark/>
          </w:tcPr>
          <w:p w14:paraId="689B33D5" w14:textId="77777777" w:rsidR="000C3AD0" w:rsidRPr="00B849D2" w:rsidRDefault="000C3AD0" w:rsidP="000C3AD0">
            <w:pPr>
              <w:spacing w:after="0" w:line="240" w:lineRule="auto"/>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Dulaglutide</w:t>
            </w:r>
          </w:p>
        </w:tc>
        <w:tc>
          <w:tcPr>
            <w:tcW w:w="519" w:type="pct"/>
            <w:tcBorders>
              <w:top w:val="nil"/>
              <w:left w:val="nil"/>
              <w:bottom w:val="single" w:sz="4" w:space="0" w:color="A6A6A6"/>
              <w:right w:val="single" w:sz="4" w:space="0" w:color="A6A6A6"/>
            </w:tcBorders>
            <w:vAlign w:val="center"/>
            <w:hideMark/>
          </w:tcPr>
          <w:p w14:paraId="25206685"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1.07 (0.97–1.19)</w:t>
            </w:r>
          </w:p>
        </w:tc>
        <w:tc>
          <w:tcPr>
            <w:tcW w:w="519" w:type="pct"/>
            <w:tcBorders>
              <w:top w:val="nil"/>
              <w:left w:val="nil"/>
              <w:bottom w:val="single" w:sz="4" w:space="0" w:color="A6A6A6"/>
              <w:right w:val="single" w:sz="4" w:space="0" w:color="A6A6A6"/>
            </w:tcBorders>
            <w:vAlign w:val="center"/>
            <w:hideMark/>
          </w:tcPr>
          <w:p w14:paraId="6709C49F"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1.18 (0.92–1.50)</w:t>
            </w:r>
          </w:p>
        </w:tc>
        <w:tc>
          <w:tcPr>
            <w:tcW w:w="283" w:type="pct"/>
            <w:tcBorders>
              <w:top w:val="nil"/>
              <w:left w:val="nil"/>
              <w:bottom w:val="single" w:sz="4" w:space="0" w:color="A6A6A6"/>
              <w:right w:val="single" w:sz="4" w:space="0" w:color="A6A6A6"/>
            </w:tcBorders>
            <w:vAlign w:val="center"/>
            <w:hideMark/>
          </w:tcPr>
          <w:p w14:paraId="7CC8EC7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0.200</w:t>
            </w:r>
          </w:p>
        </w:tc>
        <w:tc>
          <w:tcPr>
            <w:tcW w:w="519" w:type="pct"/>
            <w:tcBorders>
              <w:top w:val="nil"/>
              <w:left w:val="nil"/>
              <w:bottom w:val="single" w:sz="4" w:space="0" w:color="A6A6A6"/>
              <w:right w:val="single" w:sz="4" w:space="0" w:color="A6A6A6"/>
            </w:tcBorders>
            <w:vAlign w:val="center"/>
            <w:hideMark/>
          </w:tcPr>
          <w:p w14:paraId="43246FD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1.10 (0.96–1.27)</w:t>
            </w:r>
          </w:p>
        </w:tc>
        <w:tc>
          <w:tcPr>
            <w:tcW w:w="519" w:type="pct"/>
            <w:tcBorders>
              <w:top w:val="nil"/>
              <w:left w:val="nil"/>
              <w:bottom w:val="single" w:sz="4" w:space="0" w:color="A6A6A6"/>
              <w:right w:val="single" w:sz="4" w:space="0" w:color="A6A6A6"/>
            </w:tcBorders>
            <w:vAlign w:val="center"/>
            <w:hideMark/>
          </w:tcPr>
          <w:p w14:paraId="67E45B02"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1.25 (0.91–1.72)</w:t>
            </w:r>
          </w:p>
        </w:tc>
        <w:tc>
          <w:tcPr>
            <w:tcW w:w="330" w:type="pct"/>
            <w:tcBorders>
              <w:top w:val="nil"/>
              <w:left w:val="nil"/>
              <w:bottom w:val="single" w:sz="4" w:space="0" w:color="A6A6A6"/>
              <w:right w:val="single" w:sz="4" w:space="0" w:color="A6A6A6"/>
            </w:tcBorders>
            <w:vAlign w:val="center"/>
            <w:hideMark/>
          </w:tcPr>
          <w:p w14:paraId="3E8440E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0.173</w:t>
            </w:r>
          </w:p>
        </w:tc>
        <w:tc>
          <w:tcPr>
            <w:tcW w:w="519" w:type="pct"/>
            <w:tcBorders>
              <w:top w:val="nil"/>
              <w:left w:val="nil"/>
              <w:bottom w:val="single" w:sz="4" w:space="0" w:color="A6A6A6"/>
              <w:right w:val="single" w:sz="4" w:space="0" w:color="A6A6A6"/>
            </w:tcBorders>
            <w:vAlign w:val="center"/>
            <w:hideMark/>
          </w:tcPr>
          <w:p w14:paraId="72B9D9D1"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1.11 (1.00–1.23)</w:t>
            </w:r>
          </w:p>
        </w:tc>
        <w:tc>
          <w:tcPr>
            <w:tcW w:w="519" w:type="pct"/>
            <w:tcBorders>
              <w:top w:val="nil"/>
              <w:left w:val="nil"/>
              <w:bottom w:val="single" w:sz="4" w:space="0" w:color="A6A6A6"/>
              <w:right w:val="single" w:sz="4" w:space="0" w:color="A6A6A6"/>
            </w:tcBorders>
            <w:vAlign w:val="center"/>
            <w:hideMark/>
          </w:tcPr>
          <w:p w14:paraId="5EE61E36"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1.39 (0.99–1.95)</w:t>
            </w:r>
          </w:p>
        </w:tc>
        <w:tc>
          <w:tcPr>
            <w:tcW w:w="283" w:type="pct"/>
            <w:tcBorders>
              <w:top w:val="nil"/>
              <w:left w:val="nil"/>
              <w:bottom w:val="single" w:sz="4" w:space="0" w:color="A6A6A6"/>
              <w:right w:val="single" w:sz="4" w:space="0" w:color="A6A6A6"/>
            </w:tcBorders>
            <w:vAlign w:val="center"/>
            <w:hideMark/>
          </w:tcPr>
          <w:p w14:paraId="3D21DE0D" w14:textId="77777777" w:rsidR="000C3AD0" w:rsidRPr="00B849D2" w:rsidRDefault="000C3AD0" w:rsidP="000C3AD0">
            <w:pPr>
              <w:spacing w:after="0" w:line="240" w:lineRule="auto"/>
              <w:jc w:val="center"/>
              <w:rPr>
                <w:rFonts w:ascii="Times New Roman" w:eastAsia="Times New Roman" w:hAnsi="Times New Roman" w:cs="Times New Roman"/>
                <w:color w:val="000000"/>
                <w:kern w:val="0"/>
                <w:sz w:val="22"/>
                <w:szCs w:val="22"/>
                <w14:ligatures w14:val="none"/>
              </w:rPr>
            </w:pPr>
            <w:r w:rsidRPr="00B849D2">
              <w:rPr>
                <w:rFonts w:ascii="Times New Roman" w:eastAsia="Times New Roman" w:hAnsi="Times New Roman" w:cs="Times New Roman"/>
                <w:color w:val="000000"/>
                <w:kern w:val="0"/>
                <w:sz w:val="22"/>
                <w:szCs w:val="22"/>
                <w14:ligatures w14:val="none"/>
              </w:rPr>
              <w:t>0.066</w:t>
            </w:r>
          </w:p>
        </w:tc>
      </w:tr>
    </w:tbl>
    <w:p w14:paraId="78947F20" w14:textId="77777777" w:rsidR="000C3AD0" w:rsidRPr="00B849D2" w:rsidRDefault="000C3AD0">
      <w:pPr>
        <w:rPr>
          <w:rFonts w:ascii="Times New Roman" w:hAnsi="Times New Roman" w:cs="Times New Roman"/>
        </w:rPr>
      </w:pPr>
    </w:p>
    <w:sectPr w:rsidR="000C3AD0" w:rsidRPr="00B849D2" w:rsidSect="00FF396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A7C5" w14:textId="77777777" w:rsidR="00930A1B" w:rsidRDefault="00930A1B">
      <w:pPr>
        <w:spacing w:after="0" w:line="240" w:lineRule="auto"/>
      </w:pPr>
      <w:r>
        <w:separator/>
      </w:r>
    </w:p>
  </w:endnote>
  <w:endnote w:type="continuationSeparator" w:id="0">
    <w:p w14:paraId="0836ED69" w14:textId="77777777" w:rsidR="00930A1B" w:rsidRDefault="0093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2BAC" w14:textId="5D00C073" w:rsidR="002330CE" w:rsidRDefault="002330C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A432" w14:textId="77777777" w:rsidR="00930A1B" w:rsidRDefault="00930A1B">
      <w:pPr>
        <w:spacing w:after="0" w:line="240" w:lineRule="auto"/>
      </w:pPr>
      <w:r>
        <w:separator/>
      </w:r>
    </w:p>
  </w:footnote>
  <w:footnote w:type="continuationSeparator" w:id="0">
    <w:p w14:paraId="5A6DDA6D" w14:textId="77777777" w:rsidR="00930A1B" w:rsidRDefault="0093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5F16" w14:textId="77777777" w:rsidR="002330CE" w:rsidRDefault="002330CE">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2D"/>
    <w:rsid w:val="00017131"/>
    <w:rsid w:val="00026D57"/>
    <w:rsid w:val="0006474D"/>
    <w:rsid w:val="000C3AD0"/>
    <w:rsid w:val="000F00A7"/>
    <w:rsid w:val="0016220C"/>
    <w:rsid w:val="001711EE"/>
    <w:rsid w:val="00232735"/>
    <w:rsid w:val="002330CE"/>
    <w:rsid w:val="002530F0"/>
    <w:rsid w:val="00271469"/>
    <w:rsid w:val="002F28E2"/>
    <w:rsid w:val="00497C7C"/>
    <w:rsid w:val="006C222D"/>
    <w:rsid w:val="006D179A"/>
    <w:rsid w:val="00930A1B"/>
    <w:rsid w:val="00A308B2"/>
    <w:rsid w:val="00A40A18"/>
    <w:rsid w:val="00A93075"/>
    <w:rsid w:val="00AB19BD"/>
    <w:rsid w:val="00AC0C84"/>
    <w:rsid w:val="00B13FED"/>
    <w:rsid w:val="00B241ED"/>
    <w:rsid w:val="00B849D2"/>
    <w:rsid w:val="00C836C2"/>
    <w:rsid w:val="00CA4875"/>
    <w:rsid w:val="00D702C6"/>
    <w:rsid w:val="00D92C95"/>
    <w:rsid w:val="00E379D8"/>
    <w:rsid w:val="00E47AEB"/>
    <w:rsid w:val="00F84DCC"/>
    <w:rsid w:val="00FF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56C394"/>
  <w15:chartTrackingRefBased/>
  <w15:docId w15:val="{7559309C-E06B-4DC8-AA23-84E3ADC4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22D"/>
    <w:rPr>
      <w:rFonts w:eastAsiaTheme="majorEastAsia" w:cstheme="majorBidi"/>
      <w:color w:val="272727" w:themeColor="text1" w:themeTint="D8"/>
    </w:rPr>
  </w:style>
  <w:style w:type="paragraph" w:styleId="Title">
    <w:name w:val="Title"/>
    <w:basedOn w:val="Normal"/>
    <w:next w:val="Normal"/>
    <w:link w:val="TitleChar"/>
    <w:uiPriority w:val="10"/>
    <w:qFormat/>
    <w:rsid w:val="006C2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22D"/>
    <w:pPr>
      <w:spacing w:before="160"/>
      <w:jc w:val="center"/>
    </w:pPr>
    <w:rPr>
      <w:i/>
      <w:iCs/>
      <w:color w:val="404040" w:themeColor="text1" w:themeTint="BF"/>
    </w:rPr>
  </w:style>
  <w:style w:type="character" w:customStyle="1" w:styleId="QuoteChar">
    <w:name w:val="Quote Char"/>
    <w:basedOn w:val="DefaultParagraphFont"/>
    <w:link w:val="Quote"/>
    <w:uiPriority w:val="29"/>
    <w:rsid w:val="006C222D"/>
    <w:rPr>
      <w:i/>
      <w:iCs/>
      <w:color w:val="404040" w:themeColor="text1" w:themeTint="BF"/>
    </w:rPr>
  </w:style>
  <w:style w:type="paragraph" w:styleId="ListParagraph">
    <w:name w:val="List Paragraph"/>
    <w:basedOn w:val="Normal"/>
    <w:uiPriority w:val="34"/>
    <w:qFormat/>
    <w:rsid w:val="006C222D"/>
    <w:pPr>
      <w:ind w:left="720"/>
      <w:contextualSpacing/>
    </w:pPr>
  </w:style>
  <w:style w:type="character" w:styleId="IntenseEmphasis">
    <w:name w:val="Intense Emphasis"/>
    <w:basedOn w:val="DefaultParagraphFont"/>
    <w:uiPriority w:val="21"/>
    <w:qFormat/>
    <w:rsid w:val="006C222D"/>
    <w:rPr>
      <w:i/>
      <w:iCs/>
      <w:color w:val="0F4761" w:themeColor="accent1" w:themeShade="BF"/>
    </w:rPr>
  </w:style>
  <w:style w:type="paragraph" w:styleId="IntenseQuote">
    <w:name w:val="Intense Quote"/>
    <w:basedOn w:val="Normal"/>
    <w:next w:val="Normal"/>
    <w:link w:val="IntenseQuoteChar"/>
    <w:uiPriority w:val="30"/>
    <w:qFormat/>
    <w:rsid w:val="006C2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22D"/>
    <w:rPr>
      <w:i/>
      <w:iCs/>
      <w:color w:val="0F4761" w:themeColor="accent1" w:themeShade="BF"/>
    </w:rPr>
  </w:style>
  <w:style w:type="character" w:styleId="IntenseReference">
    <w:name w:val="Intense Reference"/>
    <w:basedOn w:val="DefaultParagraphFont"/>
    <w:uiPriority w:val="32"/>
    <w:qFormat/>
    <w:rsid w:val="006C222D"/>
    <w:rPr>
      <w:b/>
      <w:bCs/>
      <w:smallCaps/>
      <w:color w:val="0F4761" w:themeColor="accent1" w:themeShade="BF"/>
      <w:spacing w:val="5"/>
    </w:rPr>
  </w:style>
  <w:style w:type="character" w:styleId="Hyperlink">
    <w:name w:val="Hyperlink"/>
    <w:basedOn w:val="DefaultParagraphFont"/>
    <w:uiPriority w:val="99"/>
    <w:semiHidden/>
    <w:unhideWhenUsed/>
    <w:rsid w:val="002F28E2"/>
    <w:rPr>
      <w:color w:val="0000FF"/>
      <w:u w:val="single"/>
    </w:rPr>
  </w:style>
  <w:style w:type="character" w:styleId="FollowedHyperlink">
    <w:name w:val="FollowedHyperlink"/>
    <w:basedOn w:val="DefaultParagraphFont"/>
    <w:uiPriority w:val="99"/>
    <w:semiHidden/>
    <w:unhideWhenUsed/>
    <w:rsid w:val="002F28E2"/>
    <w:rPr>
      <w:color w:val="800080"/>
      <w:u w:val="single"/>
    </w:rPr>
  </w:style>
  <w:style w:type="paragraph" w:customStyle="1" w:styleId="msonormal0">
    <w:name w:val="msonormal"/>
    <w:basedOn w:val="Normal"/>
    <w:rsid w:val="002F28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2F28E2"/>
    <w:pPr>
      <w:pBdr>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Calibri" w:eastAsia="Times New Roman" w:hAnsi="Calibri" w:cs="Calibri"/>
      <w:b/>
      <w:bCs/>
      <w:color w:val="FFFFFF"/>
      <w:kern w:val="0"/>
      <w14:ligatures w14:val="none"/>
    </w:rPr>
  </w:style>
  <w:style w:type="paragraph" w:customStyle="1" w:styleId="xl66">
    <w:name w:val="xl66"/>
    <w:basedOn w:val="Normal"/>
    <w:rsid w:val="002F28E2"/>
    <w:pPr>
      <w:pBdr>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Calibri" w:eastAsia="Times New Roman" w:hAnsi="Calibri" w:cs="Calibri"/>
      <w:b/>
      <w:bCs/>
      <w:color w:val="FFFFFF"/>
      <w:kern w:val="0"/>
      <w14:ligatures w14:val="none"/>
    </w:rPr>
  </w:style>
  <w:style w:type="paragraph" w:customStyle="1" w:styleId="xl67">
    <w:name w:val="xl67"/>
    <w:basedOn w:val="Normal"/>
    <w:rsid w:val="002F28E2"/>
    <w:pPr>
      <w:pBdr>
        <w:left w:val="single" w:sz="4" w:space="0" w:color="auto"/>
        <w:bottom w:val="single" w:sz="4" w:space="0" w:color="auto"/>
      </w:pBdr>
      <w:shd w:val="clear" w:color="000000" w:fill="404040"/>
      <w:spacing w:before="100" w:beforeAutospacing="1" w:after="100" w:afterAutospacing="1" w:line="240" w:lineRule="auto"/>
      <w:jc w:val="center"/>
      <w:textAlignment w:val="center"/>
    </w:pPr>
    <w:rPr>
      <w:rFonts w:ascii="Calibri" w:eastAsia="Times New Roman" w:hAnsi="Calibri" w:cs="Calibri"/>
      <w:b/>
      <w:bCs/>
      <w:color w:val="FFFFFF"/>
      <w:kern w:val="0"/>
      <w14:ligatures w14:val="none"/>
    </w:rPr>
  </w:style>
  <w:style w:type="paragraph" w:customStyle="1" w:styleId="xl68">
    <w:name w:val="xl68"/>
    <w:basedOn w:val="Normal"/>
    <w:rsid w:val="002F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9">
    <w:name w:val="xl69"/>
    <w:basedOn w:val="Normal"/>
    <w:rsid w:val="002F28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0">
    <w:name w:val="xl70"/>
    <w:basedOn w:val="Normal"/>
    <w:rsid w:val="002F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1">
    <w:name w:val="xl71"/>
    <w:basedOn w:val="Normal"/>
    <w:rsid w:val="002F28E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2">
    <w:name w:val="xl72"/>
    <w:basedOn w:val="Normal"/>
    <w:rsid w:val="002F28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3">
    <w:name w:val="xl73"/>
    <w:basedOn w:val="Normal"/>
    <w:rsid w:val="002F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4">
    <w:name w:val="xl74"/>
    <w:basedOn w:val="Normal"/>
    <w:rsid w:val="002F2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5">
    <w:name w:val="xl75"/>
    <w:basedOn w:val="Normal"/>
    <w:rsid w:val="002F28E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6">
    <w:name w:val="xl76"/>
    <w:basedOn w:val="Normal"/>
    <w:rsid w:val="002F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7">
    <w:name w:val="xl77"/>
    <w:basedOn w:val="Normal"/>
    <w:rsid w:val="002F28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2330CE"/>
    <w:pPr>
      <w:widowControl w:val="0"/>
      <w:autoSpaceDE w:val="0"/>
      <w:autoSpaceDN w:val="0"/>
      <w:spacing w:after="0" w:line="240" w:lineRule="auto"/>
    </w:pPr>
    <w:rPr>
      <w:rFonts w:ascii="Times New Roman" w:eastAsia="Times New Roman" w:hAnsi="Times New Roman" w:cs="Times New Roman"/>
      <w:kern w:val="0"/>
      <w:sz w:val="15"/>
      <w:szCs w:val="15"/>
      <w14:ligatures w14:val="none"/>
    </w:rPr>
  </w:style>
  <w:style w:type="character" w:customStyle="1" w:styleId="BodyTextChar">
    <w:name w:val="Body Text Char"/>
    <w:basedOn w:val="DefaultParagraphFont"/>
    <w:link w:val="BodyText"/>
    <w:uiPriority w:val="1"/>
    <w:rsid w:val="002330CE"/>
    <w:rPr>
      <w:rFonts w:ascii="Times New Roman" w:eastAsia="Times New Roman" w:hAnsi="Times New Roman" w:cs="Times New Roman"/>
      <w:kern w:val="0"/>
      <w:sz w:val="15"/>
      <w:szCs w:val="15"/>
      <w14:ligatures w14:val="none"/>
    </w:rPr>
  </w:style>
  <w:style w:type="paragraph" w:customStyle="1" w:styleId="TableParagraph">
    <w:name w:val="Table Paragraph"/>
    <w:basedOn w:val="Normal"/>
    <w:uiPriority w:val="1"/>
    <w:qFormat/>
    <w:rsid w:val="002330C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TableNote">
    <w:name w:val="TableNote"/>
    <w:basedOn w:val="Normal"/>
    <w:rsid w:val="000F00A7"/>
    <w:pPr>
      <w:spacing w:after="0" w:line="300" w:lineRule="exact"/>
    </w:pPr>
    <w:rPr>
      <w:rFonts w:ascii="Times New Roman" w:eastAsia="Times New Roman" w:hAnsi="Times New Roman" w:cs="Times New Roman"/>
      <w:kern w:val="0"/>
      <w:szCs w:val="20"/>
      <w:lang w:val="en-GB"/>
      <w14:ligatures w14:val="none"/>
    </w:rPr>
  </w:style>
  <w:style w:type="paragraph" w:customStyle="1" w:styleId="TableTitle">
    <w:name w:val="TableTitle"/>
    <w:basedOn w:val="Normal"/>
    <w:rsid w:val="000F00A7"/>
    <w:pPr>
      <w:spacing w:after="0" w:line="300" w:lineRule="exact"/>
    </w:pPr>
    <w:rPr>
      <w:rFonts w:ascii="Times New Roman" w:eastAsia="Times New Roman" w:hAnsi="Times New Roman" w:cs="Times New Roman"/>
      <w:kern w:val="0"/>
      <w:szCs w:val="20"/>
      <w:lang w:val="en-GB"/>
      <w14:ligatures w14:val="none"/>
    </w:rPr>
  </w:style>
  <w:style w:type="paragraph" w:customStyle="1" w:styleId="TableHeader">
    <w:name w:val="TableHeader"/>
    <w:basedOn w:val="Normal"/>
    <w:rsid w:val="000F00A7"/>
    <w:pPr>
      <w:spacing w:before="120" w:after="0" w:line="240" w:lineRule="auto"/>
    </w:pPr>
    <w:rPr>
      <w:rFonts w:ascii="Times New Roman" w:eastAsia="Times New Roman" w:hAnsi="Times New Roman" w:cs="Times New Roman"/>
      <w:b/>
      <w:kern w:val="0"/>
      <w:szCs w:val="20"/>
      <w:lang w:val="en-GB"/>
      <w14:ligatures w14:val="none"/>
    </w:rPr>
  </w:style>
  <w:style w:type="paragraph" w:customStyle="1" w:styleId="TableSubHead">
    <w:name w:val="TableSubHead"/>
    <w:basedOn w:val="TableHeader"/>
    <w:rsid w:val="000F00A7"/>
  </w:style>
  <w:style w:type="paragraph" w:styleId="NormalWeb">
    <w:name w:val="Normal (Web)"/>
    <w:basedOn w:val="Normal"/>
    <w:uiPriority w:val="99"/>
    <w:unhideWhenUsed/>
    <w:rsid w:val="00B13FE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750FA-E5E4-4ADC-81E5-3D47316D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5517</Words>
  <Characters>31449</Characters>
  <Application>Microsoft Office Word</Application>
  <DocSecurity>0</DocSecurity>
  <Lines>262</Lines>
  <Paragraphs>73</Paragraphs>
  <ScaleCrop>false</ScaleCrop>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Alvina s</dc:creator>
  <cp:keywords/>
  <dc:description/>
  <cp:lastModifiedBy>Alvina s</cp:lastModifiedBy>
  <cp:revision>25</cp:revision>
  <dcterms:created xsi:type="dcterms:W3CDTF">2026-02-20T20:33:00Z</dcterms:created>
  <dcterms:modified xsi:type="dcterms:W3CDTF">2026-03-06T20:47:00Z</dcterms:modified>
</cp:coreProperties>
</file>