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459" w:rsidRPr="00B33543" w:rsidRDefault="00D33459" w:rsidP="00D33459">
      <w:pPr>
        <w:jc w:val="center"/>
        <w:rPr>
          <w:rFonts w:asciiTheme="majorBidi" w:hAnsiTheme="majorBidi" w:cstheme="majorBidi"/>
          <w:b/>
          <w:bCs/>
          <w:sz w:val="24"/>
          <w:szCs w:val="24"/>
        </w:rPr>
      </w:pPr>
      <w:r>
        <w:rPr>
          <w:rFonts w:asciiTheme="majorBidi" w:hAnsiTheme="majorBidi" w:cstheme="majorBidi"/>
          <w:b/>
          <w:bCs/>
          <w:sz w:val="24"/>
          <w:szCs w:val="24"/>
        </w:rPr>
        <w:t>Evaluation of Air pollutant Concentration</w:t>
      </w:r>
      <w:r w:rsidRPr="00B33543">
        <w:rPr>
          <w:rFonts w:asciiTheme="majorBidi" w:hAnsiTheme="majorBidi" w:cstheme="majorBidi"/>
          <w:b/>
          <w:bCs/>
          <w:sz w:val="24"/>
          <w:szCs w:val="24"/>
        </w:rPr>
        <w:t xml:space="preserve"> from Continuous and Instantaneous Sources</w:t>
      </w:r>
    </w:p>
    <w:p w:rsidR="00D33459" w:rsidRDefault="00D33459" w:rsidP="00D33459">
      <w:pPr>
        <w:spacing w:after="0" w:line="240" w:lineRule="auto"/>
        <w:jc w:val="center"/>
        <w:rPr>
          <w:rFonts w:asciiTheme="majorBidi" w:hAnsiTheme="majorBidi" w:cstheme="majorBidi"/>
          <w:b/>
          <w:bCs/>
          <w:color w:val="000000"/>
          <w:vertAlign w:val="superscript"/>
        </w:rPr>
      </w:pPr>
      <w:proofErr w:type="spellStart"/>
      <w:r w:rsidRPr="003E7C9C">
        <w:rPr>
          <w:rFonts w:asciiTheme="majorBidi" w:hAnsiTheme="majorBidi" w:cstheme="majorBidi"/>
          <w:b/>
          <w:bCs/>
          <w:color w:val="000000"/>
        </w:rPr>
        <w:t>Khaled</w:t>
      </w:r>
      <w:proofErr w:type="spellEnd"/>
      <w:r w:rsidRPr="003E7C9C">
        <w:rPr>
          <w:rFonts w:asciiTheme="majorBidi" w:hAnsiTheme="majorBidi" w:cstheme="majorBidi"/>
          <w:b/>
          <w:bCs/>
          <w:color w:val="000000"/>
        </w:rPr>
        <w:t xml:space="preserve"> S. M. Essa</w:t>
      </w:r>
      <w:r w:rsidRPr="003E7C9C">
        <w:rPr>
          <w:rFonts w:asciiTheme="majorBidi" w:hAnsiTheme="majorBidi" w:cstheme="majorBidi"/>
          <w:b/>
          <w:bCs/>
          <w:color w:val="000000"/>
          <w:vertAlign w:val="superscript"/>
        </w:rPr>
        <w:t>1</w:t>
      </w:r>
      <w:r w:rsidRPr="003E7C9C">
        <w:rPr>
          <w:rFonts w:asciiTheme="majorBidi" w:hAnsiTheme="majorBidi" w:cstheme="majorBidi"/>
          <w:b/>
          <w:bCs/>
          <w:color w:val="000000"/>
        </w:rPr>
        <w:t xml:space="preserve">, </w:t>
      </w:r>
      <w:proofErr w:type="spellStart"/>
      <w:r w:rsidRPr="003E7C9C">
        <w:rPr>
          <w:rFonts w:asciiTheme="majorBidi" w:hAnsiTheme="majorBidi" w:cstheme="majorBidi"/>
          <w:b/>
          <w:bCs/>
          <w:color w:val="000000"/>
        </w:rPr>
        <w:t>Fawzia</w:t>
      </w:r>
      <w:proofErr w:type="spellEnd"/>
      <w:r w:rsidRPr="003E7C9C">
        <w:rPr>
          <w:rFonts w:asciiTheme="majorBidi" w:hAnsiTheme="majorBidi" w:cstheme="majorBidi"/>
          <w:b/>
          <w:bCs/>
          <w:color w:val="000000"/>
        </w:rPr>
        <w:t xml:space="preserve"> Mubarak</w:t>
      </w:r>
      <w:r w:rsidRPr="003E7C9C">
        <w:rPr>
          <w:rFonts w:asciiTheme="majorBidi" w:hAnsiTheme="majorBidi" w:cstheme="majorBidi"/>
          <w:b/>
          <w:bCs/>
          <w:color w:val="000000"/>
          <w:vertAlign w:val="superscript"/>
        </w:rPr>
        <w:t>2</w:t>
      </w:r>
      <w:r w:rsidRPr="003E7C9C">
        <w:rPr>
          <w:rFonts w:asciiTheme="majorBidi" w:hAnsiTheme="majorBidi" w:cstheme="majorBidi"/>
          <w:b/>
          <w:bCs/>
          <w:color w:val="000000"/>
        </w:rPr>
        <w:t xml:space="preserve"> and </w:t>
      </w:r>
      <w:proofErr w:type="spellStart"/>
      <w:r w:rsidRPr="003E7C9C">
        <w:rPr>
          <w:rFonts w:asciiTheme="majorBidi" w:hAnsiTheme="majorBidi" w:cstheme="majorBidi"/>
          <w:b/>
          <w:bCs/>
          <w:color w:val="000000"/>
        </w:rPr>
        <w:t>Safwat</w:t>
      </w:r>
      <w:proofErr w:type="spellEnd"/>
      <w:r w:rsidRPr="003E7C9C">
        <w:rPr>
          <w:rFonts w:asciiTheme="majorBidi" w:hAnsiTheme="majorBidi" w:cstheme="majorBidi"/>
          <w:b/>
          <w:bCs/>
          <w:color w:val="000000"/>
        </w:rPr>
        <w:t xml:space="preserve"> Salama</w:t>
      </w:r>
      <w:r w:rsidRPr="003E7C9C">
        <w:rPr>
          <w:rFonts w:asciiTheme="majorBidi" w:hAnsiTheme="majorBidi" w:cstheme="majorBidi"/>
          <w:b/>
          <w:bCs/>
          <w:color w:val="000000"/>
          <w:vertAlign w:val="superscript"/>
        </w:rPr>
        <w:t>3</w:t>
      </w:r>
    </w:p>
    <w:p w:rsidR="00D33459" w:rsidRPr="003E7C9C" w:rsidRDefault="00D33459" w:rsidP="00D33459">
      <w:pPr>
        <w:spacing w:after="0" w:line="240" w:lineRule="auto"/>
        <w:jc w:val="center"/>
        <w:rPr>
          <w:rFonts w:asciiTheme="majorBidi" w:hAnsiTheme="majorBidi" w:cstheme="majorBidi"/>
          <w:b/>
          <w:bCs/>
          <w:color w:val="000000"/>
          <w:vertAlign w:val="superscript"/>
        </w:rPr>
      </w:pPr>
    </w:p>
    <w:p w:rsidR="00D33459" w:rsidRPr="003E7C9C" w:rsidRDefault="00D33459" w:rsidP="00F04473">
      <w:pPr>
        <w:spacing w:after="0" w:line="240" w:lineRule="auto"/>
        <w:jc w:val="center"/>
        <w:rPr>
          <w:rFonts w:asciiTheme="majorBidi" w:hAnsiTheme="majorBidi" w:cstheme="majorBidi"/>
          <w:color w:val="000000"/>
          <w:sz w:val="20"/>
          <w:szCs w:val="20"/>
          <w:lang w:bidi="ar-EG"/>
        </w:rPr>
      </w:pPr>
      <w:bookmarkStart w:id="0" w:name="_GoBack"/>
      <w:r w:rsidRPr="003E7C9C">
        <w:rPr>
          <w:rFonts w:asciiTheme="majorBidi" w:hAnsiTheme="majorBidi" w:cstheme="majorBidi"/>
          <w:color w:val="000000"/>
          <w:sz w:val="20"/>
          <w:szCs w:val="20"/>
          <w:vertAlign w:val="superscript"/>
          <w:lang w:bidi="ar-EG"/>
        </w:rPr>
        <w:t>1</w:t>
      </w:r>
      <w:r w:rsidRPr="009644DF">
        <w:rPr>
          <w:rFonts w:asciiTheme="majorBidi" w:hAnsiTheme="majorBidi" w:cstheme="majorBidi"/>
          <w:color w:val="000000"/>
          <w:sz w:val="20"/>
          <w:szCs w:val="20"/>
          <w:lang w:bidi="ar-EG"/>
        </w:rPr>
        <w:t xml:space="preserve"> </w:t>
      </w:r>
      <w:r w:rsidRPr="003E7C9C">
        <w:rPr>
          <w:rFonts w:asciiTheme="majorBidi" w:hAnsiTheme="majorBidi" w:cstheme="majorBidi"/>
          <w:color w:val="000000"/>
          <w:sz w:val="20"/>
          <w:szCs w:val="20"/>
          <w:lang w:bidi="ar-EG"/>
        </w:rPr>
        <w:t xml:space="preserve">Egyptian Atomic </w:t>
      </w:r>
      <w:r w:rsidRPr="003E7C9C">
        <w:rPr>
          <w:rFonts w:asciiTheme="majorBidi" w:hAnsiTheme="majorBidi" w:cstheme="majorBidi"/>
          <w:noProof/>
          <w:color w:val="000000"/>
          <w:sz w:val="20"/>
          <w:szCs w:val="20"/>
          <w:lang w:bidi="ar-EG"/>
        </w:rPr>
        <w:t>Energy</w:t>
      </w:r>
      <w:r w:rsidRPr="003E7C9C">
        <w:rPr>
          <w:rFonts w:asciiTheme="majorBidi" w:hAnsiTheme="majorBidi" w:cstheme="majorBidi"/>
          <w:color w:val="000000"/>
          <w:sz w:val="20"/>
          <w:szCs w:val="20"/>
          <w:lang w:bidi="ar-EG"/>
        </w:rPr>
        <w:t xml:space="preserve"> Authority (EAEA),</w:t>
      </w:r>
      <w:r w:rsidRPr="009644DF">
        <w:rPr>
          <w:rFonts w:asciiTheme="majorBidi" w:hAnsiTheme="majorBidi" w:cstheme="majorBidi"/>
          <w:color w:val="000000"/>
          <w:sz w:val="20"/>
          <w:szCs w:val="20"/>
          <w:lang w:bidi="ar-EG"/>
        </w:rPr>
        <w:t xml:space="preserve"> </w:t>
      </w:r>
      <w:r w:rsidRPr="003E7C9C">
        <w:rPr>
          <w:rFonts w:asciiTheme="majorBidi" w:hAnsiTheme="majorBidi" w:cstheme="majorBidi"/>
          <w:color w:val="000000"/>
          <w:sz w:val="20"/>
          <w:szCs w:val="20"/>
          <w:lang w:bidi="ar-EG"/>
        </w:rPr>
        <w:t xml:space="preserve">Nuclear Research Center (NRC), Mathematical and Theoretical Physics Dept., Cairo, Egypt, </w:t>
      </w:r>
      <w:r w:rsidRPr="003E7C9C">
        <w:rPr>
          <w:rFonts w:asciiTheme="majorBidi" w:hAnsiTheme="majorBidi" w:cstheme="majorBidi"/>
          <w:color w:val="000000"/>
          <w:sz w:val="20"/>
          <w:szCs w:val="20"/>
          <w:vertAlign w:val="superscript"/>
          <w:lang w:bidi="ar-EG"/>
        </w:rPr>
        <w:t>*</w:t>
      </w:r>
      <w:hyperlink r:id="rId5" w:history="1">
        <w:r w:rsidRPr="003E7C9C">
          <w:rPr>
            <w:rStyle w:val="Hyperlink"/>
            <w:rFonts w:asciiTheme="majorBidi" w:hAnsiTheme="majorBidi" w:cstheme="majorBidi"/>
            <w:color w:val="227ACB"/>
            <w:sz w:val="20"/>
            <w:szCs w:val="20"/>
            <w:lang w:bidi="ar-EG"/>
          </w:rPr>
          <w:t>Mohamedksm56@yahoo.com</w:t>
        </w:r>
      </w:hyperlink>
      <w:r w:rsidRPr="003E7C9C">
        <w:rPr>
          <w:rFonts w:asciiTheme="majorBidi" w:hAnsiTheme="majorBidi" w:cstheme="majorBidi"/>
          <w:color w:val="227ACB"/>
          <w:sz w:val="20"/>
          <w:szCs w:val="20"/>
        </w:rPr>
        <w:t>,</w:t>
      </w:r>
      <w:r w:rsidRPr="003E7C9C">
        <w:rPr>
          <w:rFonts w:asciiTheme="majorBidi" w:hAnsiTheme="majorBidi" w:cstheme="majorBidi"/>
          <w:color w:val="000000"/>
          <w:sz w:val="20"/>
          <w:szCs w:val="20"/>
        </w:rPr>
        <w:t xml:space="preserve"> </w:t>
      </w:r>
      <w:proofErr w:type="spellStart"/>
      <w:r w:rsidRPr="003E7C9C">
        <w:rPr>
          <w:rFonts w:asciiTheme="majorBidi" w:hAnsiTheme="majorBidi" w:cstheme="majorBidi"/>
          <w:color w:val="000000"/>
          <w:sz w:val="20"/>
          <w:szCs w:val="20"/>
          <w:lang w:bidi="ar-EG"/>
        </w:rPr>
        <w:t>Orcid</w:t>
      </w:r>
      <w:proofErr w:type="spellEnd"/>
      <w:r w:rsidRPr="003E7C9C">
        <w:rPr>
          <w:rFonts w:asciiTheme="majorBidi" w:hAnsiTheme="majorBidi" w:cstheme="majorBidi"/>
          <w:color w:val="000000"/>
          <w:sz w:val="20"/>
          <w:szCs w:val="20"/>
          <w:lang w:bidi="ar-EG"/>
        </w:rPr>
        <w:t xml:space="preserve">: </w:t>
      </w:r>
      <w:proofErr w:type="spellStart"/>
      <w:r w:rsidRPr="003E7C9C">
        <w:rPr>
          <w:rFonts w:asciiTheme="majorBidi" w:hAnsiTheme="majorBidi" w:cstheme="majorBidi"/>
          <w:color w:val="000000"/>
          <w:sz w:val="20"/>
          <w:szCs w:val="20"/>
          <w:lang w:bidi="ar-EG"/>
        </w:rPr>
        <w:t>khaledessa</w:t>
      </w:r>
      <w:proofErr w:type="spellEnd"/>
      <w:r w:rsidRPr="003E7C9C">
        <w:rPr>
          <w:rFonts w:asciiTheme="majorBidi" w:hAnsiTheme="majorBidi" w:cstheme="majorBidi"/>
          <w:color w:val="000000"/>
          <w:sz w:val="20"/>
          <w:szCs w:val="20"/>
          <w:lang w:bidi="ar-EG"/>
        </w:rPr>
        <w:t xml:space="preserve"> (0000-0003-1477-5475)</w:t>
      </w:r>
    </w:p>
    <w:p w:rsidR="00D33459" w:rsidRPr="003E7C9C" w:rsidRDefault="00D33459" w:rsidP="00F04473">
      <w:pPr>
        <w:spacing w:after="0"/>
        <w:jc w:val="center"/>
        <w:rPr>
          <w:rFonts w:asciiTheme="majorBidi" w:hAnsiTheme="majorBidi" w:cstheme="majorBidi"/>
          <w:bCs/>
          <w:sz w:val="20"/>
          <w:szCs w:val="20"/>
          <w:rtl/>
          <w:lang w:bidi="ar-EG"/>
        </w:rPr>
      </w:pPr>
      <w:r w:rsidRPr="003E7C9C">
        <w:rPr>
          <w:rFonts w:asciiTheme="majorBidi" w:hAnsiTheme="majorBidi" w:cstheme="majorBidi"/>
          <w:bCs/>
          <w:color w:val="000000"/>
          <w:sz w:val="20"/>
          <w:szCs w:val="20"/>
          <w:vertAlign w:val="superscript"/>
          <w:lang w:bidi="ar-EG"/>
        </w:rPr>
        <w:t>2</w:t>
      </w:r>
      <w:r w:rsidRPr="003E7C9C">
        <w:rPr>
          <w:rFonts w:asciiTheme="majorBidi" w:hAnsiTheme="majorBidi" w:cstheme="majorBidi"/>
          <w:bCs/>
          <w:color w:val="000000"/>
          <w:sz w:val="20"/>
          <w:szCs w:val="20"/>
          <w:lang w:bidi="ar-EG"/>
        </w:rPr>
        <w:t xml:space="preserve"> Egyptian Atomic </w:t>
      </w:r>
      <w:r w:rsidRPr="003E7C9C">
        <w:rPr>
          <w:rFonts w:asciiTheme="majorBidi" w:hAnsiTheme="majorBidi" w:cstheme="majorBidi"/>
          <w:bCs/>
          <w:noProof/>
          <w:color w:val="000000"/>
          <w:sz w:val="20"/>
          <w:szCs w:val="20"/>
          <w:lang w:bidi="ar-EG"/>
        </w:rPr>
        <w:t>Energy</w:t>
      </w:r>
      <w:r w:rsidRPr="003E7C9C">
        <w:rPr>
          <w:rFonts w:asciiTheme="majorBidi" w:hAnsiTheme="majorBidi" w:cstheme="majorBidi"/>
          <w:bCs/>
          <w:color w:val="000000"/>
          <w:sz w:val="20"/>
          <w:szCs w:val="20"/>
          <w:lang w:bidi="ar-EG"/>
        </w:rPr>
        <w:t xml:space="preserve"> Authority (EAEA)</w:t>
      </w:r>
      <w:r>
        <w:rPr>
          <w:rFonts w:asciiTheme="majorBidi" w:hAnsiTheme="majorBidi" w:cstheme="majorBidi"/>
          <w:bCs/>
          <w:color w:val="000000"/>
          <w:sz w:val="20"/>
          <w:szCs w:val="20"/>
          <w:lang w:bidi="ar-EG"/>
        </w:rPr>
        <w:t xml:space="preserve">, </w:t>
      </w:r>
      <w:r w:rsidRPr="003E7C9C">
        <w:rPr>
          <w:rFonts w:asciiTheme="majorBidi" w:hAnsiTheme="majorBidi" w:cstheme="majorBidi"/>
          <w:bCs/>
          <w:color w:val="000000"/>
          <w:sz w:val="20"/>
          <w:szCs w:val="20"/>
          <w:lang w:bidi="ar-EG"/>
        </w:rPr>
        <w:t>Nuclear and Radiological Safety Research Center (NRSRC)</w:t>
      </w:r>
      <w:proofErr w:type="gramStart"/>
      <w:r w:rsidRPr="003E7C9C">
        <w:rPr>
          <w:rFonts w:asciiTheme="majorBidi" w:hAnsiTheme="majorBidi" w:cstheme="majorBidi"/>
          <w:bCs/>
          <w:color w:val="000000"/>
          <w:sz w:val="20"/>
          <w:szCs w:val="20"/>
          <w:lang w:bidi="ar-EG"/>
        </w:rPr>
        <w:t>,</w:t>
      </w:r>
      <w:r>
        <w:rPr>
          <w:rFonts w:asciiTheme="majorBidi" w:hAnsiTheme="majorBidi" w:cstheme="majorBidi"/>
          <w:bCs/>
          <w:color w:val="000000"/>
          <w:sz w:val="20"/>
          <w:szCs w:val="20"/>
          <w:lang w:bidi="ar-EG"/>
        </w:rPr>
        <w:t>,</w:t>
      </w:r>
      <w:proofErr w:type="gramEnd"/>
      <w:r>
        <w:rPr>
          <w:rFonts w:asciiTheme="majorBidi" w:hAnsiTheme="majorBidi" w:cstheme="majorBidi"/>
          <w:bCs/>
          <w:color w:val="000000"/>
          <w:sz w:val="20"/>
          <w:szCs w:val="20"/>
          <w:lang w:bidi="ar-EG"/>
        </w:rPr>
        <w:t xml:space="preserve"> </w:t>
      </w:r>
      <w:r w:rsidRPr="003E7C9C">
        <w:rPr>
          <w:rFonts w:asciiTheme="majorBidi" w:hAnsiTheme="majorBidi" w:cstheme="majorBidi"/>
          <w:bCs/>
          <w:color w:val="000000"/>
          <w:sz w:val="20"/>
          <w:szCs w:val="20"/>
          <w:lang w:bidi="ar-EG"/>
        </w:rPr>
        <w:t>Nuclear Fuel Cycle</w:t>
      </w:r>
      <w:r>
        <w:rPr>
          <w:rFonts w:asciiTheme="majorBidi" w:hAnsiTheme="majorBidi" w:cstheme="majorBidi"/>
          <w:bCs/>
          <w:color w:val="000000"/>
          <w:sz w:val="20"/>
          <w:szCs w:val="20"/>
          <w:lang w:bidi="ar-EG"/>
        </w:rPr>
        <w:t xml:space="preserve"> Safety Dept.</w:t>
      </w:r>
      <w:r w:rsidRPr="003E7C9C">
        <w:rPr>
          <w:rFonts w:asciiTheme="majorBidi" w:hAnsiTheme="majorBidi" w:cstheme="majorBidi"/>
          <w:bCs/>
          <w:color w:val="000000"/>
          <w:sz w:val="20"/>
          <w:szCs w:val="20"/>
          <w:lang w:bidi="ar-EG"/>
        </w:rPr>
        <w:t xml:space="preserve">, , Cairo, Egypt, </w:t>
      </w:r>
      <w:hyperlink r:id="rId6" w:history="1">
        <w:r w:rsidRPr="003E7C9C">
          <w:rPr>
            <w:rStyle w:val="Hyperlink"/>
            <w:rFonts w:asciiTheme="majorBidi" w:hAnsiTheme="majorBidi" w:cstheme="majorBidi"/>
            <w:bCs/>
            <w:sz w:val="20"/>
            <w:szCs w:val="20"/>
            <w:lang w:bidi="ar-EG"/>
          </w:rPr>
          <w:t>fawziamubarak@yahoo.com</w:t>
        </w:r>
      </w:hyperlink>
      <w:r w:rsidRPr="003E7C9C">
        <w:rPr>
          <w:rFonts w:asciiTheme="majorBidi" w:hAnsiTheme="majorBidi" w:cstheme="majorBidi"/>
          <w:bCs/>
          <w:color w:val="000000"/>
          <w:sz w:val="20"/>
          <w:szCs w:val="20"/>
          <w:lang w:bidi="ar-EG"/>
        </w:rPr>
        <w:t xml:space="preserve">, </w:t>
      </w:r>
      <w:proofErr w:type="spellStart"/>
      <w:r w:rsidRPr="003E7C9C">
        <w:rPr>
          <w:rFonts w:asciiTheme="majorBidi" w:hAnsiTheme="majorBidi" w:cstheme="majorBidi"/>
          <w:bCs/>
          <w:color w:val="000000"/>
          <w:sz w:val="20"/>
          <w:szCs w:val="20"/>
          <w:lang w:bidi="ar-EG"/>
        </w:rPr>
        <w:t>Orcid</w:t>
      </w:r>
      <w:proofErr w:type="spellEnd"/>
      <w:r w:rsidRPr="003E7C9C">
        <w:rPr>
          <w:rFonts w:asciiTheme="majorBidi" w:hAnsiTheme="majorBidi" w:cstheme="majorBidi"/>
          <w:bCs/>
          <w:color w:val="000000"/>
          <w:sz w:val="20"/>
          <w:szCs w:val="20"/>
          <w:lang w:bidi="ar-EG"/>
        </w:rPr>
        <w:t>:</w:t>
      </w:r>
      <w:r w:rsidRPr="003E7C9C">
        <w:rPr>
          <w:rFonts w:asciiTheme="majorBidi" w:hAnsiTheme="majorBidi" w:cstheme="majorBidi"/>
          <w:bCs/>
          <w:sz w:val="20"/>
          <w:szCs w:val="20"/>
          <w:lang w:bidi="ar-EG"/>
        </w:rPr>
        <w:t xml:space="preserve"> 0000-0003-2258-8362</w:t>
      </w:r>
    </w:p>
    <w:p w:rsidR="0002122F" w:rsidRDefault="00D33459" w:rsidP="00F04473">
      <w:pPr>
        <w:jc w:val="center"/>
        <w:rPr>
          <w:rFonts w:asciiTheme="majorBidi" w:hAnsiTheme="majorBidi" w:cstheme="majorBidi"/>
          <w:bCs/>
          <w:sz w:val="20"/>
          <w:szCs w:val="20"/>
          <w:lang w:bidi="ar-EG"/>
        </w:rPr>
      </w:pPr>
      <w:r w:rsidRPr="003E7C9C">
        <w:rPr>
          <w:rFonts w:asciiTheme="majorBidi" w:hAnsiTheme="majorBidi" w:cstheme="majorBidi"/>
          <w:bCs/>
          <w:color w:val="000000"/>
          <w:sz w:val="20"/>
          <w:szCs w:val="20"/>
          <w:vertAlign w:val="superscript"/>
          <w:lang w:bidi="ar-EG"/>
        </w:rPr>
        <w:t>3</w:t>
      </w:r>
      <w:r w:rsidRPr="003E7C9C">
        <w:rPr>
          <w:rFonts w:asciiTheme="majorBidi" w:hAnsiTheme="majorBidi" w:cstheme="majorBidi"/>
          <w:bCs/>
          <w:color w:val="000000"/>
          <w:sz w:val="20"/>
          <w:szCs w:val="20"/>
          <w:lang w:bidi="ar-EG"/>
        </w:rPr>
        <w:t xml:space="preserve"> Egyptian Atomic </w:t>
      </w:r>
      <w:r w:rsidRPr="003E7C9C">
        <w:rPr>
          <w:rFonts w:asciiTheme="majorBidi" w:hAnsiTheme="majorBidi" w:cstheme="majorBidi"/>
          <w:bCs/>
          <w:noProof/>
          <w:color w:val="000000"/>
          <w:sz w:val="20"/>
          <w:szCs w:val="20"/>
          <w:lang w:bidi="ar-EG"/>
        </w:rPr>
        <w:t>Energy</w:t>
      </w:r>
      <w:r>
        <w:rPr>
          <w:rFonts w:asciiTheme="majorBidi" w:hAnsiTheme="majorBidi" w:cstheme="majorBidi"/>
          <w:bCs/>
          <w:color w:val="000000"/>
          <w:sz w:val="20"/>
          <w:szCs w:val="20"/>
          <w:lang w:bidi="ar-EG"/>
        </w:rPr>
        <w:t xml:space="preserve"> Authority (EAEA)</w:t>
      </w:r>
      <w:r w:rsidRPr="003E7C9C">
        <w:rPr>
          <w:rFonts w:asciiTheme="majorBidi" w:hAnsiTheme="majorBidi" w:cstheme="majorBidi"/>
          <w:bCs/>
          <w:color w:val="000000"/>
          <w:sz w:val="20"/>
          <w:szCs w:val="20"/>
          <w:lang w:bidi="ar-EG"/>
        </w:rPr>
        <w:t>, Nuclear Research Center (NRC),</w:t>
      </w:r>
      <w:r>
        <w:rPr>
          <w:rFonts w:asciiTheme="majorBidi" w:hAnsiTheme="majorBidi" w:cstheme="majorBidi"/>
          <w:bCs/>
          <w:color w:val="000000"/>
          <w:sz w:val="20"/>
          <w:szCs w:val="20"/>
          <w:lang w:bidi="ar-EG"/>
        </w:rPr>
        <w:t xml:space="preserve"> </w:t>
      </w:r>
      <w:r w:rsidRPr="003E7C9C">
        <w:rPr>
          <w:rFonts w:asciiTheme="majorBidi" w:hAnsiTheme="majorBidi" w:cstheme="majorBidi"/>
          <w:bCs/>
          <w:color w:val="000000"/>
          <w:sz w:val="20"/>
          <w:szCs w:val="20"/>
          <w:lang w:bidi="ar-EG"/>
        </w:rPr>
        <w:t>Radiation Protection Dept</w:t>
      </w:r>
      <w:r>
        <w:rPr>
          <w:rFonts w:asciiTheme="majorBidi" w:hAnsiTheme="majorBidi" w:cstheme="majorBidi"/>
          <w:bCs/>
          <w:color w:val="000000"/>
          <w:sz w:val="20"/>
          <w:szCs w:val="20"/>
          <w:lang w:bidi="ar-EG"/>
        </w:rPr>
        <w:t>.,</w:t>
      </w:r>
      <w:r w:rsidRPr="003E7C9C">
        <w:rPr>
          <w:rFonts w:asciiTheme="majorBidi" w:hAnsiTheme="majorBidi" w:cstheme="majorBidi"/>
          <w:bCs/>
          <w:color w:val="000000"/>
          <w:sz w:val="20"/>
          <w:szCs w:val="20"/>
          <w:lang w:bidi="ar-EG"/>
        </w:rPr>
        <w:t xml:space="preserve"> Cairo, Egypt</w:t>
      </w:r>
      <w:r w:rsidRPr="003E7C9C">
        <w:rPr>
          <w:rFonts w:asciiTheme="majorBidi" w:hAnsiTheme="majorBidi" w:cstheme="majorBidi"/>
          <w:bCs/>
          <w:color w:val="227ACB"/>
          <w:sz w:val="20"/>
          <w:szCs w:val="20"/>
          <w:lang w:bidi="ar-EG"/>
        </w:rPr>
        <w:t>, topazgemss@gmail.com,</w:t>
      </w:r>
      <w:r w:rsidRPr="003E7C9C">
        <w:rPr>
          <w:rFonts w:asciiTheme="majorBidi" w:hAnsiTheme="majorBidi" w:cstheme="majorBidi"/>
          <w:bCs/>
          <w:color w:val="000000"/>
          <w:sz w:val="20"/>
          <w:szCs w:val="20"/>
          <w:lang w:bidi="ar-EG"/>
        </w:rPr>
        <w:t xml:space="preserve"> </w:t>
      </w:r>
      <w:proofErr w:type="spellStart"/>
      <w:r w:rsidRPr="003E7C9C">
        <w:rPr>
          <w:rFonts w:asciiTheme="majorBidi" w:hAnsiTheme="majorBidi" w:cstheme="majorBidi"/>
          <w:bCs/>
          <w:color w:val="000000"/>
          <w:sz w:val="20"/>
          <w:szCs w:val="20"/>
          <w:lang w:bidi="ar-EG"/>
        </w:rPr>
        <w:t>Orcid</w:t>
      </w:r>
      <w:proofErr w:type="spellEnd"/>
      <w:r w:rsidRPr="003E7C9C">
        <w:rPr>
          <w:rFonts w:asciiTheme="majorBidi" w:hAnsiTheme="majorBidi" w:cstheme="majorBidi"/>
          <w:bCs/>
          <w:color w:val="000000"/>
          <w:sz w:val="20"/>
          <w:szCs w:val="20"/>
          <w:lang w:bidi="ar-EG"/>
        </w:rPr>
        <w:t>:</w:t>
      </w:r>
      <w:r w:rsidRPr="003E7C9C">
        <w:rPr>
          <w:rFonts w:asciiTheme="majorBidi" w:hAnsiTheme="majorBidi" w:cstheme="majorBidi"/>
          <w:bCs/>
          <w:sz w:val="20"/>
          <w:szCs w:val="20"/>
          <w:lang w:bidi="ar-EG"/>
        </w:rPr>
        <w:t xml:space="preserve"> 0000-0002-1283-2627</w:t>
      </w:r>
    </w:p>
    <w:bookmarkEnd w:id="0"/>
    <w:p w:rsidR="00F04473" w:rsidRDefault="00F04473" w:rsidP="00D33459">
      <w:pPr>
        <w:rPr>
          <w:rFonts w:asciiTheme="majorBidi" w:hAnsiTheme="majorBidi" w:cstheme="majorBidi"/>
          <w:bCs/>
          <w:sz w:val="20"/>
          <w:szCs w:val="20"/>
          <w:lang w:bidi="ar-EG"/>
        </w:rPr>
      </w:pPr>
    </w:p>
    <w:p w:rsidR="00D33459" w:rsidRPr="003E7C9C" w:rsidRDefault="00D33459" w:rsidP="00D33459">
      <w:pPr>
        <w:spacing w:after="0"/>
        <w:rPr>
          <w:rFonts w:asciiTheme="majorBidi" w:hAnsiTheme="majorBidi" w:cstheme="majorBidi"/>
          <w:b/>
          <w:color w:val="000000"/>
          <w:lang w:bidi="ar-EG"/>
        </w:rPr>
      </w:pPr>
      <w:r w:rsidRPr="003E7C9C">
        <w:rPr>
          <w:rFonts w:asciiTheme="majorBidi" w:hAnsiTheme="majorBidi" w:cstheme="majorBidi"/>
          <w:b/>
          <w:color w:val="000000"/>
          <w:lang w:bidi="ar-EG"/>
        </w:rPr>
        <w:t>Abstract</w:t>
      </w:r>
    </w:p>
    <w:p w:rsidR="00D33459" w:rsidRDefault="00D33459" w:rsidP="00D33459">
      <w:pPr>
        <w:jc w:val="both"/>
        <w:rPr>
          <w:rFonts w:asciiTheme="majorBidi" w:hAnsiTheme="majorBidi" w:cstheme="majorBidi"/>
          <w:color w:val="000000"/>
          <w:lang w:bidi="ar-EG"/>
        </w:rPr>
      </w:pPr>
      <w:r w:rsidRPr="003E7C9C">
        <w:rPr>
          <w:rFonts w:asciiTheme="majorBidi" w:hAnsiTheme="majorBidi" w:cstheme="majorBidi"/>
          <w:b/>
          <w:color w:val="000000"/>
          <w:lang w:bidi="ar-EG"/>
        </w:rPr>
        <w:t xml:space="preserve">       </w:t>
      </w:r>
      <w:r w:rsidRPr="003E7C9C">
        <w:rPr>
          <w:rFonts w:asciiTheme="majorBidi" w:hAnsiTheme="majorBidi" w:cstheme="majorBidi"/>
          <w:bCs/>
          <w:color w:val="000000"/>
          <w:lang w:bidi="ar-EG"/>
        </w:rPr>
        <w:t xml:space="preserve"> </w:t>
      </w:r>
      <w:proofErr w:type="gramStart"/>
      <w:r w:rsidRPr="003E7C9C">
        <w:rPr>
          <w:rFonts w:asciiTheme="majorBidi" w:hAnsiTheme="majorBidi" w:cstheme="majorBidi"/>
          <w:bCs/>
          <w:color w:val="000000"/>
          <w:lang w:bidi="ar-EG"/>
        </w:rPr>
        <w:t>In this work.</w:t>
      </w:r>
      <w:proofErr w:type="gramEnd"/>
      <w:r w:rsidRPr="003E7C9C">
        <w:rPr>
          <w:rFonts w:asciiTheme="majorBidi" w:hAnsiTheme="majorBidi" w:cstheme="majorBidi"/>
          <w:bCs/>
          <w:color w:val="000000"/>
          <w:lang w:bidi="ar-EG"/>
        </w:rPr>
        <w:t xml:space="preserve"> </w:t>
      </w:r>
      <w:proofErr w:type="gramStart"/>
      <w:r w:rsidRPr="003E7C9C">
        <w:rPr>
          <w:rFonts w:asciiTheme="majorBidi" w:hAnsiTheme="majorBidi" w:cstheme="majorBidi"/>
          <w:color w:val="000000"/>
          <w:lang w:bidi="ar-EG"/>
        </w:rPr>
        <w:t>dispersion</w:t>
      </w:r>
      <w:proofErr w:type="gramEnd"/>
      <w:r w:rsidRPr="003E7C9C">
        <w:rPr>
          <w:rFonts w:asciiTheme="majorBidi" w:hAnsiTheme="majorBidi" w:cstheme="majorBidi"/>
          <w:color w:val="000000"/>
          <w:lang w:bidi="ar-EG"/>
        </w:rPr>
        <w:t xml:space="preserve"> studies carried out in unstable conditions, </w:t>
      </w:r>
      <w:r>
        <w:rPr>
          <w:rFonts w:asciiTheme="majorBidi" w:hAnsiTheme="majorBidi" w:cstheme="majorBidi"/>
          <w:color w:val="000000"/>
          <w:lang w:bidi="ar-EG"/>
        </w:rPr>
        <w:t>and</w:t>
      </w:r>
      <w:r w:rsidRPr="003E7C9C">
        <w:rPr>
          <w:rFonts w:asciiTheme="majorBidi" w:hAnsiTheme="majorBidi" w:cstheme="majorBidi"/>
          <w:color w:val="000000"/>
          <w:lang w:bidi="ar-EG"/>
        </w:rPr>
        <w:t xml:space="preserve"> the observed concentration</w:t>
      </w:r>
      <w:r>
        <w:rPr>
          <w:rFonts w:asciiTheme="majorBidi" w:hAnsiTheme="majorBidi" w:cstheme="majorBidi"/>
          <w:color w:val="000000"/>
          <w:lang w:bidi="ar-EG"/>
        </w:rPr>
        <w:t>s</w:t>
      </w:r>
      <w:r w:rsidRPr="003E7C9C">
        <w:rPr>
          <w:rFonts w:asciiTheme="majorBidi" w:hAnsiTheme="majorBidi" w:cstheme="majorBidi"/>
          <w:color w:val="000000"/>
          <w:lang w:bidi="ar-EG"/>
        </w:rPr>
        <w:t xml:space="preserve"> </w:t>
      </w:r>
      <w:r>
        <w:rPr>
          <w:rFonts w:asciiTheme="majorBidi" w:hAnsiTheme="majorBidi" w:cstheme="majorBidi"/>
          <w:color w:val="000000"/>
          <w:lang w:bidi="ar-EG"/>
        </w:rPr>
        <w:t xml:space="preserve">were statistically evaluated with predicted concentrations using </w:t>
      </w:r>
      <w:r w:rsidRPr="003E7C9C">
        <w:rPr>
          <w:rFonts w:asciiTheme="majorBidi" w:hAnsiTheme="majorBidi" w:cstheme="majorBidi"/>
          <w:bCs/>
          <w:color w:val="000000"/>
          <w:lang w:bidi="ar-EG"/>
        </w:rPr>
        <w:t>Gaussian plume model</w:t>
      </w:r>
      <w:r w:rsidRPr="003E7C9C">
        <w:rPr>
          <w:rFonts w:asciiTheme="majorBidi" w:hAnsiTheme="majorBidi" w:cstheme="majorBidi"/>
          <w:color w:val="000000"/>
          <w:lang w:bidi="ar-EG"/>
        </w:rPr>
        <w:t xml:space="preserve">. </w:t>
      </w:r>
      <w:r w:rsidRPr="003E7C9C">
        <w:rPr>
          <w:rFonts w:asciiTheme="majorBidi" w:hAnsiTheme="majorBidi" w:cstheme="majorBidi"/>
          <w:bCs/>
          <w:color w:val="000000"/>
          <w:lang w:bidi="ar-EG"/>
        </w:rPr>
        <w:t xml:space="preserve">The Gaussian plume model is used as semi-analytical solution of the molecular diffusion equation for respect to instantaneous and continuous point, line and area sources. Results show that the applied mathematical model is suitable and applicable as the predicted concentrations were in good agreement with </w:t>
      </w:r>
      <w:r w:rsidRPr="003E7C9C">
        <w:rPr>
          <w:rFonts w:asciiTheme="majorBidi" w:hAnsiTheme="majorBidi" w:cstheme="majorBidi"/>
          <w:color w:val="000000"/>
          <w:lang w:bidi="ar-EG"/>
        </w:rPr>
        <w:t xml:space="preserve">the observed concentrations </w:t>
      </w:r>
      <w:r>
        <w:rPr>
          <w:rFonts w:asciiTheme="majorBidi" w:hAnsiTheme="majorBidi" w:cstheme="majorBidi"/>
          <w:color w:val="000000"/>
          <w:lang w:bidi="ar-EG"/>
        </w:rPr>
        <w:t>of I</w:t>
      </w:r>
      <w:r>
        <w:rPr>
          <w:rFonts w:asciiTheme="majorBidi" w:hAnsiTheme="majorBidi" w:cstheme="majorBidi"/>
          <w:color w:val="000000"/>
          <w:vertAlign w:val="superscript"/>
          <w:lang w:bidi="ar-EG"/>
        </w:rPr>
        <w:t>135</w:t>
      </w:r>
      <w:r>
        <w:rPr>
          <w:rFonts w:asciiTheme="majorBidi" w:hAnsiTheme="majorBidi" w:cstheme="majorBidi"/>
          <w:color w:val="000000"/>
          <w:lang w:bidi="ar-EG"/>
        </w:rPr>
        <w:t xml:space="preserve"> </w:t>
      </w:r>
      <w:r w:rsidRPr="003E7C9C">
        <w:rPr>
          <w:rFonts w:asciiTheme="majorBidi" w:hAnsiTheme="majorBidi" w:cstheme="majorBidi"/>
          <w:color w:val="000000"/>
          <w:lang w:bidi="ar-EG"/>
        </w:rPr>
        <w:t>in all cases.</w:t>
      </w:r>
    </w:p>
    <w:p w:rsidR="00F04473" w:rsidRDefault="00F04473" w:rsidP="00D33459">
      <w:pPr>
        <w:jc w:val="both"/>
        <w:rPr>
          <w:rFonts w:asciiTheme="majorBidi" w:hAnsiTheme="majorBidi" w:cstheme="majorBidi"/>
          <w:color w:val="000000"/>
          <w:lang w:bidi="ar-EG"/>
        </w:rPr>
      </w:pPr>
    </w:p>
    <w:p w:rsidR="00F04473" w:rsidRDefault="00F04473" w:rsidP="00D33459">
      <w:pPr>
        <w:jc w:val="both"/>
        <w:rPr>
          <w:rFonts w:asciiTheme="majorBidi" w:hAnsiTheme="majorBidi" w:cstheme="majorBidi"/>
          <w:color w:val="000000"/>
          <w:lang w:bidi="ar-EG"/>
        </w:rPr>
      </w:pPr>
    </w:p>
    <w:p w:rsidR="00D33459" w:rsidRDefault="00F04473" w:rsidP="00D33459">
      <w:r w:rsidRPr="003E7C9C">
        <w:rPr>
          <w:rFonts w:asciiTheme="majorBidi" w:eastAsiaTheme="minorEastAsia" w:hAnsiTheme="majorBidi" w:cstheme="majorBidi"/>
          <w:b/>
          <w:bCs/>
          <w:noProof/>
          <w:color w:val="000000"/>
        </w:rPr>
        <w:drawing>
          <wp:inline distT="0" distB="0" distL="0" distR="0" wp14:anchorId="5F3192E6" wp14:editId="0BDD581A">
            <wp:extent cx="5448300" cy="2590800"/>
            <wp:effectExtent l="0" t="0" r="19050" b="19050"/>
            <wp:docPr id="1" name="مخطط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04473" w:rsidRDefault="00F04473" w:rsidP="00F04473">
      <w:pPr>
        <w:spacing w:after="0"/>
        <w:jc w:val="center"/>
        <w:rPr>
          <w:rFonts w:asciiTheme="majorBidi" w:eastAsiaTheme="minorEastAsia" w:hAnsiTheme="majorBidi" w:cstheme="majorBidi"/>
          <w:color w:val="000000"/>
        </w:rPr>
      </w:pPr>
      <w:proofErr w:type="gramStart"/>
      <w:r w:rsidRPr="003E7C9C">
        <w:rPr>
          <w:rFonts w:asciiTheme="majorBidi" w:eastAsiaTheme="minorEastAsia" w:hAnsiTheme="majorBidi" w:cstheme="majorBidi"/>
          <w:color w:val="000000"/>
        </w:rPr>
        <w:t>Fig.</w:t>
      </w:r>
      <w:proofErr w:type="gramEnd"/>
      <w:r w:rsidRPr="003E7C9C">
        <w:rPr>
          <w:rFonts w:asciiTheme="majorBidi" w:eastAsiaTheme="minorEastAsia" w:hAnsiTheme="majorBidi" w:cstheme="majorBidi"/>
          <w:color w:val="000000"/>
        </w:rPr>
        <w:t xml:space="preserve"> (</w:t>
      </w:r>
      <w:r>
        <w:rPr>
          <w:rFonts w:asciiTheme="majorBidi" w:eastAsiaTheme="minorEastAsia" w:hAnsiTheme="majorBidi" w:cstheme="majorBidi"/>
          <w:color w:val="000000"/>
        </w:rPr>
        <w:t>2</w:t>
      </w:r>
      <w:r w:rsidRPr="003E7C9C">
        <w:rPr>
          <w:rFonts w:asciiTheme="majorBidi" w:eastAsiaTheme="minorEastAsia" w:hAnsiTheme="majorBidi" w:cstheme="majorBidi"/>
          <w:color w:val="000000"/>
        </w:rPr>
        <w:t>)</w:t>
      </w:r>
      <w:r>
        <w:rPr>
          <w:rFonts w:asciiTheme="majorBidi" w:eastAsiaTheme="minorEastAsia" w:hAnsiTheme="majorBidi" w:cstheme="majorBidi"/>
          <w:color w:val="000000"/>
        </w:rPr>
        <w:t>: V</w:t>
      </w:r>
      <w:r w:rsidRPr="003E7C9C">
        <w:rPr>
          <w:rFonts w:asciiTheme="majorBidi" w:eastAsiaTheme="minorEastAsia" w:hAnsiTheme="majorBidi" w:cstheme="majorBidi"/>
          <w:color w:val="000000"/>
        </w:rPr>
        <w:t xml:space="preserve">ariation of </w:t>
      </w:r>
      <w:r>
        <w:rPr>
          <w:rFonts w:asciiTheme="majorBidi" w:eastAsiaTheme="minorEastAsia" w:hAnsiTheme="majorBidi" w:cstheme="majorBidi"/>
          <w:color w:val="000000"/>
        </w:rPr>
        <w:t xml:space="preserve">observed and predicted </w:t>
      </w:r>
      <w:r w:rsidRPr="003E7C9C">
        <w:rPr>
          <w:rFonts w:asciiTheme="majorBidi" w:eastAsiaTheme="minorEastAsia" w:hAnsiTheme="majorBidi" w:cstheme="majorBidi"/>
          <w:color w:val="000000"/>
        </w:rPr>
        <w:t>concentrations of continuous point, line and area sources via downwind distance (m)</w:t>
      </w:r>
      <w:r>
        <w:rPr>
          <w:rFonts w:asciiTheme="majorBidi" w:eastAsiaTheme="minorEastAsia" w:hAnsiTheme="majorBidi" w:cstheme="majorBidi"/>
          <w:color w:val="000000"/>
        </w:rPr>
        <w:t>.</w:t>
      </w:r>
    </w:p>
    <w:p w:rsidR="00F04473" w:rsidRDefault="00F04473" w:rsidP="00D33459"/>
    <w:sectPr w:rsidR="00F044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459"/>
    <w:rsid w:val="0002122F"/>
    <w:rsid w:val="00D33459"/>
    <w:rsid w:val="00F04473"/>
    <w:rsid w:val="00F92A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459"/>
    <w:pPr>
      <w:spacing w:after="160" w:line="259" w:lineRule="auto"/>
    </w:pPr>
    <w:rPr>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3459"/>
    <w:rPr>
      <w:color w:val="0000FF" w:themeColor="hyperlink"/>
      <w:u w:val="single"/>
    </w:rPr>
  </w:style>
  <w:style w:type="paragraph" w:styleId="BalloonText">
    <w:name w:val="Balloon Text"/>
    <w:basedOn w:val="Normal"/>
    <w:link w:val="BalloonTextChar"/>
    <w:uiPriority w:val="99"/>
    <w:semiHidden/>
    <w:unhideWhenUsed/>
    <w:rsid w:val="00F044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473"/>
    <w:rPr>
      <w:rFonts w:ascii="Tahoma" w:hAnsi="Tahoma" w:cs="Tahoma"/>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459"/>
    <w:pPr>
      <w:spacing w:after="160" w:line="259" w:lineRule="auto"/>
    </w:pPr>
    <w:rPr>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3459"/>
    <w:rPr>
      <w:color w:val="0000FF" w:themeColor="hyperlink"/>
      <w:u w:val="single"/>
    </w:rPr>
  </w:style>
  <w:style w:type="paragraph" w:styleId="BalloonText">
    <w:name w:val="Balloon Text"/>
    <w:basedOn w:val="Normal"/>
    <w:link w:val="BalloonTextChar"/>
    <w:uiPriority w:val="99"/>
    <w:semiHidden/>
    <w:unhideWhenUsed/>
    <w:rsid w:val="00F044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473"/>
    <w:rPr>
      <w:rFonts w:ascii="Tahoma" w:hAnsi="Tahoma" w:cs="Tahoma"/>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fawziamubarak@yahoo.com" TargetMode="External"/><Relationship Id="rId5" Type="http://schemas.openxmlformats.org/officeDocument/2006/relationships/hyperlink" Target="mailto:Mohamedksm56@yahoo.com" TargetMode="Externa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XLS\new%20continuou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158220607039506"/>
          <c:y val="1.2993282494893415E-2"/>
          <c:w val="0.71121946295174643"/>
          <c:h val="0.80924703219437022"/>
        </c:manualLayout>
      </c:layout>
      <c:lineChart>
        <c:grouping val="standard"/>
        <c:varyColors val="0"/>
        <c:ser>
          <c:idx val="0"/>
          <c:order val="0"/>
          <c:tx>
            <c:v>Continuous area</c:v>
          </c:tx>
          <c:spPr>
            <a:ln>
              <a:solidFill>
                <a:srgbClr val="C00000">
                  <a:alpha val="51000"/>
                </a:srgbClr>
              </a:solidFill>
            </a:ln>
          </c:spPr>
          <c:marker>
            <c:symbol val="circle"/>
            <c:size val="11"/>
            <c:spPr>
              <a:solidFill>
                <a:schemeClr val="accent1">
                  <a:alpha val="51000"/>
                </a:schemeClr>
              </a:solidFill>
            </c:spPr>
          </c:marker>
          <c:cat>
            <c:numRef>
              <c:f>ورقة1!$G$2:$G$10</c:f>
              <c:numCache>
                <c:formatCode>General</c:formatCode>
                <c:ptCount val="9"/>
                <c:pt idx="0">
                  <c:v>100</c:v>
                </c:pt>
                <c:pt idx="1">
                  <c:v>98</c:v>
                </c:pt>
                <c:pt idx="2">
                  <c:v>115</c:v>
                </c:pt>
                <c:pt idx="3">
                  <c:v>135</c:v>
                </c:pt>
                <c:pt idx="4">
                  <c:v>99</c:v>
                </c:pt>
                <c:pt idx="5">
                  <c:v>184</c:v>
                </c:pt>
                <c:pt idx="6">
                  <c:v>165</c:v>
                </c:pt>
                <c:pt idx="7">
                  <c:v>134</c:v>
                </c:pt>
                <c:pt idx="8">
                  <c:v>96</c:v>
                </c:pt>
              </c:numCache>
            </c:numRef>
          </c:cat>
          <c:val>
            <c:numRef>
              <c:f>ورقة1!$R$2:$R$10</c:f>
              <c:numCache>
                <c:formatCode>0.000</c:formatCode>
                <c:ptCount val="9"/>
                <c:pt idx="0">
                  <c:v>3.41081502344407E-2</c:v>
                </c:pt>
                <c:pt idx="1">
                  <c:v>2.3473649863372012E-2</c:v>
                </c:pt>
                <c:pt idx="2">
                  <c:v>7.5775909864266452E-2</c:v>
                </c:pt>
                <c:pt idx="3">
                  <c:v>0.1967271920146568</c:v>
                </c:pt>
                <c:pt idx="4">
                  <c:v>0.21841453450586862</c:v>
                </c:pt>
                <c:pt idx="5">
                  <c:v>0.20595398796738834</c:v>
                </c:pt>
                <c:pt idx="6">
                  <c:v>0.3850640332824245</c:v>
                </c:pt>
                <c:pt idx="7">
                  <c:v>0.16377988502088783</c:v>
                </c:pt>
                <c:pt idx="8">
                  <c:v>3.317489245169071E-2</c:v>
                </c:pt>
              </c:numCache>
            </c:numRef>
          </c:val>
          <c:smooth val="1"/>
          <c:extLst xmlns:c16r2="http://schemas.microsoft.com/office/drawing/2015/06/chart">
            <c:ext xmlns:c16="http://schemas.microsoft.com/office/drawing/2014/chart" uri="{C3380CC4-5D6E-409C-BE32-E72D297353CC}">
              <c16:uniqueId val="{00000000-05B4-44CC-ABAD-9C552E1976F2}"/>
            </c:ext>
          </c:extLst>
        </c:ser>
        <c:ser>
          <c:idx val="1"/>
          <c:order val="1"/>
          <c:tx>
            <c:v>Continuous point</c:v>
          </c:tx>
          <c:spPr>
            <a:ln w="19050" cmpd="sng">
              <a:gradFill>
                <a:gsLst>
                  <a:gs pos="34000">
                    <a:srgbClr val="002060">
                      <a:alpha val="57000"/>
                    </a:srgbClr>
                  </a:gs>
                  <a:gs pos="50000">
                    <a:srgbClr val="4F81BD">
                      <a:tint val="44500"/>
                      <a:satMod val="160000"/>
                    </a:srgbClr>
                  </a:gs>
                  <a:gs pos="100000">
                    <a:srgbClr val="4F81BD">
                      <a:tint val="23500"/>
                      <a:satMod val="160000"/>
                    </a:srgbClr>
                  </a:gs>
                </a:gsLst>
                <a:lin ang="5400000" scaled="0"/>
              </a:gradFill>
            </a:ln>
            <a:effectLst>
              <a:outerShdw blurRad="50800" dist="50800" dir="5400000" algn="ctr" rotWithShape="0">
                <a:srgbClr val="000000">
                  <a:alpha val="61000"/>
                </a:srgbClr>
              </a:outerShdw>
            </a:effectLst>
          </c:spPr>
          <c:marker>
            <c:symbol val="triangle"/>
            <c:size val="11"/>
            <c:spPr>
              <a:solidFill>
                <a:schemeClr val="accent1">
                  <a:alpha val="51000"/>
                </a:schemeClr>
              </a:solidFill>
              <a:ln cap="rnd">
                <a:gradFill>
                  <a:gsLst>
                    <a:gs pos="25000">
                      <a:srgbClr val="4F81BD">
                        <a:tint val="66000"/>
                        <a:satMod val="160000"/>
                        <a:alpha val="70000"/>
                      </a:srgbClr>
                    </a:gs>
                    <a:gs pos="50000">
                      <a:srgbClr val="4F81BD">
                        <a:tint val="44500"/>
                        <a:satMod val="160000"/>
                      </a:srgbClr>
                    </a:gs>
                    <a:gs pos="100000">
                      <a:srgbClr val="4F81BD">
                        <a:tint val="23500"/>
                        <a:satMod val="160000"/>
                      </a:srgbClr>
                    </a:gs>
                  </a:gsLst>
                  <a:lin ang="5400000" scaled="0"/>
                </a:gradFill>
              </a:ln>
              <a:effectLst>
                <a:outerShdw blurRad="50800" dist="50800" dir="5400000" algn="ctr" rotWithShape="0">
                  <a:srgbClr val="000000">
                    <a:alpha val="61000"/>
                  </a:srgbClr>
                </a:outerShdw>
              </a:effectLst>
            </c:spPr>
          </c:marker>
          <c:dPt>
            <c:idx val="5"/>
            <c:bubble3D val="0"/>
            <c:spPr>
              <a:ln w="19050" cmpd="sng">
                <a:gradFill>
                  <a:gsLst>
                    <a:gs pos="34000">
                      <a:srgbClr val="002060">
                        <a:alpha val="57000"/>
                      </a:srgbClr>
                    </a:gs>
                    <a:gs pos="50000">
                      <a:srgbClr val="4F81BD">
                        <a:tint val="44500"/>
                        <a:satMod val="160000"/>
                      </a:srgbClr>
                    </a:gs>
                    <a:gs pos="100000">
                      <a:srgbClr val="4F81BD">
                        <a:tint val="23500"/>
                        <a:satMod val="160000"/>
                      </a:srgbClr>
                    </a:gs>
                  </a:gsLst>
                </a:gradFill>
              </a:ln>
              <a:effectLst>
                <a:outerShdw blurRad="50800" dist="50800" dir="5400000" algn="ctr" rotWithShape="0">
                  <a:srgbClr val="000000">
                    <a:alpha val="61000"/>
                  </a:srgbClr>
                </a:outerShdw>
              </a:effectLst>
            </c:spPr>
            <c:extLst xmlns:c16r2="http://schemas.microsoft.com/office/drawing/2015/06/chart">
              <c:ext xmlns:c16="http://schemas.microsoft.com/office/drawing/2014/chart" uri="{C3380CC4-5D6E-409C-BE32-E72D297353CC}">
                <c16:uniqueId val="{00000002-05B4-44CC-ABAD-9C552E1976F2}"/>
              </c:ext>
            </c:extLst>
          </c:dPt>
          <c:cat>
            <c:numRef>
              <c:f>ورقة1!$G$2:$G$10</c:f>
              <c:numCache>
                <c:formatCode>General</c:formatCode>
                <c:ptCount val="9"/>
                <c:pt idx="0">
                  <c:v>100</c:v>
                </c:pt>
                <c:pt idx="1">
                  <c:v>98</c:v>
                </c:pt>
                <c:pt idx="2">
                  <c:v>115</c:v>
                </c:pt>
                <c:pt idx="3">
                  <c:v>135</c:v>
                </c:pt>
                <c:pt idx="4">
                  <c:v>99</c:v>
                </c:pt>
                <c:pt idx="5">
                  <c:v>184</c:v>
                </c:pt>
                <c:pt idx="6">
                  <c:v>165</c:v>
                </c:pt>
                <c:pt idx="7">
                  <c:v>134</c:v>
                </c:pt>
                <c:pt idx="8">
                  <c:v>96</c:v>
                </c:pt>
              </c:numCache>
            </c:numRef>
          </c:cat>
          <c:val>
            <c:numRef>
              <c:f>ورقة1!$O$2:$O$10</c:f>
              <c:numCache>
                <c:formatCode>0.000</c:formatCode>
                <c:ptCount val="9"/>
                <c:pt idx="0">
                  <c:v>1.0561044922387238E-2</c:v>
                </c:pt>
                <c:pt idx="1">
                  <c:v>4.9635755922508795E-2</c:v>
                </c:pt>
                <c:pt idx="2">
                  <c:v>3.787843906468949E-2</c:v>
                </c:pt>
                <c:pt idx="3">
                  <c:v>0.18083310469316591</c:v>
                </c:pt>
                <c:pt idx="4">
                  <c:v>0.26282416339355918</c:v>
                </c:pt>
                <c:pt idx="5">
                  <c:v>0.14163302595947516</c:v>
                </c:pt>
                <c:pt idx="6">
                  <c:v>0.30958908287857845</c:v>
                </c:pt>
                <c:pt idx="7">
                  <c:v>0.15634671813897721</c:v>
                </c:pt>
                <c:pt idx="8">
                  <c:v>2.2086093534062316E-2</c:v>
                </c:pt>
              </c:numCache>
            </c:numRef>
          </c:val>
          <c:smooth val="1"/>
          <c:extLst xmlns:c16r2="http://schemas.microsoft.com/office/drawing/2015/06/chart">
            <c:ext xmlns:c16="http://schemas.microsoft.com/office/drawing/2014/chart" uri="{C3380CC4-5D6E-409C-BE32-E72D297353CC}">
              <c16:uniqueId val="{00000003-05B4-44CC-ABAD-9C552E1976F2}"/>
            </c:ext>
          </c:extLst>
        </c:ser>
        <c:ser>
          <c:idx val="2"/>
          <c:order val="2"/>
          <c:tx>
            <c:v>Continuous line</c:v>
          </c:tx>
          <c:spPr>
            <a:ln>
              <a:gradFill>
                <a:gsLst>
                  <a:gs pos="9000">
                    <a:srgbClr val="4472C4">
                      <a:tint val="66000"/>
                      <a:satMod val="160000"/>
                      <a:alpha val="93000"/>
                    </a:srgbClr>
                  </a:gs>
                  <a:gs pos="50000">
                    <a:srgbClr val="4472C4">
                      <a:tint val="44500"/>
                      <a:satMod val="160000"/>
                    </a:srgbClr>
                  </a:gs>
                  <a:gs pos="100000">
                    <a:srgbClr val="4472C4">
                      <a:tint val="23500"/>
                      <a:satMod val="160000"/>
                    </a:srgbClr>
                  </a:gs>
                </a:gsLst>
                <a:lin ang="5400000" scaled="0"/>
              </a:gradFill>
            </a:ln>
          </c:spPr>
          <c:marker>
            <c:symbol val="x"/>
            <c:size val="8"/>
            <c:spPr>
              <a:solidFill>
                <a:schemeClr val="accent1">
                  <a:alpha val="51000"/>
                </a:schemeClr>
              </a:solidFill>
              <a:ln cap="rnd"/>
            </c:spPr>
          </c:marker>
          <c:dPt>
            <c:idx val="6"/>
            <c:marker>
              <c:symbol val="x"/>
              <c:size val="11"/>
            </c:marker>
            <c:bubble3D val="0"/>
            <c:spPr>
              <a:ln cmpd="sng">
                <a:gradFill>
                  <a:gsLst>
                    <a:gs pos="9000">
                      <a:srgbClr val="4472C4">
                        <a:tint val="66000"/>
                        <a:satMod val="160000"/>
                        <a:alpha val="93000"/>
                      </a:srgbClr>
                    </a:gs>
                    <a:gs pos="50000">
                      <a:srgbClr val="4472C4">
                        <a:tint val="44500"/>
                        <a:satMod val="160000"/>
                      </a:srgbClr>
                    </a:gs>
                    <a:gs pos="100000">
                      <a:srgbClr val="4472C4">
                        <a:tint val="23500"/>
                        <a:satMod val="160000"/>
                      </a:srgbClr>
                    </a:gs>
                  </a:gsLst>
                  <a:lin ang="5400000" scaled="0"/>
                </a:gradFill>
              </a:ln>
            </c:spPr>
            <c:extLst xmlns:c16r2="http://schemas.microsoft.com/office/drawing/2015/06/chart">
              <c:ext xmlns:c16="http://schemas.microsoft.com/office/drawing/2014/chart" uri="{C3380CC4-5D6E-409C-BE32-E72D297353CC}">
                <c16:uniqueId val="{00000005-05B4-44CC-ABAD-9C552E1976F2}"/>
              </c:ext>
            </c:extLst>
          </c:dPt>
          <c:val>
            <c:numRef>
              <c:f>ورقة1!$L$2:$L$10</c:f>
              <c:numCache>
                <c:formatCode>0.000</c:formatCode>
                <c:ptCount val="9"/>
                <c:pt idx="0">
                  <c:v>2.5625500117220368E-2</c:v>
                </c:pt>
                <c:pt idx="1">
                  <c:v>4.7690637685393916E-2</c:v>
                </c:pt>
                <c:pt idx="2">
                  <c:v>8.0474970201333193E-2</c:v>
                </c:pt>
                <c:pt idx="3">
                  <c:v>0.2039249076651779</c:v>
                </c:pt>
                <c:pt idx="4">
                  <c:v>0.2538097722281501</c:v>
                </c:pt>
                <c:pt idx="5">
                  <c:v>0.18646567461995739</c:v>
                </c:pt>
                <c:pt idx="6">
                  <c:v>0.38596956562571194</c:v>
                </c:pt>
                <c:pt idx="7">
                  <c:v>0.14638122389098895</c:v>
                </c:pt>
                <c:pt idx="8">
                  <c:v>5.2507335887177826E-2</c:v>
                </c:pt>
              </c:numCache>
            </c:numRef>
          </c:val>
          <c:smooth val="1"/>
          <c:extLst xmlns:c16r2="http://schemas.microsoft.com/office/drawing/2015/06/chart">
            <c:ext xmlns:c16="http://schemas.microsoft.com/office/drawing/2014/chart" uri="{C3380CC4-5D6E-409C-BE32-E72D297353CC}">
              <c16:uniqueId val="{00000006-05B4-44CC-ABAD-9C552E1976F2}"/>
            </c:ext>
          </c:extLst>
        </c:ser>
        <c:ser>
          <c:idx val="3"/>
          <c:order val="3"/>
          <c:tx>
            <c:strRef>
              <c:f>ورقة1!$I$1</c:f>
              <c:strCache>
                <c:ptCount val="1"/>
                <c:pt idx="0">
                  <c:v>observed</c:v>
                </c:pt>
              </c:strCache>
            </c:strRef>
          </c:tx>
          <c:spPr>
            <a:ln w="47625" cmpd="thickThin">
              <a:solidFill>
                <a:srgbClr val="002060">
                  <a:alpha val="51000"/>
                </a:srgbClr>
              </a:solidFill>
            </a:ln>
          </c:spPr>
          <c:marker>
            <c:symbol val="square"/>
            <c:size val="11"/>
            <c:spPr>
              <a:solidFill>
                <a:schemeClr val="accent1">
                  <a:alpha val="51000"/>
                </a:schemeClr>
              </a:solidFill>
              <a:ln>
                <a:gradFill>
                  <a:gsLst>
                    <a:gs pos="49000">
                      <a:srgbClr val="4F81BD">
                        <a:tint val="66000"/>
                        <a:satMod val="160000"/>
                        <a:alpha val="51000"/>
                      </a:srgbClr>
                    </a:gs>
                    <a:gs pos="50000">
                      <a:srgbClr val="4F81BD">
                        <a:tint val="44500"/>
                        <a:satMod val="160000"/>
                      </a:srgbClr>
                    </a:gs>
                    <a:gs pos="100000">
                      <a:srgbClr val="4F81BD">
                        <a:tint val="23500"/>
                        <a:satMod val="160000"/>
                      </a:srgbClr>
                    </a:gs>
                  </a:gsLst>
                  <a:lin ang="5400000" scaled="0"/>
                </a:gradFill>
              </a:ln>
            </c:spPr>
          </c:marker>
          <c:val>
            <c:numRef>
              <c:f>ورقة1!$I$2:$I$10</c:f>
              <c:numCache>
                <c:formatCode>General</c:formatCode>
                <c:ptCount val="9"/>
                <c:pt idx="0">
                  <c:v>2.5000000000000001E-2</c:v>
                </c:pt>
                <c:pt idx="1">
                  <c:v>3.6999999999999998E-2</c:v>
                </c:pt>
                <c:pt idx="2">
                  <c:v>9.1000000000000025E-2</c:v>
                </c:pt>
                <c:pt idx="3">
                  <c:v>0.19700000000000001</c:v>
                </c:pt>
                <c:pt idx="4">
                  <c:v>0.27200000000000002</c:v>
                </c:pt>
                <c:pt idx="5">
                  <c:v>0.18800000000000008</c:v>
                </c:pt>
                <c:pt idx="6">
                  <c:v>0.44700000000000001</c:v>
                </c:pt>
                <c:pt idx="7">
                  <c:v>0.12300000000000004</c:v>
                </c:pt>
                <c:pt idx="8">
                  <c:v>3.2000000000000021E-2</c:v>
                </c:pt>
              </c:numCache>
            </c:numRef>
          </c:val>
          <c:smooth val="1"/>
          <c:extLst xmlns:c16r2="http://schemas.microsoft.com/office/drawing/2015/06/chart">
            <c:ext xmlns:c16="http://schemas.microsoft.com/office/drawing/2014/chart" uri="{C3380CC4-5D6E-409C-BE32-E72D297353CC}">
              <c16:uniqueId val="{00000007-05B4-44CC-ABAD-9C552E1976F2}"/>
            </c:ext>
          </c:extLst>
        </c:ser>
        <c:dLbls>
          <c:showLegendKey val="0"/>
          <c:showVal val="0"/>
          <c:showCatName val="0"/>
          <c:showSerName val="0"/>
          <c:showPercent val="0"/>
          <c:showBubbleSize val="0"/>
        </c:dLbls>
        <c:marker val="1"/>
        <c:smooth val="0"/>
        <c:axId val="210255360"/>
        <c:axId val="152568384"/>
      </c:lineChart>
      <c:catAx>
        <c:axId val="210255360"/>
        <c:scaling>
          <c:orientation val="minMax"/>
        </c:scaling>
        <c:delete val="0"/>
        <c:axPos val="b"/>
        <c:title>
          <c:tx>
            <c:rich>
              <a:bodyPr/>
              <a:lstStyle/>
              <a:p>
                <a:pPr>
                  <a:defRPr/>
                </a:pPr>
                <a:r>
                  <a:rPr lang="en-US"/>
                  <a:t>Downwind distance (m)</a:t>
                </a:r>
              </a:p>
            </c:rich>
          </c:tx>
          <c:layout>
            <c:manualLayout>
              <c:xMode val="edge"/>
              <c:yMode val="edge"/>
              <c:x val="0.35544414702696331"/>
              <c:y val="0.96768931880751963"/>
            </c:manualLayout>
          </c:layout>
          <c:overlay val="0"/>
          <c:spPr>
            <a:noFill/>
            <a:ln>
              <a:gradFill>
                <a:gsLst>
                  <a:gs pos="0">
                    <a:srgbClr val="4F81BD">
                      <a:tint val="66000"/>
                      <a:satMod val="160000"/>
                      <a:alpha val="62000"/>
                    </a:srgbClr>
                  </a:gs>
                  <a:gs pos="50000">
                    <a:srgbClr val="4F81BD">
                      <a:tint val="44500"/>
                      <a:satMod val="160000"/>
                    </a:srgbClr>
                  </a:gs>
                  <a:gs pos="100000">
                    <a:srgbClr val="4F81BD">
                      <a:tint val="23500"/>
                      <a:satMod val="160000"/>
                    </a:srgbClr>
                  </a:gs>
                </a:gsLst>
                <a:lin ang="5400000" scaled="0"/>
              </a:gradFill>
            </a:ln>
          </c:spPr>
        </c:title>
        <c:numFmt formatCode="#,##0" sourceLinked="0"/>
        <c:majorTickMark val="out"/>
        <c:minorTickMark val="none"/>
        <c:tickLblPos val="nextTo"/>
        <c:spPr>
          <a:noFill/>
          <a:effectLst>
            <a:outerShdw blurRad="50800" dist="50800" sx="11000" sy="11000" algn="ctr" rotWithShape="0">
              <a:schemeClr val="bg1"/>
            </a:outerShdw>
          </a:effectLst>
        </c:spPr>
        <c:crossAx val="152568384"/>
        <c:crosses val="autoZero"/>
        <c:auto val="1"/>
        <c:lblAlgn val="ctr"/>
        <c:lblOffset val="100"/>
        <c:noMultiLvlLbl val="0"/>
      </c:catAx>
      <c:valAx>
        <c:axId val="152568384"/>
        <c:scaling>
          <c:orientation val="minMax"/>
        </c:scaling>
        <c:delete val="0"/>
        <c:axPos val="l"/>
        <c:title>
          <c:tx>
            <c:rich>
              <a:bodyPr rot="-5400000" vert="horz"/>
              <a:lstStyle/>
              <a:p>
                <a:pPr>
                  <a:defRPr/>
                </a:pPr>
                <a:r>
                  <a:rPr lang="en-US"/>
                  <a:t>Continuous Concentration (Bq/m^3)</a:t>
                </a:r>
                <a:endParaRPr lang="ar-EG"/>
              </a:p>
            </c:rich>
          </c:tx>
          <c:overlay val="0"/>
          <c:spPr>
            <a:noFill/>
            <a:ln>
              <a:gradFill>
                <a:gsLst>
                  <a:gs pos="57000">
                    <a:srgbClr val="4F81BD">
                      <a:tint val="66000"/>
                      <a:satMod val="160000"/>
                      <a:alpha val="43000"/>
                    </a:srgbClr>
                  </a:gs>
                  <a:gs pos="50000">
                    <a:srgbClr val="4F81BD">
                      <a:tint val="44500"/>
                      <a:satMod val="160000"/>
                    </a:srgbClr>
                  </a:gs>
                  <a:gs pos="100000">
                    <a:srgbClr val="4F81BD">
                      <a:tint val="23500"/>
                      <a:satMod val="160000"/>
                    </a:srgbClr>
                  </a:gs>
                </a:gsLst>
                <a:lin ang="5400000" scaled="0"/>
              </a:gradFill>
            </a:ln>
          </c:spPr>
        </c:title>
        <c:numFmt formatCode="0.000" sourceLinked="1"/>
        <c:majorTickMark val="out"/>
        <c:minorTickMark val="none"/>
        <c:tickLblPos val="nextTo"/>
        <c:crossAx val="210255360"/>
        <c:crosses val="autoZero"/>
        <c:crossBetween val="between"/>
      </c:valAx>
      <c:spPr>
        <a:noFill/>
        <a:ln>
          <a:solidFill>
            <a:schemeClr val="accent1">
              <a:alpha val="89000"/>
            </a:schemeClr>
          </a:solidFill>
        </a:ln>
      </c:spPr>
    </c:plotArea>
    <c:legend>
      <c:legendPos val="tr"/>
      <c:layout>
        <c:manualLayout>
          <c:xMode val="edge"/>
          <c:yMode val="edge"/>
          <c:x val="0.19440931952471457"/>
          <c:y val="5.6543760576105627E-2"/>
          <c:w val="0.2602202310918032"/>
          <c:h val="0.27405396016674388"/>
        </c:manualLayout>
      </c:layout>
      <c:overlay val="0"/>
      <c:spPr>
        <a:ln w="63500" cmpd="sng">
          <a:solidFill>
            <a:sysClr val="windowText" lastClr="000000">
              <a:tint val="75000"/>
              <a:shade val="95000"/>
              <a:satMod val="105000"/>
            </a:sysClr>
          </a:solidFill>
        </a:ln>
      </c:sp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223</Words>
  <Characters>1273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Tiger</dc:creator>
  <cp:lastModifiedBy>Tiger</cp:lastModifiedBy>
  <cp:revision>1</cp:revision>
  <dcterms:created xsi:type="dcterms:W3CDTF">2026-03-22T15:52:00Z</dcterms:created>
  <dcterms:modified xsi:type="dcterms:W3CDTF">2026-03-22T16:53:00Z</dcterms:modified>
</cp:coreProperties>
</file>