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2"/>
        <w:rPr>
          <w:b w:val="0"/>
        </w:rPr>
      </w:pPr>
      <w:r>
        <w:t>Supplementary Material</w:t>
      </w:r>
    </w:p>
    <w:p>
      <w:pPr>
        <w:pStyle w:val="2"/>
      </w:pPr>
      <w:r>
        <w:t xml:space="preserve">Supplementary </w:t>
      </w:r>
      <w:r>
        <w:rPr>
          <w:rFonts w:hint="eastAsia" w:eastAsia="宋体"/>
          <w:lang w:val="en-US" w:eastAsia="zh-CN"/>
        </w:rPr>
        <w:t>Methods</w:t>
      </w:r>
    </w:p>
    <w:p>
      <w:pPr>
        <w:spacing w:before="100" w:beforeAutospacing="1" w:after="100" w:afterAutospacing="1"/>
        <w:jc w:val="both"/>
        <w:rPr>
          <w:rFonts w:hint="eastAsia" w:cs="Times New Roman"/>
          <w:szCs w:val="24"/>
        </w:rPr>
      </w:pPr>
      <w:r>
        <w:rPr>
          <w:rFonts w:hint="eastAsia" w:cs="Times New Roman"/>
          <w:szCs w:val="24"/>
        </w:rPr>
        <w:t>Analysis of DEGs related to ICI phenotype</w:t>
      </w:r>
    </w:p>
    <w:p>
      <w:pPr>
        <w:spacing w:before="100" w:beforeAutospacing="1" w:after="100" w:afterAutospacing="1"/>
        <w:jc w:val="both"/>
        <w:rPr>
          <w:rFonts w:hint="eastAsia" w:cs="Times New Roman"/>
          <w:szCs w:val="24"/>
        </w:rPr>
      </w:pPr>
      <w:r>
        <w:rPr>
          <w:rFonts w:hint="eastAsia" w:cs="Times New Roman"/>
          <w:szCs w:val="24"/>
        </w:rPr>
        <w:t xml:space="preserve">Patients were classified into ICI clusters and genes related to the ICI pattern were examined. The limma package was applied for differential analysis. A false discovery rate (FDR) less than 0.05 and |fold change| more than 1.5 were regarded as the threshold to determine the DEGs between ICI subtypes. </w:t>
      </w:r>
    </w:p>
    <w:p>
      <w:pPr>
        <w:spacing w:before="100" w:beforeAutospacing="1" w:after="100" w:afterAutospacing="1"/>
        <w:jc w:val="both"/>
        <w:rPr>
          <w:rFonts w:hint="eastAsia" w:cs="Times New Roman"/>
          <w:szCs w:val="24"/>
        </w:rPr>
      </w:pPr>
      <w:r>
        <w:rPr>
          <w:rFonts w:hint="eastAsia" w:cs="Times New Roman"/>
          <w:szCs w:val="24"/>
        </w:rPr>
        <w:t>Gene set enrichment analysis (GSEA) and gene set variation analysis (GSVA)</w:t>
      </w:r>
    </w:p>
    <w:p>
      <w:pPr>
        <w:spacing w:before="100" w:beforeAutospacing="1" w:after="100" w:afterAutospacing="1"/>
        <w:jc w:val="both"/>
        <w:rPr>
          <w:rFonts w:hint="eastAsia" w:cs="Times New Roman"/>
          <w:szCs w:val="24"/>
        </w:rPr>
      </w:pPr>
      <w:r>
        <w:rPr>
          <w:rFonts w:hint="eastAsia" w:cs="Times New Roman"/>
          <w:szCs w:val="24"/>
        </w:rPr>
        <w:t>Differential expression analysis of the high and low ICI score groups was conducted by limma (Ritchie et al., 2015). A pre-ranked gene list was conducted based on log2FC, and GSEA enrichment analysis was performed (h.all.v7.2.symbol.gmt was used as background set). GSVA can estimate the scores of certain pathways or signatures based on transcriptome data [4</w:t>
      </w:r>
      <w:r>
        <w:rPr>
          <w:rFonts w:hint="eastAsia" w:eastAsia="宋体" w:cs="Times New Roman"/>
          <w:szCs w:val="24"/>
          <w:lang w:val="en-US" w:eastAsia="zh-CN"/>
        </w:rPr>
        <w:t>6</w:t>
      </w:r>
      <w:r>
        <w:rPr>
          <w:rFonts w:hint="eastAsia" w:cs="Times New Roman"/>
          <w:szCs w:val="24"/>
        </w:rPr>
        <w:t>]. The high and low ICI score groups were also used to analyze the msigdb.v7.0.symbols gene set and c7.all.v7.0.symbols immune-related gene set, and the GSVA package was used to explore the differences between different samples in these gene sets. The Limma package was used to conduct a differential analysis of the metabolic score. Characteristics that accorded with |log2FC |&gt; 0.2, and adj.P &lt;0.05 were defined as differential expression characteristics. GSVA enrichment analysis can convert hundreds of biological function annotations [4</w:t>
      </w:r>
      <w:r>
        <w:rPr>
          <w:rFonts w:hint="eastAsia" w:eastAsia="宋体" w:cs="Times New Roman"/>
          <w:szCs w:val="24"/>
          <w:lang w:val="en-US" w:eastAsia="zh-CN"/>
        </w:rPr>
        <w:t>7</w:t>
      </w:r>
      <w:r>
        <w:rPr>
          <w:rFonts w:hint="eastAsia" w:cs="Times New Roman"/>
          <w:szCs w:val="24"/>
        </w:rPr>
        <w:t>] into a new expression matrix. Here, the GSVA value of each sample was enriched through each specific pathway.</w:t>
      </w:r>
    </w:p>
    <w:p>
      <w:pPr>
        <w:rPr>
          <w:rFonts w:hint="eastAsia" w:cs="Times New Roman"/>
          <w:szCs w:val="24"/>
        </w:rPr>
      </w:pPr>
      <w:r>
        <w:rPr>
          <w:rFonts w:hint="eastAsia" w:eastAsia="Times New Roman" w:cs="Times New Roman"/>
          <w:b/>
          <w:bCs/>
          <w:szCs w:val="24"/>
          <w:lang w:val="en-GB" w:eastAsia="en-GB"/>
        </w:rPr>
        <w:t>References</w:t>
      </w:r>
    </w:p>
    <w:p>
      <w:pPr>
        <w:numPr>
          <w:ilvl w:val="0"/>
          <w:numId w:val="3"/>
        </w:numPr>
        <w:spacing w:before="100" w:beforeAutospacing="1" w:after="100" w:afterAutospacing="1"/>
        <w:jc w:val="both"/>
        <w:rPr>
          <w:rFonts w:hint="eastAsia" w:cs="Times New Roman"/>
          <w:szCs w:val="24"/>
        </w:rPr>
      </w:pPr>
      <w:r>
        <w:rPr>
          <w:rFonts w:hint="eastAsia" w:cs="Times New Roman"/>
          <w:szCs w:val="24"/>
        </w:rPr>
        <w:t>Hänzelmann, S., Castelo, R., Guinney, J.(2013). GSVA: gene set variation analysis for microarray and RNA-seq data. BMC Bioinformatics. 14(undefined), 7. doi:10.1186/1471-2105-14-7</w:t>
      </w:r>
      <w:r>
        <w:rPr>
          <w:rFonts w:hint="eastAsia" w:eastAsia="宋体" w:cs="Times New Roman"/>
          <w:szCs w:val="24"/>
          <w:lang w:val="en-US" w:eastAsia="zh-CN"/>
        </w:rPr>
        <w:t>.</w:t>
      </w:r>
    </w:p>
    <w:p>
      <w:pPr>
        <w:numPr>
          <w:ilvl w:val="0"/>
          <w:numId w:val="3"/>
        </w:numPr>
        <w:spacing w:before="100" w:beforeAutospacing="1" w:after="100" w:afterAutospacing="1"/>
        <w:ind w:left="0" w:leftChars="0" w:firstLine="0" w:firstLineChars="0"/>
        <w:jc w:val="both"/>
        <w:rPr>
          <w:rFonts w:hint="eastAsia" w:cs="Times New Roman"/>
          <w:szCs w:val="24"/>
          <w:lang w:val="en-GB" w:eastAsia="en-GB"/>
        </w:rPr>
      </w:pPr>
      <w:r>
        <w:rPr>
          <w:rFonts w:hint="eastAsia" w:cs="Times New Roman"/>
          <w:szCs w:val="24"/>
          <w:lang w:val="en-GB" w:eastAsia="en-GB"/>
        </w:rPr>
        <w:t>Ritchie, M.E., Phipson, B., Wu, D., Hu, Y., Law, C.W., Shi, W., Smyth, G.K.(2015). limma powers differential expression analyses for RNA-sequencing and microarray studies. Nucleic Acids Res. 43(7), e47. doi:10.1093/nar/gkv007</w:t>
      </w:r>
      <w:r>
        <w:rPr>
          <w:rFonts w:hint="eastAsia" w:eastAsia="宋体" w:cs="Times New Roman"/>
          <w:szCs w:val="24"/>
          <w:lang w:val="en-US" w:eastAsia="zh-CN"/>
        </w:rPr>
        <w:t>.</w:t>
      </w:r>
    </w:p>
    <w:p>
      <w:pPr>
        <w:spacing w:before="100" w:beforeAutospacing="1" w:after="100" w:afterAutospacing="1"/>
        <w:jc w:val="both"/>
        <w:rPr>
          <w:rFonts w:hint="eastAsia" w:cs="Times New Roman"/>
          <w:szCs w:val="24"/>
          <w:lang w:val="en-GB" w:eastAsia="en-GB"/>
        </w:rPr>
      </w:pPr>
    </w:p>
    <w:p>
      <w:pPr>
        <w:pStyle w:val="2"/>
        <w:rPr>
          <w:rFonts w:hint="default" w:ascii="Times New Roman" w:hAnsi="Times New Roman" w:eastAsia="宋体" w:cs="Times New Roman"/>
          <w:b/>
          <w:bCs w:val="0"/>
          <w:kern w:val="2"/>
          <w:sz w:val="24"/>
          <w:szCs w:val="24"/>
          <w:lang w:val="en-US" w:eastAsia="zh-CN" w:bidi="ar"/>
        </w:rPr>
      </w:pPr>
      <w:r>
        <w:t xml:space="preserve">Supplementary </w:t>
      </w:r>
      <w:r>
        <w:rPr>
          <w:rFonts w:hint="eastAsia" w:eastAsia="宋体"/>
          <w:lang w:val="en-US" w:eastAsia="zh-CN"/>
        </w:rPr>
        <w:t>Table</w:t>
      </w:r>
      <w:r>
        <w:t xml:space="preserve">s </w:t>
      </w:r>
    </w:p>
    <w:p>
      <w:pPr>
        <w:rPr>
          <w:rFonts w:hint="eastAsia" w:cs="Times New Roman"/>
          <w:szCs w:val="24"/>
        </w:rPr>
      </w:pPr>
      <w:r>
        <w:rPr>
          <w:rFonts w:cs="Times New Roman"/>
          <w:b/>
          <w:szCs w:val="24"/>
        </w:rPr>
        <w:t xml:space="preserve">Supplementary </w:t>
      </w:r>
      <w:r>
        <w:rPr>
          <w:rFonts w:hint="eastAsia" w:eastAsia="宋体" w:cs="Times New Roman"/>
          <w:b/>
          <w:szCs w:val="24"/>
          <w:lang w:val="en-US" w:eastAsia="zh-CN"/>
        </w:rPr>
        <w:t>Table</w:t>
      </w:r>
      <w:r>
        <w:rPr>
          <w:rFonts w:cs="Times New Roman"/>
          <w:b/>
          <w:szCs w:val="24"/>
        </w:rPr>
        <w:t xml:space="preserve"> </w:t>
      </w:r>
      <w:r>
        <w:rPr>
          <w:rFonts w:cs="Times New Roman"/>
          <w:b/>
          <w:szCs w:val="24"/>
        </w:rPr>
        <w:fldChar w:fldCharType="begin"/>
      </w:r>
      <w:r>
        <w:rPr>
          <w:rFonts w:cs="Times New Roman"/>
          <w:b/>
          <w:szCs w:val="24"/>
        </w:rPr>
        <w:instrText xml:space="preserve"> SEQ Figure \* ARABIC </w:instrText>
      </w:r>
      <w:r>
        <w:rPr>
          <w:rFonts w:cs="Times New Roman"/>
          <w:b/>
          <w:szCs w:val="24"/>
        </w:rPr>
        <w:fldChar w:fldCharType="separate"/>
      </w:r>
      <w:r>
        <w:rPr>
          <w:rFonts w:cs="Times New Roman"/>
          <w:b/>
          <w:szCs w:val="24"/>
        </w:rPr>
        <w:t>1</w:t>
      </w:r>
      <w:r>
        <w:rPr>
          <w:rFonts w:cs="Times New Roman"/>
          <w:b/>
          <w:szCs w:val="24"/>
        </w:rPr>
        <w:fldChar w:fldCharType="end"/>
      </w:r>
      <w:r>
        <w:rPr>
          <w:rFonts w:cs="Times New Roman"/>
          <w:b/>
          <w:szCs w:val="24"/>
        </w:rPr>
        <w:t>.</w:t>
      </w:r>
      <w:r>
        <w:rPr>
          <w:rFonts w:cs="Times New Roman"/>
          <w:szCs w:val="24"/>
        </w:rPr>
        <w:t xml:space="preserve"> </w:t>
      </w:r>
      <w:r>
        <w:rPr>
          <w:rFonts w:hint="eastAsia" w:cs="Times New Roman"/>
          <w:szCs w:val="24"/>
        </w:rPr>
        <w:t>GSEA enrichment analysis in the TCGA data set.</w:t>
      </w:r>
    </w:p>
    <w:p>
      <w:pPr>
        <w:rPr>
          <w:rFonts w:cs="Times New Roman"/>
          <w:szCs w:val="24"/>
        </w:rPr>
      </w:pPr>
      <w:bookmarkStart w:id="0" w:name="_GoBack"/>
      <w:bookmarkEnd w:id="0"/>
    </w:p>
    <w:tbl>
      <w:tblPr>
        <w:tblStyle w:val="20"/>
        <w:tblW w:w="10313" w:type="dxa"/>
        <w:tblInd w:w="100" w:type="dxa"/>
        <w:tblLayout w:type="fixed"/>
        <w:tblCellMar>
          <w:top w:w="0" w:type="dxa"/>
          <w:left w:w="108" w:type="dxa"/>
          <w:bottom w:w="0" w:type="dxa"/>
          <w:right w:w="108" w:type="dxa"/>
        </w:tblCellMar>
      </w:tblPr>
      <w:tblGrid>
        <w:gridCol w:w="5101"/>
        <w:gridCol w:w="1012"/>
        <w:gridCol w:w="1335"/>
        <w:gridCol w:w="1823"/>
        <w:gridCol w:w="1042"/>
      </w:tblGrid>
      <w:tr>
        <w:tblPrEx>
          <w:tblCellMar>
            <w:top w:w="0" w:type="dxa"/>
            <w:left w:w="108" w:type="dxa"/>
            <w:bottom w:w="0" w:type="dxa"/>
            <w:right w:w="108" w:type="dxa"/>
          </w:tblCellMar>
        </w:tblPrEx>
        <w:trPr>
          <w:trHeight w:val="270" w:hRule="atLeast"/>
        </w:trPr>
        <w:tc>
          <w:tcPr>
            <w:tcW w:w="5101" w:type="dxa"/>
            <w:tcBorders>
              <w:top w:val="single" w:color="auto" w:sz="4" w:space="0"/>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b/>
                <w:bCs/>
                <w:color w:val="000000"/>
                <w:sz w:val="22"/>
                <w:lang w:val="zh-CN" w:eastAsia="zh-CN" w:bidi="zh-CN"/>
              </w:rPr>
            </w:pPr>
            <w:r>
              <w:rPr>
                <w:rFonts w:hint="eastAsia" w:ascii="宋体" w:hAnsi="宋体" w:eastAsia="宋体" w:cs="宋体"/>
                <w:b/>
                <w:bCs/>
                <w:color w:val="000000"/>
                <w:sz w:val="22"/>
                <w:lang w:val="en-US" w:eastAsia="zh-CN" w:bidi="ar"/>
              </w:rPr>
              <w:t>Description</w:t>
            </w:r>
          </w:p>
        </w:tc>
        <w:tc>
          <w:tcPr>
            <w:tcW w:w="1012" w:type="dxa"/>
            <w:tcBorders>
              <w:top w:val="single" w:color="auto" w:sz="4" w:space="0"/>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b/>
                <w:bCs/>
                <w:color w:val="000000"/>
                <w:sz w:val="22"/>
                <w:lang w:val="zh-CN" w:eastAsia="zh-CN" w:bidi="zh-CN"/>
              </w:rPr>
            </w:pPr>
            <w:r>
              <w:rPr>
                <w:rFonts w:hint="eastAsia" w:ascii="宋体" w:hAnsi="宋体" w:eastAsia="宋体" w:cs="宋体"/>
                <w:b/>
                <w:bCs/>
                <w:color w:val="000000"/>
                <w:sz w:val="22"/>
                <w:lang w:val="en-US" w:eastAsia="zh-CN" w:bidi="ar"/>
              </w:rPr>
              <w:t>setSize</w:t>
            </w:r>
          </w:p>
        </w:tc>
        <w:tc>
          <w:tcPr>
            <w:tcW w:w="1335" w:type="dxa"/>
            <w:tcBorders>
              <w:top w:val="single" w:color="auto" w:sz="4" w:space="0"/>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b/>
                <w:bCs/>
                <w:color w:val="000000"/>
                <w:sz w:val="22"/>
                <w:lang w:val="zh-CN" w:eastAsia="zh-CN" w:bidi="zh-CN"/>
              </w:rPr>
            </w:pPr>
            <w:r>
              <w:rPr>
                <w:rFonts w:hint="eastAsia" w:ascii="宋体" w:hAnsi="宋体" w:eastAsia="宋体" w:cs="宋体"/>
                <w:b/>
                <w:bCs/>
                <w:color w:val="000000"/>
                <w:sz w:val="22"/>
                <w:lang w:val="en-US" w:eastAsia="zh-CN" w:bidi="ar"/>
              </w:rPr>
              <w:t>enrichmentScore</w:t>
            </w:r>
          </w:p>
        </w:tc>
        <w:tc>
          <w:tcPr>
            <w:tcW w:w="1823" w:type="dxa"/>
            <w:tcBorders>
              <w:top w:val="single" w:color="auto" w:sz="4" w:space="0"/>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b/>
                <w:bCs/>
                <w:color w:val="000000"/>
                <w:sz w:val="22"/>
                <w:lang w:val="zh-CN" w:eastAsia="zh-CN" w:bidi="zh-CN"/>
              </w:rPr>
            </w:pPr>
            <w:r>
              <w:rPr>
                <w:rFonts w:hint="eastAsia" w:ascii="宋体" w:hAnsi="宋体" w:eastAsia="宋体" w:cs="宋体"/>
                <w:b/>
                <w:bCs/>
                <w:color w:val="000000"/>
                <w:sz w:val="22"/>
                <w:lang w:val="en-US" w:eastAsia="zh-CN" w:bidi="ar"/>
              </w:rPr>
              <w:t>NES</w:t>
            </w:r>
          </w:p>
        </w:tc>
        <w:tc>
          <w:tcPr>
            <w:tcW w:w="1042" w:type="dxa"/>
            <w:tcBorders>
              <w:top w:val="single" w:color="auto" w:sz="4" w:space="0"/>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b/>
                <w:bCs/>
                <w:color w:val="000000"/>
                <w:sz w:val="22"/>
                <w:lang w:val="zh-CN" w:eastAsia="zh-CN" w:bidi="zh-CN"/>
              </w:rPr>
            </w:pPr>
            <w:r>
              <w:rPr>
                <w:rFonts w:hint="eastAsia" w:ascii="宋体" w:hAnsi="宋体" w:eastAsia="宋体" w:cs="宋体"/>
                <w:b/>
                <w:bCs/>
                <w:color w:val="000000"/>
                <w:sz w:val="22"/>
                <w:lang w:val="en-US" w:eastAsia="zh-CN" w:bidi="ar"/>
              </w:rPr>
              <w:t>adj.P</w:t>
            </w:r>
          </w:p>
        </w:tc>
      </w:tr>
      <w:tr>
        <w:tblPrEx>
          <w:tblCellMar>
            <w:top w:w="0" w:type="dxa"/>
            <w:left w:w="108" w:type="dxa"/>
            <w:bottom w:w="0" w:type="dxa"/>
            <w:right w:w="108" w:type="dxa"/>
          </w:tblCellMar>
        </w:tblPrEx>
        <w:trPr>
          <w:trHeight w:val="270" w:hRule="atLeast"/>
        </w:trPr>
        <w:tc>
          <w:tcPr>
            <w:tcW w:w="5101" w:type="dxa"/>
            <w:tcBorders>
              <w:top w:val="single" w:color="auto" w:sz="4" w:space="0"/>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HALLMARK_ALLOGRAFT_REJECTION</w:t>
            </w:r>
          </w:p>
        </w:tc>
        <w:tc>
          <w:tcPr>
            <w:tcW w:w="1012" w:type="dxa"/>
            <w:tcBorders>
              <w:top w:val="single" w:color="auto" w:sz="4" w:space="0"/>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193 </w:t>
            </w:r>
          </w:p>
        </w:tc>
        <w:tc>
          <w:tcPr>
            <w:tcW w:w="1335" w:type="dxa"/>
            <w:tcBorders>
              <w:top w:val="single" w:color="auto" w:sz="4" w:space="0"/>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0.5556 </w:t>
            </w:r>
          </w:p>
        </w:tc>
        <w:tc>
          <w:tcPr>
            <w:tcW w:w="1823" w:type="dxa"/>
            <w:tcBorders>
              <w:top w:val="single" w:color="auto" w:sz="4" w:space="0"/>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2.6096 </w:t>
            </w:r>
          </w:p>
        </w:tc>
        <w:tc>
          <w:tcPr>
            <w:tcW w:w="1042" w:type="dxa"/>
            <w:tcBorders>
              <w:top w:val="single" w:color="auto" w:sz="4" w:space="0"/>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en-US" w:eastAsia="zh-CN" w:bidi="zh-CN"/>
              </w:rPr>
            </w:pPr>
            <w:r>
              <w:rPr>
                <w:rFonts w:hint="eastAsia" w:ascii="宋体" w:hAnsi="宋体" w:eastAsia="宋体" w:cs="宋体"/>
                <w:color w:val="000000"/>
                <w:sz w:val="22"/>
                <w:lang w:val="en-US" w:eastAsia="zh-CN" w:bidi="ar"/>
              </w:rPr>
              <w:t>HALLMARK_IL6_JAK_STAT3_SIGNALING</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87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0.4824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2.0257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HALLMARK_EPITHELIAL_MESENCHYMAL_TRANSITION</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195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0.4721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2.2135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HALLMARK_ANGIOGENESIS</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35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0.4365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1.5293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0.0575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HALLMARK_INFLAMMATORY_RESPONSE</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197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0.4314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2.0272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HALLMARK_KRAS_SIGNALING_UP</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192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0.4001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1.8749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HALLMARK_INTERFERON_GAMMA_RESPONSE</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194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0.3927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1.8416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HALLMARK_UV_RESPONSE_DN</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135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0.3680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1.6525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0.0021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HALLMARK_IL2_STAT5_SIGNALING</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192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0.3632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1.7020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0.0003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HALLMARK_COMPLEMENT</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194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0.3600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1.6882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0.0002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HALLMARK_INTERFERON_ALPHA_RESPONSE</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92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0.3485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1.4773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0.0417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HALLMARK_MYOGENESIS</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195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0.3417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1.6020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0.0011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HALLMARK_COAGULATION</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136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0.3398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1.5275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0.0036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HALLMARK_APICAL_JUNCTION</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187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0.2798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1.3076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0.0579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HALLMARK_KRAS_SIGNALING_DN</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189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0.2198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1.1141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0.2471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HALLMARK_HEME_METABOLISM</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186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0.2202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1.1167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0.2471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HALLMARK_ADIPOGENESIS</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189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0.2592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1.3140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0.0417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HALLMARK_SPERMATOGENESIS</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131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0.2601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1.2254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0.1122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HALLMARK_XENOBIOTIC_METABOLISM</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192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0.2622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1.3239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0.0365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en-US" w:eastAsia="zh-CN" w:bidi="zh-CN"/>
              </w:rPr>
            </w:pPr>
            <w:r>
              <w:rPr>
                <w:rFonts w:hint="eastAsia" w:ascii="宋体" w:hAnsi="宋体" w:eastAsia="宋体" w:cs="宋体"/>
                <w:color w:val="000000"/>
                <w:sz w:val="22"/>
                <w:lang w:val="en-US" w:eastAsia="zh-CN" w:bidi="ar"/>
              </w:rPr>
              <w:t>HALLMARK_PI3K_AKT_MTOR_SIGNALING</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103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0.2653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1.1922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0.1758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HALLMARK_HYPOXIA</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189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0.2769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1.4034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0.0163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HALLMARK_UV_RESPONSE_UP</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153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0.2792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1.3649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0.0261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HALLMARK_ESTROGEN_RESPONSE_EARLY</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192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0.2926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1.4777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0.0042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HALLMARK_PEROXISOME</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101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0.3419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1.5460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0.0082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HALLMARK_ESTROGEN_RESPONSE_LATE</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196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0.3447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1.7442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0.0001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HALLMARK_NOTCH_SIGNALING</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31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0.3487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1.2655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0.1789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HALLMARK_UNFOLDED_PROTEIN_RESPONSE</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102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0.3659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1.6503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0.0021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HALLMARK_GLYCOLYSIS</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193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0.3664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1.8502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en-US" w:eastAsia="zh-CN" w:bidi="zh-CN"/>
              </w:rPr>
            </w:pPr>
            <w:r>
              <w:rPr>
                <w:rFonts w:hint="eastAsia" w:ascii="宋体" w:hAnsi="宋体" w:eastAsia="宋体" w:cs="宋体"/>
                <w:color w:val="000000"/>
                <w:sz w:val="22"/>
                <w:lang w:val="en-US" w:eastAsia="zh-CN" w:bidi="ar"/>
              </w:rPr>
              <w:t>HALLMARK_WNT_BETA_CATENIN_SIGNALING</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41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0.3707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1.4286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0.0775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HALLMARK_P53_PATHWAY</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188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0.3806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1.9334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HALLMARK_FATTY_ACID_METABOLISM</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152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0.4047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1.9733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HALLMARK_CHOLESTEROL_HOMEOSTASIS</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71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0.4181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1.8055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0.0011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HALLMARK_DNA_REPAIR</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143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0.4307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2.0600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en-US" w:eastAsia="zh-CN" w:bidi="zh-CN"/>
              </w:rPr>
            </w:pPr>
            <w:r>
              <w:rPr>
                <w:rFonts w:hint="eastAsia" w:ascii="宋体" w:hAnsi="宋体" w:eastAsia="宋体" w:cs="宋体"/>
                <w:color w:val="000000"/>
                <w:sz w:val="22"/>
                <w:lang w:val="en-US" w:eastAsia="zh-CN" w:bidi="ar"/>
              </w:rPr>
              <w:t>HALLMARK_REACTIVE_OXYGEN_SPECIES_PATHWAY</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47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0.4731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1.9120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0.0020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HALLMARK_OXIDATIVE_PHOSPHORYLATION</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180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0.4759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2.3950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HALLMARK_MTORC1_SIGNALING</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188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0.4771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2.4236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HALLMARK_G2M_CHECKPOINT</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184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0.4791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2.4244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HALLMARK_E2F_TARGETS</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190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0.5474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2.7750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HALLMARK_MYC_TARGETS_V1</w:t>
            </w:r>
          </w:p>
        </w:tc>
        <w:tc>
          <w:tcPr>
            <w:tcW w:w="101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185 </w:t>
            </w:r>
          </w:p>
        </w:tc>
        <w:tc>
          <w:tcPr>
            <w:tcW w:w="1335"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0.6041 </w:t>
            </w:r>
          </w:p>
        </w:tc>
        <w:tc>
          <w:tcPr>
            <w:tcW w:w="1823"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3.0634 </w:t>
            </w:r>
          </w:p>
        </w:tc>
        <w:tc>
          <w:tcPr>
            <w:tcW w:w="1042" w:type="dxa"/>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r>
        <w:tblPrEx>
          <w:tblCellMar>
            <w:top w:w="0" w:type="dxa"/>
            <w:left w:w="108" w:type="dxa"/>
            <w:bottom w:w="0" w:type="dxa"/>
            <w:right w:w="108" w:type="dxa"/>
          </w:tblCellMar>
        </w:tblPrEx>
        <w:trPr>
          <w:trHeight w:val="270" w:hRule="atLeast"/>
        </w:trPr>
        <w:tc>
          <w:tcPr>
            <w:tcW w:w="5101" w:type="dxa"/>
            <w:tcBorders>
              <w:top w:val="nil"/>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HALLMARK_MYC_TARGETS_V2</w:t>
            </w:r>
          </w:p>
        </w:tc>
        <w:tc>
          <w:tcPr>
            <w:tcW w:w="1012" w:type="dxa"/>
            <w:tcBorders>
              <w:top w:val="nil"/>
              <w:left w:val="nil"/>
              <w:bottom w:val="single" w:color="auto" w:sz="4" w:space="0"/>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56 </w:t>
            </w:r>
          </w:p>
        </w:tc>
        <w:tc>
          <w:tcPr>
            <w:tcW w:w="1335" w:type="dxa"/>
            <w:tcBorders>
              <w:top w:val="nil"/>
              <w:left w:val="nil"/>
              <w:bottom w:val="single" w:color="auto" w:sz="4" w:space="0"/>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0.6237 </w:t>
            </w:r>
          </w:p>
        </w:tc>
        <w:tc>
          <w:tcPr>
            <w:tcW w:w="1823" w:type="dxa"/>
            <w:tcBorders>
              <w:top w:val="nil"/>
              <w:left w:val="nil"/>
              <w:bottom w:val="single" w:color="auto" w:sz="4" w:space="0"/>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2.5929 </w:t>
            </w:r>
          </w:p>
        </w:tc>
        <w:tc>
          <w:tcPr>
            <w:tcW w:w="1042" w:type="dxa"/>
            <w:tcBorders>
              <w:top w:val="nil"/>
              <w:left w:val="nil"/>
              <w:bottom w:val="single" w:color="auto" w:sz="4" w:space="0"/>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r>
    </w:tbl>
    <w:p>
      <w:pPr>
        <w:rPr>
          <w:rFonts w:cs="Times New Roman"/>
          <w:b/>
          <w:szCs w:val="24"/>
        </w:rPr>
      </w:pPr>
    </w:p>
    <w:p>
      <w:pPr>
        <w:rPr>
          <w:rFonts w:hint="eastAsia" w:cs="Times New Roman"/>
          <w:szCs w:val="24"/>
        </w:rPr>
      </w:pPr>
      <w:r>
        <w:rPr>
          <w:rFonts w:cs="Times New Roman"/>
          <w:b/>
          <w:szCs w:val="24"/>
        </w:rPr>
        <w:t xml:space="preserve">Supplementary </w:t>
      </w:r>
      <w:r>
        <w:rPr>
          <w:rFonts w:hint="eastAsia" w:eastAsia="宋体" w:cs="Times New Roman"/>
          <w:b/>
          <w:szCs w:val="24"/>
          <w:lang w:val="en-US" w:eastAsia="zh-CN"/>
        </w:rPr>
        <w:t>Table</w:t>
      </w:r>
      <w:r>
        <w:rPr>
          <w:rFonts w:cs="Times New Roman"/>
          <w:b/>
          <w:szCs w:val="24"/>
        </w:rPr>
        <w:t xml:space="preserve"> </w:t>
      </w:r>
      <w:r>
        <w:rPr>
          <w:rFonts w:hint="eastAsia" w:eastAsia="宋体" w:cs="Times New Roman"/>
          <w:b/>
          <w:szCs w:val="24"/>
          <w:lang w:val="en-US" w:eastAsia="zh-CN"/>
        </w:rPr>
        <w:t>2</w:t>
      </w:r>
      <w:r>
        <w:rPr>
          <w:rFonts w:cs="Times New Roman"/>
          <w:b/>
          <w:szCs w:val="24"/>
        </w:rPr>
        <w:t>.</w:t>
      </w:r>
      <w:r>
        <w:rPr>
          <w:rFonts w:cs="Times New Roman"/>
          <w:szCs w:val="24"/>
        </w:rPr>
        <w:t xml:space="preserve"> </w:t>
      </w:r>
      <w:r>
        <w:rPr>
          <w:rFonts w:hint="eastAsia" w:cs="Times New Roman"/>
          <w:szCs w:val="24"/>
        </w:rPr>
        <w:t>GO analysis of CNV driver genes in the TCGA dataset.</w:t>
      </w:r>
    </w:p>
    <w:tbl>
      <w:tblPr>
        <w:tblStyle w:val="20"/>
        <w:tblW w:w="5000" w:type="pct"/>
        <w:tblInd w:w="0" w:type="dxa"/>
        <w:tblLayout w:type="fixed"/>
        <w:tblCellMar>
          <w:top w:w="0" w:type="dxa"/>
          <w:left w:w="108" w:type="dxa"/>
          <w:bottom w:w="0" w:type="dxa"/>
          <w:right w:w="108" w:type="dxa"/>
        </w:tblCellMar>
      </w:tblPr>
      <w:tblGrid>
        <w:gridCol w:w="1356"/>
        <w:gridCol w:w="4971"/>
        <w:gridCol w:w="1153"/>
        <w:gridCol w:w="1059"/>
        <w:gridCol w:w="1454"/>
      </w:tblGrid>
      <w:tr>
        <w:tblPrEx>
          <w:tblCellMar>
            <w:top w:w="0" w:type="dxa"/>
            <w:left w:w="108" w:type="dxa"/>
            <w:bottom w:w="0" w:type="dxa"/>
            <w:right w:w="108" w:type="dxa"/>
          </w:tblCellMar>
        </w:tblPrEx>
        <w:trPr>
          <w:trHeight w:val="270" w:hRule="atLeast"/>
        </w:trPr>
        <w:tc>
          <w:tcPr>
            <w:tcW w:w="678" w:type="pct"/>
            <w:tcBorders>
              <w:top w:val="single" w:color="auto" w:sz="4" w:space="0"/>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b/>
                <w:bCs/>
                <w:color w:val="000000"/>
                <w:sz w:val="22"/>
                <w:lang w:val="zh-CN" w:eastAsia="zh-CN" w:bidi="zh-CN"/>
              </w:rPr>
            </w:pPr>
            <w:r>
              <w:rPr>
                <w:rFonts w:hint="eastAsia" w:ascii="宋体" w:hAnsi="宋体" w:eastAsia="宋体" w:cs="宋体"/>
                <w:b/>
                <w:bCs/>
                <w:color w:val="000000"/>
                <w:sz w:val="22"/>
                <w:lang w:val="en-US" w:eastAsia="zh-CN" w:bidi="ar"/>
              </w:rPr>
              <w:t>ID</w:t>
            </w:r>
          </w:p>
        </w:tc>
        <w:tc>
          <w:tcPr>
            <w:tcW w:w="2486" w:type="pct"/>
            <w:tcBorders>
              <w:top w:val="single" w:color="auto" w:sz="4" w:space="0"/>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b/>
                <w:bCs/>
                <w:color w:val="000000"/>
                <w:sz w:val="22"/>
                <w:lang w:val="zh-CN" w:eastAsia="zh-CN" w:bidi="zh-CN"/>
              </w:rPr>
            </w:pPr>
            <w:r>
              <w:rPr>
                <w:rFonts w:hint="eastAsia" w:ascii="宋体" w:hAnsi="宋体" w:eastAsia="宋体" w:cs="宋体"/>
                <w:b/>
                <w:bCs/>
                <w:color w:val="000000"/>
                <w:sz w:val="22"/>
                <w:lang w:val="en-US" w:eastAsia="zh-CN" w:bidi="ar"/>
              </w:rPr>
              <w:t>Description</w:t>
            </w:r>
          </w:p>
        </w:tc>
        <w:tc>
          <w:tcPr>
            <w:tcW w:w="577" w:type="pct"/>
            <w:tcBorders>
              <w:top w:val="single" w:color="auto" w:sz="4" w:space="0"/>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b/>
                <w:bCs/>
                <w:color w:val="000000"/>
                <w:sz w:val="22"/>
                <w:lang w:val="zh-CN" w:eastAsia="zh-CN" w:bidi="zh-CN"/>
              </w:rPr>
            </w:pPr>
            <w:r>
              <w:rPr>
                <w:rFonts w:hint="eastAsia" w:ascii="宋体" w:hAnsi="宋体" w:eastAsia="宋体" w:cs="宋体"/>
                <w:b/>
                <w:bCs/>
                <w:color w:val="000000"/>
                <w:sz w:val="22"/>
                <w:lang w:val="en-US" w:eastAsia="zh-CN" w:bidi="ar"/>
              </w:rPr>
              <w:t>p.adjust</w:t>
            </w:r>
          </w:p>
        </w:tc>
        <w:tc>
          <w:tcPr>
            <w:tcW w:w="529" w:type="pct"/>
            <w:tcBorders>
              <w:top w:val="single" w:color="auto" w:sz="4" w:space="0"/>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b/>
                <w:bCs/>
                <w:color w:val="000000"/>
                <w:sz w:val="22"/>
                <w:lang w:val="zh-CN" w:eastAsia="zh-CN" w:bidi="zh-CN"/>
              </w:rPr>
            </w:pPr>
            <w:r>
              <w:rPr>
                <w:rFonts w:hint="eastAsia" w:ascii="宋体" w:hAnsi="宋体" w:eastAsia="宋体" w:cs="宋体"/>
                <w:b/>
                <w:bCs/>
                <w:color w:val="000000"/>
                <w:sz w:val="22"/>
                <w:lang w:val="en-US" w:eastAsia="zh-CN" w:bidi="ar"/>
              </w:rPr>
              <w:t>qvalue</w:t>
            </w:r>
          </w:p>
        </w:tc>
        <w:tc>
          <w:tcPr>
            <w:tcW w:w="727" w:type="pct"/>
            <w:tcBorders>
              <w:top w:val="single" w:color="auto" w:sz="4" w:space="0"/>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b/>
                <w:bCs/>
                <w:color w:val="000000"/>
                <w:sz w:val="22"/>
                <w:lang w:val="zh-CN" w:eastAsia="zh-CN" w:bidi="zh-CN"/>
              </w:rPr>
            </w:pPr>
            <w:r>
              <w:rPr>
                <w:rFonts w:hint="eastAsia" w:ascii="宋体" w:hAnsi="宋体" w:eastAsia="宋体" w:cs="宋体"/>
                <w:b/>
                <w:bCs/>
                <w:color w:val="000000"/>
                <w:sz w:val="22"/>
                <w:lang w:val="en-US" w:eastAsia="zh-CN" w:bidi="ar"/>
              </w:rPr>
              <w:t>Count</w:t>
            </w:r>
          </w:p>
        </w:tc>
      </w:tr>
      <w:tr>
        <w:tblPrEx>
          <w:tblCellMar>
            <w:top w:w="0" w:type="dxa"/>
            <w:left w:w="108" w:type="dxa"/>
            <w:bottom w:w="0" w:type="dxa"/>
            <w:right w:w="108" w:type="dxa"/>
          </w:tblCellMar>
        </w:tblPrEx>
        <w:trPr>
          <w:trHeight w:val="270" w:hRule="atLeast"/>
        </w:trPr>
        <w:tc>
          <w:tcPr>
            <w:tcW w:w="678" w:type="pct"/>
            <w:tcBorders>
              <w:top w:val="single" w:color="auto" w:sz="4" w:space="0"/>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GO:0004867</w:t>
            </w:r>
          </w:p>
        </w:tc>
        <w:tc>
          <w:tcPr>
            <w:tcW w:w="2486" w:type="pct"/>
            <w:tcBorders>
              <w:top w:val="single" w:color="auto" w:sz="4" w:space="0"/>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en-US" w:eastAsia="zh-CN" w:bidi="zh-CN"/>
              </w:rPr>
            </w:pPr>
            <w:r>
              <w:rPr>
                <w:rFonts w:hint="eastAsia" w:ascii="宋体" w:hAnsi="宋体" w:eastAsia="宋体" w:cs="宋体"/>
                <w:color w:val="000000"/>
                <w:sz w:val="22"/>
                <w:lang w:val="en-US" w:eastAsia="zh-CN" w:bidi="ar"/>
              </w:rPr>
              <w:t>serine-type endopeptidase inhibitor activity</w:t>
            </w:r>
          </w:p>
        </w:tc>
        <w:tc>
          <w:tcPr>
            <w:tcW w:w="577" w:type="pct"/>
            <w:tcBorders>
              <w:top w:val="single" w:color="auto" w:sz="4" w:space="0"/>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c>
          <w:tcPr>
            <w:tcW w:w="529" w:type="pct"/>
            <w:tcBorders>
              <w:top w:val="single" w:color="auto" w:sz="4" w:space="0"/>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c>
          <w:tcPr>
            <w:tcW w:w="727" w:type="pct"/>
            <w:tcBorders>
              <w:top w:val="single" w:color="auto" w:sz="4" w:space="0"/>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27</w:t>
            </w:r>
          </w:p>
        </w:tc>
      </w:tr>
      <w:tr>
        <w:tblPrEx>
          <w:tblCellMar>
            <w:top w:w="0" w:type="dxa"/>
            <w:left w:w="108" w:type="dxa"/>
            <w:bottom w:w="0" w:type="dxa"/>
            <w:right w:w="108" w:type="dxa"/>
          </w:tblCellMar>
        </w:tblPrEx>
        <w:trPr>
          <w:trHeight w:val="270" w:hRule="atLeast"/>
        </w:trPr>
        <w:tc>
          <w:tcPr>
            <w:tcW w:w="678"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GO:0030414</w:t>
            </w:r>
          </w:p>
        </w:tc>
        <w:tc>
          <w:tcPr>
            <w:tcW w:w="2486"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peptidase inhibitor activity</w:t>
            </w:r>
          </w:p>
        </w:tc>
        <w:tc>
          <w:tcPr>
            <w:tcW w:w="57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c>
          <w:tcPr>
            <w:tcW w:w="529"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0.0000 </w:t>
            </w:r>
          </w:p>
        </w:tc>
        <w:tc>
          <w:tcPr>
            <w:tcW w:w="72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35</w:t>
            </w:r>
          </w:p>
        </w:tc>
      </w:tr>
      <w:tr>
        <w:tblPrEx>
          <w:tblCellMar>
            <w:top w:w="0" w:type="dxa"/>
            <w:left w:w="108" w:type="dxa"/>
            <w:bottom w:w="0" w:type="dxa"/>
            <w:right w:w="108" w:type="dxa"/>
          </w:tblCellMar>
        </w:tblPrEx>
        <w:trPr>
          <w:trHeight w:val="270" w:hRule="atLeast"/>
        </w:trPr>
        <w:tc>
          <w:tcPr>
            <w:tcW w:w="678"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GO:0061135</w:t>
            </w:r>
          </w:p>
        </w:tc>
        <w:tc>
          <w:tcPr>
            <w:tcW w:w="2486"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endopeptidase regulator activity</w:t>
            </w:r>
          </w:p>
        </w:tc>
        <w:tc>
          <w:tcPr>
            <w:tcW w:w="57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0.0001 </w:t>
            </w:r>
          </w:p>
        </w:tc>
        <w:tc>
          <w:tcPr>
            <w:tcW w:w="529"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0.0001 </w:t>
            </w:r>
          </w:p>
        </w:tc>
        <w:tc>
          <w:tcPr>
            <w:tcW w:w="72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34</w:t>
            </w:r>
          </w:p>
        </w:tc>
      </w:tr>
      <w:tr>
        <w:tblPrEx>
          <w:tblCellMar>
            <w:top w:w="0" w:type="dxa"/>
            <w:left w:w="108" w:type="dxa"/>
            <w:bottom w:w="0" w:type="dxa"/>
            <w:right w:w="108" w:type="dxa"/>
          </w:tblCellMar>
        </w:tblPrEx>
        <w:trPr>
          <w:trHeight w:val="270" w:hRule="atLeast"/>
        </w:trPr>
        <w:tc>
          <w:tcPr>
            <w:tcW w:w="678"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GO:0004866</w:t>
            </w:r>
          </w:p>
        </w:tc>
        <w:tc>
          <w:tcPr>
            <w:tcW w:w="2486"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endopeptidase inhibitor activity</w:t>
            </w:r>
          </w:p>
        </w:tc>
        <w:tc>
          <w:tcPr>
            <w:tcW w:w="57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0.0001 </w:t>
            </w:r>
          </w:p>
        </w:tc>
        <w:tc>
          <w:tcPr>
            <w:tcW w:w="529"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0.0001 </w:t>
            </w:r>
          </w:p>
        </w:tc>
        <w:tc>
          <w:tcPr>
            <w:tcW w:w="72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33</w:t>
            </w:r>
          </w:p>
        </w:tc>
      </w:tr>
      <w:tr>
        <w:tblPrEx>
          <w:tblCellMar>
            <w:top w:w="0" w:type="dxa"/>
            <w:left w:w="108" w:type="dxa"/>
            <w:bottom w:w="0" w:type="dxa"/>
            <w:right w:w="108" w:type="dxa"/>
          </w:tblCellMar>
        </w:tblPrEx>
        <w:trPr>
          <w:trHeight w:val="270" w:hRule="atLeast"/>
        </w:trPr>
        <w:tc>
          <w:tcPr>
            <w:tcW w:w="678"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GO:0061134</w:t>
            </w:r>
          </w:p>
        </w:tc>
        <w:tc>
          <w:tcPr>
            <w:tcW w:w="2486"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peptidase regulator activity</w:t>
            </w:r>
          </w:p>
        </w:tc>
        <w:tc>
          <w:tcPr>
            <w:tcW w:w="57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0.0001 </w:t>
            </w:r>
          </w:p>
        </w:tc>
        <w:tc>
          <w:tcPr>
            <w:tcW w:w="529"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0.0001 </w:t>
            </w:r>
          </w:p>
        </w:tc>
        <w:tc>
          <w:tcPr>
            <w:tcW w:w="72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38</w:t>
            </w:r>
          </w:p>
        </w:tc>
      </w:tr>
      <w:tr>
        <w:tblPrEx>
          <w:tblCellMar>
            <w:top w:w="0" w:type="dxa"/>
            <w:left w:w="108" w:type="dxa"/>
            <w:bottom w:w="0" w:type="dxa"/>
            <w:right w:w="108" w:type="dxa"/>
          </w:tblCellMar>
        </w:tblPrEx>
        <w:trPr>
          <w:trHeight w:val="270" w:hRule="atLeast"/>
        </w:trPr>
        <w:tc>
          <w:tcPr>
            <w:tcW w:w="678"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GO:0004857</w:t>
            </w:r>
          </w:p>
        </w:tc>
        <w:tc>
          <w:tcPr>
            <w:tcW w:w="2486"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enzyme inhibitor activity</w:t>
            </w:r>
          </w:p>
        </w:tc>
        <w:tc>
          <w:tcPr>
            <w:tcW w:w="57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0.0002 </w:t>
            </w:r>
          </w:p>
        </w:tc>
        <w:tc>
          <w:tcPr>
            <w:tcW w:w="529"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0.0002 </w:t>
            </w:r>
          </w:p>
        </w:tc>
        <w:tc>
          <w:tcPr>
            <w:tcW w:w="72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53</w:t>
            </w:r>
          </w:p>
        </w:tc>
      </w:tr>
      <w:tr>
        <w:tblPrEx>
          <w:tblCellMar>
            <w:top w:w="0" w:type="dxa"/>
            <w:left w:w="108" w:type="dxa"/>
            <w:bottom w:w="0" w:type="dxa"/>
            <w:right w:w="108" w:type="dxa"/>
          </w:tblCellMar>
        </w:tblPrEx>
        <w:trPr>
          <w:trHeight w:val="270" w:hRule="atLeast"/>
        </w:trPr>
        <w:tc>
          <w:tcPr>
            <w:tcW w:w="678"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GO:0042578</w:t>
            </w:r>
          </w:p>
        </w:tc>
        <w:tc>
          <w:tcPr>
            <w:tcW w:w="2486"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phosphoric ester hydrolase activity</w:t>
            </w:r>
          </w:p>
        </w:tc>
        <w:tc>
          <w:tcPr>
            <w:tcW w:w="57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0.0051 </w:t>
            </w:r>
          </w:p>
        </w:tc>
        <w:tc>
          <w:tcPr>
            <w:tcW w:w="529"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0.0048 </w:t>
            </w:r>
          </w:p>
        </w:tc>
        <w:tc>
          <w:tcPr>
            <w:tcW w:w="72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48</w:t>
            </w:r>
          </w:p>
        </w:tc>
      </w:tr>
      <w:tr>
        <w:tblPrEx>
          <w:tblCellMar>
            <w:top w:w="0" w:type="dxa"/>
            <w:left w:w="108" w:type="dxa"/>
            <w:bottom w:w="0" w:type="dxa"/>
            <w:right w:w="108" w:type="dxa"/>
          </w:tblCellMar>
        </w:tblPrEx>
        <w:trPr>
          <w:trHeight w:val="270" w:hRule="atLeast"/>
        </w:trPr>
        <w:tc>
          <w:tcPr>
            <w:tcW w:w="678"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GO:0016831</w:t>
            </w:r>
          </w:p>
        </w:tc>
        <w:tc>
          <w:tcPr>
            <w:tcW w:w="2486"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carboxy-lyase activity</w:t>
            </w:r>
          </w:p>
        </w:tc>
        <w:tc>
          <w:tcPr>
            <w:tcW w:w="57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0.0145 </w:t>
            </w:r>
          </w:p>
        </w:tc>
        <w:tc>
          <w:tcPr>
            <w:tcW w:w="529"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0.0136 </w:t>
            </w:r>
          </w:p>
        </w:tc>
        <w:tc>
          <w:tcPr>
            <w:tcW w:w="72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10</w:t>
            </w:r>
          </w:p>
        </w:tc>
      </w:tr>
      <w:tr>
        <w:tblPrEx>
          <w:tblCellMar>
            <w:top w:w="0" w:type="dxa"/>
            <w:left w:w="108" w:type="dxa"/>
            <w:bottom w:w="0" w:type="dxa"/>
            <w:right w:w="108" w:type="dxa"/>
          </w:tblCellMar>
        </w:tblPrEx>
        <w:trPr>
          <w:trHeight w:val="270" w:hRule="atLeast"/>
        </w:trPr>
        <w:tc>
          <w:tcPr>
            <w:tcW w:w="678"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GO:0019239</w:t>
            </w:r>
          </w:p>
        </w:tc>
        <w:tc>
          <w:tcPr>
            <w:tcW w:w="2486"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deaminase activity</w:t>
            </w:r>
          </w:p>
        </w:tc>
        <w:tc>
          <w:tcPr>
            <w:tcW w:w="57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0.0320 </w:t>
            </w:r>
          </w:p>
        </w:tc>
        <w:tc>
          <w:tcPr>
            <w:tcW w:w="529"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0.0302 </w:t>
            </w:r>
          </w:p>
        </w:tc>
        <w:tc>
          <w:tcPr>
            <w:tcW w:w="72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9</w:t>
            </w:r>
          </w:p>
        </w:tc>
      </w:tr>
      <w:tr>
        <w:tblPrEx>
          <w:tblCellMar>
            <w:top w:w="0" w:type="dxa"/>
            <w:left w:w="108" w:type="dxa"/>
            <w:bottom w:w="0" w:type="dxa"/>
            <w:right w:w="108" w:type="dxa"/>
          </w:tblCellMar>
        </w:tblPrEx>
        <w:trPr>
          <w:trHeight w:val="270" w:hRule="atLeast"/>
        </w:trPr>
        <w:tc>
          <w:tcPr>
            <w:tcW w:w="678"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GO:0008081</w:t>
            </w:r>
          </w:p>
        </w:tc>
        <w:tc>
          <w:tcPr>
            <w:tcW w:w="2486" w:type="pct"/>
            <w:tcBorders>
              <w:top w:val="nil"/>
              <w:left w:val="nil"/>
              <w:bottom w:val="nil"/>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phosphoric diester hydrolase activity</w:t>
            </w:r>
          </w:p>
        </w:tc>
        <w:tc>
          <w:tcPr>
            <w:tcW w:w="57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0.0322 </w:t>
            </w:r>
          </w:p>
        </w:tc>
        <w:tc>
          <w:tcPr>
            <w:tcW w:w="529"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0.0304 </w:t>
            </w:r>
          </w:p>
        </w:tc>
        <w:tc>
          <w:tcPr>
            <w:tcW w:w="727" w:type="pct"/>
            <w:tcBorders>
              <w:top w:val="nil"/>
              <w:left w:val="nil"/>
              <w:bottom w:val="nil"/>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17</w:t>
            </w:r>
          </w:p>
        </w:tc>
      </w:tr>
      <w:tr>
        <w:tblPrEx>
          <w:tblCellMar>
            <w:top w:w="0" w:type="dxa"/>
            <w:left w:w="108" w:type="dxa"/>
            <w:bottom w:w="0" w:type="dxa"/>
            <w:right w:w="108" w:type="dxa"/>
          </w:tblCellMar>
        </w:tblPrEx>
        <w:trPr>
          <w:trHeight w:val="270" w:hRule="atLeast"/>
        </w:trPr>
        <w:tc>
          <w:tcPr>
            <w:tcW w:w="678" w:type="pct"/>
            <w:tcBorders>
              <w:top w:val="nil"/>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GO:0016814</w:t>
            </w:r>
          </w:p>
        </w:tc>
        <w:tc>
          <w:tcPr>
            <w:tcW w:w="2486" w:type="pct"/>
            <w:tcBorders>
              <w:top w:val="nil"/>
              <w:left w:val="nil"/>
              <w:bottom w:val="single" w:color="auto" w:sz="4" w:space="0"/>
              <w:right w:val="nil"/>
            </w:tcBorders>
            <w:shd w:val="clear" w:color="auto" w:fill="auto"/>
            <w:noWrap/>
            <w:vAlign w:val="center"/>
          </w:tcPr>
          <w:p>
            <w:pPr>
              <w:widowControl/>
              <w:autoSpaceDE w:val="0"/>
              <w:autoSpaceDN w:val="0"/>
              <w:spacing w:before="0" w:after="0" w:line="240" w:lineRule="auto"/>
              <w:textAlignment w:val="center"/>
              <w:rPr>
                <w:rFonts w:ascii="宋体" w:hAnsi="宋体" w:eastAsia="宋体" w:cs="宋体"/>
                <w:color w:val="000000"/>
                <w:sz w:val="22"/>
                <w:lang w:val="en-US" w:eastAsia="zh-CN" w:bidi="zh-CN"/>
              </w:rPr>
            </w:pPr>
            <w:r>
              <w:rPr>
                <w:rFonts w:hint="eastAsia" w:ascii="宋体" w:hAnsi="宋体" w:eastAsia="宋体" w:cs="宋体"/>
                <w:color w:val="000000"/>
                <w:sz w:val="22"/>
                <w:lang w:val="en-US" w:eastAsia="zh-CN" w:bidi="ar"/>
              </w:rPr>
              <w:t>hydrolase activity, acting on carbon-nitrogen (but not peptide) bonds, in cyclic amidines</w:t>
            </w:r>
          </w:p>
        </w:tc>
        <w:tc>
          <w:tcPr>
            <w:tcW w:w="577" w:type="pct"/>
            <w:tcBorders>
              <w:top w:val="nil"/>
              <w:left w:val="nil"/>
              <w:bottom w:val="single" w:color="auto" w:sz="4" w:space="0"/>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0.0430 </w:t>
            </w:r>
          </w:p>
        </w:tc>
        <w:tc>
          <w:tcPr>
            <w:tcW w:w="529" w:type="pct"/>
            <w:tcBorders>
              <w:top w:val="nil"/>
              <w:left w:val="nil"/>
              <w:bottom w:val="single" w:color="auto" w:sz="4" w:space="0"/>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 xml:space="preserve">0.0406 </w:t>
            </w:r>
          </w:p>
        </w:tc>
        <w:tc>
          <w:tcPr>
            <w:tcW w:w="727" w:type="pct"/>
            <w:tcBorders>
              <w:top w:val="nil"/>
              <w:left w:val="nil"/>
              <w:bottom w:val="single" w:color="auto" w:sz="4" w:space="0"/>
              <w:right w:val="nil"/>
            </w:tcBorders>
            <w:shd w:val="clear" w:color="auto" w:fill="auto"/>
            <w:noWrap/>
            <w:vAlign w:val="center"/>
          </w:tcPr>
          <w:p>
            <w:pPr>
              <w:widowControl/>
              <w:autoSpaceDE w:val="0"/>
              <w:autoSpaceDN w:val="0"/>
              <w:spacing w:before="0" w:after="0" w:line="240" w:lineRule="auto"/>
              <w:jc w:val="right"/>
              <w:textAlignment w:val="center"/>
              <w:rPr>
                <w:rFonts w:ascii="宋体" w:hAnsi="宋体" w:eastAsia="宋体" w:cs="宋体"/>
                <w:color w:val="000000"/>
                <w:sz w:val="22"/>
                <w:lang w:val="zh-CN" w:eastAsia="zh-CN" w:bidi="zh-CN"/>
              </w:rPr>
            </w:pPr>
            <w:r>
              <w:rPr>
                <w:rFonts w:hint="eastAsia" w:ascii="宋体" w:hAnsi="宋体" w:eastAsia="宋体" w:cs="宋体"/>
                <w:color w:val="000000"/>
                <w:sz w:val="22"/>
                <w:lang w:val="en-US" w:eastAsia="zh-CN" w:bidi="ar"/>
              </w:rPr>
              <w:t>9</w:t>
            </w:r>
          </w:p>
        </w:tc>
      </w:tr>
    </w:tbl>
    <w:p>
      <w:pPr>
        <w:rPr>
          <w:rFonts w:cs="Times New Roman"/>
          <w:szCs w:val="24"/>
        </w:rPr>
      </w:pPr>
    </w:p>
    <w:p>
      <w:pPr>
        <w:keepNext/>
        <w:rPr>
          <w:rFonts w:hint="eastAsia" w:ascii="Arial" w:hAnsi="Arial" w:eastAsia="等线" w:cs="Arial"/>
          <w:b w:val="0"/>
          <w:bCs w:val="0"/>
          <w:sz w:val="20"/>
          <w:szCs w:val="20"/>
          <w:lang w:eastAsia="zh-CN"/>
        </w:rPr>
      </w:pPr>
    </w:p>
    <w:p>
      <w:pPr>
        <w:keepNext/>
        <w:rPr>
          <w:rFonts w:hint="eastAsia" w:cs="Times New Roman"/>
          <w:szCs w:val="24"/>
          <w:lang w:eastAsia="zh-CN"/>
        </w:rPr>
      </w:pPr>
    </w:p>
    <w:p>
      <w:pPr>
        <w:keepNext/>
        <w:rPr>
          <w:rFonts w:hint="eastAsia" w:cs="Times New Roman"/>
          <w:szCs w:val="24"/>
        </w:rPr>
      </w:pPr>
    </w:p>
    <w:p>
      <w:pPr>
        <w:keepNext/>
        <w:rPr>
          <w:rFonts w:hint="eastAsia" w:ascii="Arial" w:hAnsi="Arial" w:eastAsia="等线" w:cs="Arial"/>
          <w:b w:val="0"/>
          <w:bCs w:val="0"/>
          <w:sz w:val="20"/>
          <w:szCs w:val="20"/>
          <w:lang w:eastAsia="zh-CN"/>
        </w:rPr>
      </w:pPr>
    </w:p>
    <w:p>
      <w:pPr>
        <w:keepNext/>
        <w:rPr>
          <w:rFonts w:hint="eastAsia" w:ascii="Arial" w:hAnsi="Arial" w:eastAsia="等线" w:cs="Arial"/>
          <w:b w:val="0"/>
          <w:bCs w:val="0"/>
          <w:sz w:val="20"/>
          <w:szCs w:val="20"/>
          <w:lang w:eastAsia="zh-CN"/>
        </w:rPr>
      </w:pPr>
    </w:p>
    <w:p>
      <w:pPr>
        <w:keepNext/>
        <w:rPr>
          <w:rFonts w:hint="eastAsia" w:ascii="Arial" w:hAnsi="Arial" w:eastAsia="等线" w:cs="Arial"/>
          <w:b w:val="0"/>
          <w:bCs w:val="0"/>
          <w:sz w:val="20"/>
          <w:szCs w:val="20"/>
          <w:lang w:eastAsia="zh-CN"/>
        </w:rPr>
      </w:pPr>
    </w:p>
    <w:p>
      <w:pPr>
        <w:keepNext/>
        <w:rPr>
          <w:rFonts w:hint="eastAsia" w:ascii="Arial" w:hAnsi="Arial" w:eastAsia="等线" w:cs="Arial"/>
          <w:b w:val="0"/>
          <w:bCs w:val="0"/>
          <w:sz w:val="20"/>
          <w:szCs w:val="20"/>
          <w:lang w:eastAsia="zh-CN"/>
        </w:rPr>
      </w:pPr>
    </w:p>
    <w:p>
      <w:pPr>
        <w:spacing w:before="240"/>
      </w:pPr>
    </w:p>
    <w:sectPr>
      <w:headerReference r:id="rId6" w:type="first"/>
      <w:footerReference r:id="rId7" w:type="default"/>
      <w:headerReference r:id="rId5" w:type="even"/>
      <w:footerReference r:id="rId8" w:type="even"/>
      <w:pgSz w:w="12240" w:h="15840"/>
      <w:pgMar w:top="1138" w:right="1181" w:bottom="1138" w:left="1282" w:header="720" w:footer="720" w:gutter="0"/>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sz w:val="20"/>
        <w:szCs w:val="24"/>
      </w:rPr>
    </w:pPr>
    <w:r>
      <w:rPr>
        <w:lang w:val="en-GB" w:eastAsia="en-GB"/>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56" o:spid="_x0000_s1026" o:spt="202" type="#_x0000_t202" style="position:absolute;left:0pt;margin-left:434.15pt;margin-top:726.5pt;height:31.15pt;width:118.8pt;mso-position-horizontal-relative:page;mso-position-vertical-relative:page;z-index:251659264;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MV0Qi0gAAAAQBAAAPAAAAAAAAAAEAIAAAACIAAABkcnMvZG93bnJldi54bWxQSwEC&#10;FAAUAAAACACHTuJARAcAODMCAAB1BAAADgAAAAAAAAABACAAAAAhAQAAZHJzL2Uyb0RvYy54bWxQ&#10;SwUGAAAAAAYABgBZAQAAxgU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color w:val="C00000"/>
        <w:szCs w:val="24"/>
      </w:rPr>
    </w:pPr>
    <w:r>
      <w:rPr>
        <w:lang w:val="en-GB" w:eastAsia="en-GB"/>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1" o:spid="_x0000_s1026" o:spt="202" type="#_x0000_t202" style="position:absolute;left:0pt;margin-left:434.15pt;margin-top:724.2pt;height:31.15pt;width:118.8pt;mso-position-horizontal-relative:page;mso-position-vertical-relative:page;z-index:251660288;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TFdEItIAAAAEAQAADwAAAAAAAAABACAAAAAiAAAAZHJzL2Rvd25yZXYueG1sUEsBAhQA&#10;FAAAAAgAh07iQFsR1fExAgAAcwQAAA4AAAAAAAAAAQAgAAAAIQEAAGRycy9lMm9Eb2MueG1sUEsF&#10;BgAAAAAGAAYAWQEAAMQFA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cs="Times New Roman"/>
      </w:rPr>
    </w:pPr>
    <w:r>
      <w:rPr>
        <w:rFonts w:cs="Times New Roman"/>
      </w:rPr>
      <w:ptab w:relativeTo="margin" w:alignment="center" w:leader="none"/>
    </w:r>
    <w:r>
      <w:rPr>
        <w:rFonts w:cs="Times New Roman"/>
      </w:rPr>
      <w:ptab w:relativeTo="margin" w:alignment="right" w:leader="none"/>
    </w:r>
    <w:r>
      <w:rPr>
        <w:rFonts w:cs="Times New Roman"/>
      </w:rPr>
      <w:t>Supplementary Material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color w:val="A6A6A6" w:themeColor="background1" w:themeShade="A6"/>
        <w:lang w:val="en-GB" w:eastAsia="en-GB"/>
      </w:rPr>
      <w:drawing>
        <wp:inline distT="0" distB="0" distL="0" distR="0">
          <wp:extent cx="1382395" cy="496570"/>
          <wp:effectExtent l="0" t="0" r="0" b="0"/>
          <wp:docPr id="7" name="Picture 7" descr="C:\Users\Elaine.Scott\Documents\LaTex\____TEST____Frontiers_LaTeX_Templates_V2.5\Frontiers LaTeX (Science, Health and Engineering) V2.5 - with Supplementary material (V1.2)\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Users\Elaine.Scott\Documents\LaTex\____TEST____Frontiers_LaTeX_Templates_V2.5\Frontiers LaTeX (Science, Health and Engineering) V2.5 - with Supplementary material (V1.2)\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34909" cy="551877"/>
                  </a:xfrm>
                  <a:prstGeom prst="rect">
                    <a:avLst/>
                  </a:prstGeom>
                  <a:noFill/>
                  <a:ln>
                    <a:noFill/>
                  </a:ln>
                </pic:spPr>
              </pic:pic>
            </a:graphicData>
          </a:graphic>
        </wp:inline>
      </w:drawing>
    </w:r>
    <w:r>
      <w:rPr>
        <w:b/>
      </w:rPr>
      <w:ptab w:relativeTo="margin" w:alignment="center" w:leader="none"/>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9F02DC"/>
    <w:multiLevelType w:val="singleLevel"/>
    <w:tmpl w:val="8C9F02DC"/>
    <w:lvl w:ilvl="0" w:tentative="0">
      <w:start w:val="46"/>
      <w:numFmt w:val="decimal"/>
      <w:suff w:val="space"/>
      <w:lvlText w:val="%1."/>
      <w:lvlJc w:val="left"/>
    </w:lvl>
  </w:abstractNum>
  <w:abstractNum w:abstractNumId="1">
    <w:nsid w:val="1EC0601A"/>
    <w:multiLevelType w:val="multilevel"/>
    <w:tmpl w:val="1EC0601A"/>
    <w:lvl w:ilvl="0" w:tentative="0">
      <w:start w:val="1"/>
      <w:numFmt w:val="decimal"/>
      <w:pStyle w:val="2"/>
      <w:lvlText w:val="%1"/>
      <w:lvlJc w:val="left"/>
      <w:pPr>
        <w:tabs>
          <w:tab w:val="left" w:pos="567"/>
        </w:tabs>
        <w:ind w:left="567" w:hanging="567"/>
      </w:pPr>
      <w:rPr>
        <w:rFonts w:hint="default"/>
      </w:rPr>
    </w:lvl>
    <w:lvl w:ilvl="1" w:tentative="0">
      <w:start w:val="1"/>
      <w:numFmt w:val="decimal"/>
      <w:pStyle w:val="4"/>
      <w:lvlText w:val="%1.%2"/>
      <w:lvlJc w:val="left"/>
      <w:pPr>
        <w:tabs>
          <w:tab w:val="left" w:pos="567"/>
        </w:tabs>
        <w:ind w:left="567" w:hanging="567"/>
      </w:pPr>
      <w:rPr>
        <w:rFonts w:hint="default"/>
      </w:rPr>
    </w:lvl>
    <w:lvl w:ilvl="2" w:tentative="0">
      <w:start w:val="1"/>
      <w:numFmt w:val="decimal"/>
      <w:pStyle w:val="5"/>
      <w:lvlText w:val="%1.%2.%3"/>
      <w:lvlJc w:val="left"/>
      <w:pPr>
        <w:tabs>
          <w:tab w:val="left" w:pos="567"/>
        </w:tabs>
        <w:ind w:left="567" w:hanging="567"/>
      </w:pPr>
      <w:rPr>
        <w:rFonts w:hint="default"/>
      </w:rPr>
    </w:lvl>
    <w:lvl w:ilvl="3" w:tentative="0">
      <w:start w:val="1"/>
      <w:numFmt w:val="decimal"/>
      <w:pStyle w:val="6"/>
      <w:lvlText w:val="%1.%2.%3.%4"/>
      <w:lvlJc w:val="left"/>
      <w:pPr>
        <w:tabs>
          <w:tab w:val="left" w:pos="567"/>
        </w:tabs>
        <w:ind w:left="567" w:hanging="567"/>
      </w:pPr>
      <w:rPr>
        <w:rFonts w:hint="default"/>
      </w:rPr>
    </w:lvl>
    <w:lvl w:ilvl="4" w:tentative="0">
      <w:start w:val="1"/>
      <w:numFmt w:val="decimal"/>
      <w:pStyle w:val="7"/>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2">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attachedTemplate r:id="rId1"/>
  <w:documentProtection w:enforcement="0"/>
  <w:defaultTabStop w:val="7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0B5"/>
    <w:rsid w:val="0001436A"/>
    <w:rsid w:val="00034304"/>
    <w:rsid w:val="00035434"/>
    <w:rsid w:val="00052A14"/>
    <w:rsid w:val="00077D53"/>
    <w:rsid w:val="00105FD9"/>
    <w:rsid w:val="00117666"/>
    <w:rsid w:val="001549D3"/>
    <w:rsid w:val="00160065"/>
    <w:rsid w:val="00177D84"/>
    <w:rsid w:val="00267D18"/>
    <w:rsid w:val="00274347"/>
    <w:rsid w:val="002868E2"/>
    <w:rsid w:val="002869C3"/>
    <w:rsid w:val="002936E4"/>
    <w:rsid w:val="002B4A57"/>
    <w:rsid w:val="002C74CA"/>
    <w:rsid w:val="003123F4"/>
    <w:rsid w:val="003544FB"/>
    <w:rsid w:val="003D2F2D"/>
    <w:rsid w:val="00401590"/>
    <w:rsid w:val="00447801"/>
    <w:rsid w:val="00452E9C"/>
    <w:rsid w:val="004735C8"/>
    <w:rsid w:val="004947A6"/>
    <w:rsid w:val="004961FF"/>
    <w:rsid w:val="00517A89"/>
    <w:rsid w:val="005250F2"/>
    <w:rsid w:val="00593EEA"/>
    <w:rsid w:val="005A5EEE"/>
    <w:rsid w:val="006375C7"/>
    <w:rsid w:val="00654E8F"/>
    <w:rsid w:val="00660D05"/>
    <w:rsid w:val="006820B1"/>
    <w:rsid w:val="006B7D14"/>
    <w:rsid w:val="00701727"/>
    <w:rsid w:val="0070566C"/>
    <w:rsid w:val="00714C50"/>
    <w:rsid w:val="00725A7D"/>
    <w:rsid w:val="007501BE"/>
    <w:rsid w:val="00790BB3"/>
    <w:rsid w:val="007C206C"/>
    <w:rsid w:val="00817DD6"/>
    <w:rsid w:val="0083759F"/>
    <w:rsid w:val="00885156"/>
    <w:rsid w:val="009151AA"/>
    <w:rsid w:val="0093429D"/>
    <w:rsid w:val="00943573"/>
    <w:rsid w:val="00964134"/>
    <w:rsid w:val="00970F7D"/>
    <w:rsid w:val="00994A3D"/>
    <w:rsid w:val="009C2B12"/>
    <w:rsid w:val="00A174D9"/>
    <w:rsid w:val="00AA4D24"/>
    <w:rsid w:val="00AB6715"/>
    <w:rsid w:val="00B1671E"/>
    <w:rsid w:val="00B25EB8"/>
    <w:rsid w:val="00B37F4D"/>
    <w:rsid w:val="00C52A7B"/>
    <w:rsid w:val="00C56BAF"/>
    <w:rsid w:val="00C679AA"/>
    <w:rsid w:val="00C75972"/>
    <w:rsid w:val="00CD066B"/>
    <w:rsid w:val="00CE4FEE"/>
    <w:rsid w:val="00D060CF"/>
    <w:rsid w:val="00DB59C3"/>
    <w:rsid w:val="00DC259A"/>
    <w:rsid w:val="00DE23E8"/>
    <w:rsid w:val="00E52377"/>
    <w:rsid w:val="00E537AD"/>
    <w:rsid w:val="00E64E17"/>
    <w:rsid w:val="00E866C9"/>
    <w:rsid w:val="00EA3D3C"/>
    <w:rsid w:val="00EC090A"/>
    <w:rsid w:val="00ED20B5"/>
    <w:rsid w:val="00F46900"/>
    <w:rsid w:val="00F61D89"/>
    <w:rsid w:val="06277E27"/>
    <w:rsid w:val="09D11DE5"/>
    <w:rsid w:val="12333C8E"/>
    <w:rsid w:val="17916C26"/>
    <w:rsid w:val="1A1535CD"/>
    <w:rsid w:val="2CC71403"/>
    <w:rsid w:val="37122E66"/>
    <w:rsid w:val="440B29E2"/>
    <w:rsid w:val="468B19EE"/>
    <w:rsid w:val="49BA799D"/>
    <w:rsid w:val="4F1F3BA1"/>
    <w:rsid w:val="55EE21AB"/>
    <w:rsid w:val="7B3E7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nhideWhenUsed="0" w:uiPriority="2" w:semiHidden="0" w:name="heading 2"/>
    <w:lsdException w:qFormat="1" w:unhideWhenUsed="0" w:uiPriority="2" w:semiHidden="0" w:name="heading 3"/>
    <w:lsdException w:qFormat="1" w:unhideWhenUsed="0" w:uiPriority="2" w:semiHidden="0" w:name="heading 4"/>
    <w:lsdException w:qFormat="1" w:unhideWhenUsed="0" w:uiPriority="2"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qFormat="1"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line="240" w:lineRule="auto"/>
    </w:pPr>
    <w:rPr>
      <w:rFonts w:ascii="Times New Roman" w:hAnsi="Times New Roman" w:eastAsiaTheme="minorHAnsi" w:cstheme="minorBidi"/>
      <w:sz w:val="24"/>
      <w:szCs w:val="22"/>
      <w:lang w:val="en-US" w:eastAsia="en-US" w:bidi="ar-SA"/>
    </w:rPr>
  </w:style>
  <w:style w:type="paragraph" w:styleId="2">
    <w:name w:val="heading 1"/>
    <w:basedOn w:val="3"/>
    <w:next w:val="1"/>
    <w:link w:val="31"/>
    <w:qFormat/>
    <w:uiPriority w:val="2"/>
    <w:pPr>
      <w:numPr>
        <w:ilvl w:val="0"/>
        <w:numId w:val="1"/>
      </w:numPr>
      <w:spacing w:before="240"/>
      <w:contextualSpacing w:val="0"/>
      <w:outlineLvl w:val="0"/>
    </w:pPr>
    <w:rPr>
      <w:b/>
    </w:rPr>
  </w:style>
  <w:style w:type="paragraph" w:styleId="4">
    <w:name w:val="heading 2"/>
    <w:basedOn w:val="2"/>
    <w:next w:val="1"/>
    <w:link w:val="32"/>
    <w:qFormat/>
    <w:uiPriority w:val="2"/>
    <w:pPr>
      <w:numPr>
        <w:ilvl w:val="1"/>
      </w:numPr>
      <w:spacing w:after="200"/>
      <w:outlineLvl w:val="1"/>
    </w:pPr>
  </w:style>
  <w:style w:type="paragraph" w:styleId="5">
    <w:name w:val="heading 3"/>
    <w:basedOn w:val="1"/>
    <w:next w:val="1"/>
    <w:link w:val="45"/>
    <w:qFormat/>
    <w:uiPriority w:val="2"/>
    <w:pPr>
      <w:keepNext/>
      <w:keepLines/>
      <w:numPr>
        <w:ilvl w:val="2"/>
        <w:numId w:val="1"/>
      </w:numPr>
      <w:spacing w:before="40" w:after="120"/>
      <w:outlineLvl w:val="2"/>
    </w:pPr>
    <w:rPr>
      <w:rFonts w:eastAsiaTheme="majorEastAsia" w:cstheme="majorBidi"/>
      <w:b/>
      <w:szCs w:val="24"/>
    </w:rPr>
  </w:style>
  <w:style w:type="paragraph" w:styleId="6">
    <w:name w:val="heading 4"/>
    <w:basedOn w:val="5"/>
    <w:next w:val="1"/>
    <w:link w:val="46"/>
    <w:qFormat/>
    <w:uiPriority w:val="2"/>
    <w:pPr>
      <w:numPr>
        <w:ilvl w:val="3"/>
      </w:numPr>
      <w:outlineLvl w:val="3"/>
    </w:pPr>
    <w:rPr>
      <w:iCs/>
    </w:rPr>
  </w:style>
  <w:style w:type="paragraph" w:styleId="7">
    <w:name w:val="heading 5"/>
    <w:basedOn w:val="6"/>
    <w:next w:val="1"/>
    <w:link w:val="47"/>
    <w:qFormat/>
    <w:uiPriority w:val="2"/>
    <w:pPr>
      <w:numPr>
        <w:ilvl w:val="4"/>
      </w:numPr>
      <w:outlineLvl w:val="4"/>
    </w:p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3">
    <w:name w:val="List Paragraph"/>
    <w:basedOn w:val="1"/>
    <w:qFormat/>
    <w:uiPriority w:val="3"/>
    <w:pPr>
      <w:numPr>
        <w:ilvl w:val="0"/>
        <w:numId w:val="2"/>
      </w:numPr>
      <w:contextualSpacing/>
    </w:pPr>
    <w:rPr>
      <w:rFonts w:eastAsia="Cambria" w:cs="Times New Roman"/>
      <w:szCs w:val="24"/>
    </w:rPr>
  </w:style>
  <w:style w:type="paragraph" w:styleId="8">
    <w:name w:val="caption"/>
    <w:basedOn w:val="1"/>
    <w:next w:val="9"/>
    <w:unhideWhenUsed/>
    <w:qFormat/>
    <w:uiPriority w:val="35"/>
    <w:pPr>
      <w:keepNext/>
    </w:pPr>
    <w:rPr>
      <w:rFonts w:cs="Times New Roman"/>
      <w:b/>
      <w:bCs/>
      <w:szCs w:val="24"/>
    </w:rPr>
  </w:style>
  <w:style w:type="paragraph" w:styleId="9">
    <w:name w:val="No Spacing"/>
    <w:unhideWhenUsed/>
    <w:qFormat/>
    <w:uiPriority w:val="99"/>
    <w:pPr>
      <w:spacing w:after="0" w:line="240" w:lineRule="auto"/>
    </w:pPr>
    <w:rPr>
      <w:rFonts w:ascii="Times New Roman" w:hAnsi="Times New Roman" w:eastAsiaTheme="minorHAnsi" w:cstheme="minorBidi"/>
      <w:sz w:val="24"/>
      <w:szCs w:val="22"/>
      <w:lang w:val="en-US" w:eastAsia="en-US" w:bidi="ar-SA"/>
    </w:rPr>
  </w:style>
  <w:style w:type="paragraph" w:styleId="10">
    <w:name w:val="annotation text"/>
    <w:basedOn w:val="1"/>
    <w:link w:val="37"/>
    <w:semiHidden/>
    <w:unhideWhenUsed/>
    <w:qFormat/>
    <w:uiPriority w:val="99"/>
    <w:rPr>
      <w:sz w:val="20"/>
      <w:szCs w:val="20"/>
    </w:rPr>
  </w:style>
  <w:style w:type="paragraph" w:styleId="11">
    <w:name w:val="endnote text"/>
    <w:basedOn w:val="1"/>
    <w:link w:val="39"/>
    <w:semiHidden/>
    <w:unhideWhenUsed/>
    <w:qFormat/>
    <w:uiPriority w:val="99"/>
    <w:pPr>
      <w:spacing w:after="0"/>
    </w:pPr>
    <w:rPr>
      <w:sz w:val="20"/>
      <w:szCs w:val="20"/>
    </w:rPr>
  </w:style>
  <w:style w:type="paragraph" w:styleId="12">
    <w:name w:val="Balloon Text"/>
    <w:basedOn w:val="1"/>
    <w:link w:val="35"/>
    <w:semiHidden/>
    <w:unhideWhenUsed/>
    <w:qFormat/>
    <w:uiPriority w:val="99"/>
    <w:pPr>
      <w:spacing w:after="0"/>
    </w:pPr>
    <w:rPr>
      <w:rFonts w:ascii="Tahoma" w:hAnsi="Tahoma" w:cs="Tahoma"/>
      <w:sz w:val="16"/>
      <w:szCs w:val="16"/>
    </w:rPr>
  </w:style>
  <w:style w:type="paragraph" w:styleId="13">
    <w:name w:val="footer"/>
    <w:basedOn w:val="1"/>
    <w:link w:val="40"/>
    <w:unhideWhenUsed/>
    <w:qFormat/>
    <w:uiPriority w:val="99"/>
    <w:pPr>
      <w:tabs>
        <w:tab w:val="center" w:pos="4844"/>
        <w:tab w:val="right" w:pos="9689"/>
      </w:tabs>
      <w:spacing w:after="0"/>
    </w:pPr>
  </w:style>
  <w:style w:type="paragraph" w:styleId="14">
    <w:name w:val="header"/>
    <w:basedOn w:val="1"/>
    <w:link w:val="42"/>
    <w:unhideWhenUsed/>
    <w:qFormat/>
    <w:uiPriority w:val="99"/>
    <w:pPr>
      <w:tabs>
        <w:tab w:val="center" w:pos="4844"/>
        <w:tab w:val="right" w:pos="9689"/>
      </w:tabs>
    </w:pPr>
    <w:rPr>
      <w:b/>
    </w:rPr>
  </w:style>
  <w:style w:type="paragraph" w:styleId="15">
    <w:name w:val="Subtitle"/>
    <w:basedOn w:val="1"/>
    <w:next w:val="1"/>
    <w:link w:val="33"/>
    <w:unhideWhenUsed/>
    <w:qFormat/>
    <w:uiPriority w:val="99"/>
    <w:pPr>
      <w:spacing w:before="240"/>
    </w:pPr>
    <w:rPr>
      <w:rFonts w:cs="Times New Roman"/>
      <w:b/>
      <w:szCs w:val="24"/>
    </w:rPr>
  </w:style>
  <w:style w:type="paragraph" w:styleId="16">
    <w:name w:val="footnote text"/>
    <w:basedOn w:val="1"/>
    <w:link w:val="41"/>
    <w:semiHidden/>
    <w:unhideWhenUsed/>
    <w:qFormat/>
    <w:uiPriority w:val="99"/>
    <w:pPr>
      <w:spacing w:after="0"/>
    </w:pPr>
    <w:rPr>
      <w:sz w:val="20"/>
      <w:szCs w:val="20"/>
    </w:rPr>
  </w:style>
  <w:style w:type="paragraph" w:styleId="17">
    <w:name w:val="Normal (Web)"/>
    <w:basedOn w:val="1"/>
    <w:unhideWhenUsed/>
    <w:qFormat/>
    <w:uiPriority w:val="99"/>
    <w:pPr>
      <w:spacing w:before="100" w:beforeAutospacing="1" w:after="100" w:afterAutospacing="1"/>
    </w:pPr>
    <w:rPr>
      <w:rFonts w:eastAsia="Times New Roman" w:cs="Times New Roman"/>
      <w:szCs w:val="24"/>
    </w:rPr>
  </w:style>
  <w:style w:type="paragraph" w:styleId="18">
    <w:name w:val="Title"/>
    <w:basedOn w:val="1"/>
    <w:next w:val="1"/>
    <w:link w:val="51"/>
    <w:qFormat/>
    <w:uiPriority w:val="0"/>
    <w:pPr>
      <w:suppressLineNumbers/>
      <w:spacing w:before="240" w:after="360"/>
      <w:jc w:val="center"/>
    </w:pPr>
    <w:rPr>
      <w:rFonts w:cs="Times New Roman"/>
      <w:b/>
      <w:sz w:val="32"/>
      <w:szCs w:val="32"/>
    </w:rPr>
  </w:style>
  <w:style w:type="paragraph" w:styleId="19">
    <w:name w:val="annotation subject"/>
    <w:basedOn w:val="10"/>
    <w:next w:val="10"/>
    <w:link w:val="38"/>
    <w:semiHidden/>
    <w:unhideWhenUsed/>
    <w:qFormat/>
    <w:uiPriority w:val="99"/>
    <w:rPr>
      <w:b/>
      <w:bCs/>
    </w:rPr>
  </w:style>
  <w:style w:type="table" w:styleId="21">
    <w:name w:val="Table Grid"/>
    <w:basedOn w:val="20"/>
    <w:qFormat/>
    <w:uiPriority w:val="59"/>
    <w:pPr>
      <w:spacing w:after="0" w:line="240" w:lineRule="auto"/>
    </w:pPr>
    <w:rPr>
      <w:rFonts w:asciiTheme="majorHAnsi" w:hAnsiTheme="majorHAns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rFonts w:ascii="Times New Roman" w:hAnsi="Times New Roman"/>
      <w:b/>
      <w:bCs/>
    </w:rPr>
  </w:style>
  <w:style w:type="character" w:styleId="24">
    <w:name w:val="endnote reference"/>
    <w:basedOn w:val="22"/>
    <w:semiHidden/>
    <w:unhideWhenUsed/>
    <w:qFormat/>
    <w:uiPriority w:val="99"/>
    <w:rPr>
      <w:vertAlign w:val="superscript"/>
    </w:rPr>
  </w:style>
  <w:style w:type="character" w:styleId="25">
    <w:name w:val="FollowedHyperlink"/>
    <w:basedOn w:val="22"/>
    <w:semiHidden/>
    <w:unhideWhenUsed/>
    <w:qFormat/>
    <w:uiPriority w:val="99"/>
    <w:rPr>
      <w:color w:val="800080" w:themeColor="followedHyperlink"/>
      <w:u w:val="single"/>
      <w14:textFill>
        <w14:solidFill>
          <w14:schemeClr w14:val="folHlink"/>
        </w14:solidFill>
      </w14:textFill>
    </w:rPr>
  </w:style>
  <w:style w:type="character" w:styleId="26">
    <w:name w:val="Emphasis"/>
    <w:basedOn w:val="22"/>
    <w:qFormat/>
    <w:uiPriority w:val="20"/>
    <w:rPr>
      <w:rFonts w:ascii="Times New Roman" w:hAnsi="Times New Roman"/>
      <w:i/>
      <w:iCs/>
    </w:rPr>
  </w:style>
  <w:style w:type="character" w:styleId="27">
    <w:name w:val="line number"/>
    <w:basedOn w:val="22"/>
    <w:semiHidden/>
    <w:unhideWhenUsed/>
    <w:qFormat/>
    <w:uiPriority w:val="99"/>
  </w:style>
  <w:style w:type="character" w:styleId="28">
    <w:name w:val="Hyperlink"/>
    <w:basedOn w:val="22"/>
    <w:unhideWhenUsed/>
    <w:qFormat/>
    <w:uiPriority w:val="99"/>
    <w:rPr>
      <w:color w:val="0000FF"/>
      <w:u w:val="single"/>
    </w:rPr>
  </w:style>
  <w:style w:type="character" w:styleId="29">
    <w:name w:val="annotation reference"/>
    <w:basedOn w:val="22"/>
    <w:semiHidden/>
    <w:unhideWhenUsed/>
    <w:qFormat/>
    <w:uiPriority w:val="99"/>
    <w:rPr>
      <w:sz w:val="16"/>
      <w:szCs w:val="16"/>
    </w:rPr>
  </w:style>
  <w:style w:type="character" w:styleId="30">
    <w:name w:val="footnote reference"/>
    <w:basedOn w:val="22"/>
    <w:semiHidden/>
    <w:unhideWhenUsed/>
    <w:qFormat/>
    <w:uiPriority w:val="99"/>
    <w:rPr>
      <w:vertAlign w:val="superscript"/>
    </w:rPr>
  </w:style>
  <w:style w:type="character" w:customStyle="1" w:styleId="31">
    <w:name w:val="Heading 1 Char"/>
    <w:basedOn w:val="22"/>
    <w:link w:val="2"/>
    <w:qFormat/>
    <w:uiPriority w:val="2"/>
    <w:rPr>
      <w:rFonts w:ascii="Times New Roman" w:hAnsi="Times New Roman" w:eastAsia="Cambria" w:cs="Times New Roman"/>
      <w:b/>
      <w:sz w:val="24"/>
      <w:szCs w:val="24"/>
    </w:rPr>
  </w:style>
  <w:style w:type="character" w:customStyle="1" w:styleId="32">
    <w:name w:val="Heading 2 Char"/>
    <w:basedOn w:val="22"/>
    <w:link w:val="4"/>
    <w:qFormat/>
    <w:uiPriority w:val="2"/>
    <w:rPr>
      <w:rFonts w:ascii="Times New Roman" w:hAnsi="Times New Roman" w:eastAsia="Cambria" w:cs="Times New Roman"/>
      <w:b/>
      <w:sz w:val="24"/>
      <w:szCs w:val="24"/>
    </w:rPr>
  </w:style>
  <w:style w:type="character" w:customStyle="1" w:styleId="33">
    <w:name w:val="Subtitle Char"/>
    <w:basedOn w:val="22"/>
    <w:link w:val="15"/>
    <w:qFormat/>
    <w:uiPriority w:val="99"/>
    <w:rPr>
      <w:rFonts w:ascii="Times New Roman" w:hAnsi="Times New Roman" w:cs="Times New Roman"/>
      <w:b/>
      <w:sz w:val="24"/>
      <w:szCs w:val="24"/>
    </w:rPr>
  </w:style>
  <w:style w:type="paragraph" w:customStyle="1" w:styleId="34">
    <w:name w:val="Author List"/>
    <w:basedOn w:val="15"/>
    <w:next w:val="1"/>
    <w:qFormat/>
    <w:uiPriority w:val="1"/>
  </w:style>
  <w:style w:type="character" w:customStyle="1" w:styleId="35">
    <w:name w:val="Balloon Text Char"/>
    <w:basedOn w:val="22"/>
    <w:link w:val="12"/>
    <w:semiHidden/>
    <w:qFormat/>
    <w:uiPriority w:val="99"/>
    <w:rPr>
      <w:rFonts w:ascii="Tahoma" w:hAnsi="Tahoma" w:cs="Tahoma"/>
      <w:sz w:val="16"/>
      <w:szCs w:val="16"/>
    </w:rPr>
  </w:style>
  <w:style w:type="character" w:customStyle="1" w:styleId="36">
    <w:name w:val="Book Title"/>
    <w:basedOn w:val="22"/>
    <w:qFormat/>
    <w:uiPriority w:val="33"/>
    <w:rPr>
      <w:rFonts w:ascii="Times New Roman" w:hAnsi="Times New Roman"/>
      <w:b/>
      <w:bCs/>
      <w:i/>
      <w:iCs/>
      <w:spacing w:val="5"/>
    </w:rPr>
  </w:style>
  <w:style w:type="character" w:customStyle="1" w:styleId="37">
    <w:name w:val="Comment Text Char"/>
    <w:basedOn w:val="22"/>
    <w:link w:val="10"/>
    <w:semiHidden/>
    <w:qFormat/>
    <w:uiPriority w:val="99"/>
    <w:rPr>
      <w:rFonts w:ascii="Times New Roman" w:hAnsi="Times New Roman"/>
      <w:sz w:val="20"/>
      <w:szCs w:val="20"/>
    </w:rPr>
  </w:style>
  <w:style w:type="character" w:customStyle="1" w:styleId="38">
    <w:name w:val="Comment Subject Char"/>
    <w:basedOn w:val="37"/>
    <w:link w:val="19"/>
    <w:semiHidden/>
    <w:qFormat/>
    <w:uiPriority w:val="99"/>
    <w:rPr>
      <w:rFonts w:ascii="Times New Roman" w:hAnsi="Times New Roman"/>
      <w:b/>
      <w:bCs/>
      <w:sz w:val="20"/>
      <w:szCs w:val="20"/>
    </w:rPr>
  </w:style>
  <w:style w:type="character" w:customStyle="1" w:styleId="39">
    <w:name w:val="Endnote Text Char"/>
    <w:basedOn w:val="22"/>
    <w:link w:val="11"/>
    <w:semiHidden/>
    <w:qFormat/>
    <w:uiPriority w:val="99"/>
    <w:rPr>
      <w:rFonts w:ascii="Times New Roman" w:hAnsi="Times New Roman"/>
      <w:sz w:val="20"/>
      <w:szCs w:val="20"/>
    </w:rPr>
  </w:style>
  <w:style w:type="character" w:customStyle="1" w:styleId="40">
    <w:name w:val="Footer Char"/>
    <w:basedOn w:val="22"/>
    <w:link w:val="13"/>
    <w:qFormat/>
    <w:uiPriority w:val="99"/>
    <w:rPr>
      <w:rFonts w:ascii="Times New Roman" w:hAnsi="Times New Roman"/>
      <w:sz w:val="24"/>
    </w:rPr>
  </w:style>
  <w:style w:type="character" w:customStyle="1" w:styleId="41">
    <w:name w:val="Footnote Text Char"/>
    <w:basedOn w:val="22"/>
    <w:link w:val="16"/>
    <w:semiHidden/>
    <w:qFormat/>
    <w:uiPriority w:val="99"/>
    <w:rPr>
      <w:rFonts w:ascii="Times New Roman" w:hAnsi="Times New Roman"/>
      <w:sz w:val="20"/>
      <w:szCs w:val="20"/>
    </w:rPr>
  </w:style>
  <w:style w:type="character" w:customStyle="1" w:styleId="42">
    <w:name w:val="Header Char"/>
    <w:basedOn w:val="22"/>
    <w:link w:val="14"/>
    <w:qFormat/>
    <w:uiPriority w:val="99"/>
    <w:rPr>
      <w:rFonts w:ascii="Times New Roman" w:hAnsi="Times New Roman"/>
      <w:b/>
      <w:sz w:val="24"/>
    </w:rPr>
  </w:style>
  <w:style w:type="character" w:customStyle="1" w:styleId="43">
    <w:name w:val="Intense Emphasis"/>
    <w:basedOn w:val="22"/>
    <w:unhideWhenUsed/>
    <w:qFormat/>
    <w:uiPriority w:val="21"/>
    <w:rPr>
      <w:rFonts w:ascii="Times New Roman" w:hAnsi="Times New Roman"/>
      <w:i/>
      <w:iCs/>
      <w:color w:val="auto"/>
    </w:rPr>
  </w:style>
  <w:style w:type="character" w:customStyle="1" w:styleId="44">
    <w:name w:val="Intense Reference"/>
    <w:basedOn w:val="22"/>
    <w:qFormat/>
    <w:uiPriority w:val="32"/>
    <w:rPr>
      <w:b/>
      <w:bCs/>
      <w:smallCaps/>
      <w:color w:val="auto"/>
      <w:spacing w:val="5"/>
    </w:rPr>
  </w:style>
  <w:style w:type="character" w:customStyle="1" w:styleId="45">
    <w:name w:val="Heading 3 Char"/>
    <w:basedOn w:val="22"/>
    <w:link w:val="5"/>
    <w:qFormat/>
    <w:uiPriority w:val="2"/>
    <w:rPr>
      <w:rFonts w:ascii="Times New Roman" w:hAnsi="Times New Roman" w:eastAsiaTheme="majorEastAsia" w:cstheme="majorBidi"/>
      <w:b/>
      <w:sz w:val="24"/>
      <w:szCs w:val="24"/>
    </w:rPr>
  </w:style>
  <w:style w:type="character" w:customStyle="1" w:styleId="46">
    <w:name w:val="Heading 4 Char"/>
    <w:basedOn w:val="22"/>
    <w:link w:val="6"/>
    <w:qFormat/>
    <w:uiPriority w:val="2"/>
    <w:rPr>
      <w:rFonts w:ascii="Times New Roman" w:hAnsi="Times New Roman" w:eastAsiaTheme="majorEastAsia" w:cstheme="majorBidi"/>
      <w:b/>
      <w:iCs/>
      <w:sz w:val="24"/>
      <w:szCs w:val="24"/>
    </w:rPr>
  </w:style>
  <w:style w:type="character" w:customStyle="1" w:styleId="47">
    <w:name w:val="Heading 5 Char"/>
    <w:basedOn w:val="22"/>
    <w:link w:val="7"/>
    <w:qFormat/>
    <w:uiPriority w:val="2"/>
    <w:rPr>
      <w:rFonts w:ascii="Times New Roman" w:hAnsi="Times New Roman" w:eastAsiaTheme="majorEastAsia" w:cstheme="majorBidi"/>
      <w:b/>
      <w:iCs/>
      <w:sz w:val="24"/>
      <w:szCs w:val="24"/>
    </w:rPr>
  </w:style>
  <w:style w:type="paragraph" w:styleId="48">
    <w:name w:val="Quote"/>
    <w:basedOn w:val="1"/>
    <w:next w:val="1"/>
    <w:link w:val="49"/>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9">
    <w:name w:val="Quote Char"/>
    <w:basedOn w:val="22"/>
    <w:link w:val="48"/>
    <w:qFormat/>
    <w:uiPriority w:val="29"/>
    <w:rPr>
      <w:rFonts w:ascii="Times New Roman" w:hAnsi="Times New Roman"/>
      <w:i/>
      <w:iCs/>
      <w:color w:val="404040" w:themeColor="text1" w:themeTint="BF"/>
      <w:sz w:val="24"/>
      <w14:textFill>
        <w14:solidFill>
          <w14:schemeClr w14:val="tx1">
            <w14:lumMod w14:val="75000"/>
            <w14:lumOff w14:val="25000"/>
          </w14:schemeClr>
        </w14:solidFill>
      </w14:textFill>
    </w:rPr>
  </w:style>
  <w:style w:type="character" w:customStyle="1" w:styleId="50">
    <w:name w:val="Subtle Emphasis"/>
    <w:basedOn w:val="22"/>
    <w:qFormat/>
    <w:uiPriority w:val="19"/>
    <w:rPr>
      <w:rFonts w:ascii="Times New Roman" w:hAnsi="Times New Roman"/>
      <w:i/>
      <w:iCs/>
      <w:color w:val="404040" w:themeColor="text1" w:themeTint="BF"/>
      <w14:textFill>
        <w14:solidFill>
          <w14:schemeClr w14:val="tx1">
            <w14:lumMod w14:val="75000"/>
            <w14:lumOff w14:val="25000"/>
          </w14:schemeClr>
        </w14:solidFill>
      </w14:textFill>
    </w:rPr>
  </w:style>
  <w:style w:type="character" w:customStyle="1" w:styleId="51">
    <w:name w:val="Title Char"/>
    <w:basedOn w:val="22"/>
    <w:link w:val="18"/>
    <w:qFormat/>
    <w:uiPriority w:val="0"/>
    <w:rPr>
      <w:rFonts w:ascii="Times New Roman" w:hAnsi="Times New Roman" w:cs="Times New Roman"/>
      <w:b/>
      <w:sz w:val="32"/>
      <w:szCs w:val="32"/>
    </w:rPr>
  </w:style>
  <w:style w:type="paragraph" w:customStyle="1" w:styleId="52">
    <w:name w:val="Supplementary Material"/>
    <w:basedOn w:val="18"/>
    <w:next w:val="18"/>
    <w:qFormat/>
    <w:uiPriority w:val="0"/>
    <w:pPr>
      <w:spacing w:after="120"/>
    </w:pPr>
    <w:rPr>
      <w:i/>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A95B22-B4E8-4C8E-ABCB-1E2B9143F8CF}">
  <ds:schemaRefs/>
</ds:datastoreItem>
</file>

<file path=docProps/app.xml><?xml version="1.0" encoding="utf-8"?>
<Properties xmlns="http://schemas.openxmlformats.org/officeDocument/2006/extended-properties" xmlns:vt="http://schemas.openxmlformats.org/officeDocument/2006/docPropsVTypes">
  <Template>Supplementary_Material.dotx</Template>
  <Pages>1</Pages>
  <Words>247</Words>
  <Characters>1410</Characters>
  <Lines>11</Lines>
  <Paragraphs>3</Paragraphs>
  <TotalTime>11</TotalTime>
  <ScaleCrop>false</ScaleCrop>
  <LinksUpToDate>false</LinksUpToDate>
  <CharactersWithSpaces>1654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2018-11-23T08:58:00Z</dcterms:created>
  <dc:creator>Frontiers Media SA</dc:creator>
  <cp:lastModifiedBy>梦里花落</cp:lastModifiedBy>
  <cp:lastPrinted>2013-10-03T12:51:00Z</cp:lastPrinted>
  <dcterms:modified xsi:type="dcterms:W3CDTF">2021-09-17T14:04:31Z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C61EC9A7DB7B4E42B015D04B3D18E30D</vt:lpwstr>
  </property>
</Properties>
</file>