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A86B9" w14:textId="77777777" w:rsidR="005C3D03" w:rsidRPr="00C32E45" w:rsidRDefault="006A0E05" w:rsidP="00C32E45">
      <w:pPr>
        <w:pStyle w:val="2"/>
        <w:spacing w:line="480" w:lineRule="auto"/>
        <w:rPr>
          <w:rFonts w:ascii="Times New Roman" w:eastAsia="黑体" w:hAnsi="Times New Roman" w:cs="Times New Roman"/>
          <w:bCs w:val="0"/>
          <w:szCs w:val="24"/>
        </w:rPr>
      </w:pPr>
      <w:r w:rsidRPr="00C32E45">
        <w:rPr>
          <w:rFonts w:ascii="Times New Roman" w:eastAsia="黑体" w:hAnsi="Times New Roman" w:cs="Times New Roman"/>
          <w:bCs w:val="0"/>
          <w:szCs w:val="24"/>
        </w:rPr>
        <w:t xml:space="preserve">Supplementary Material S1: Description of </w:t>
      </w:r>
      <w:r w:rsidRPr="00C32E45">
        <w:rPr>
          <w:rFonts w:ascii="Times New Roman" w:eastAsia="黑体" w:hAnsi="Times New Roman" w:cs="Times New Roman" w:hint="eastAsia"/>
          <w:bCs w:val="0"/>
          <w:szCs w:val="24"/>
        </w:rPr>
        <w:t>m</w:t>
      </w:r>
      <w:r w:rsidRPr="00C32E45">
        <w:rPr>
          <w:rFonts w:ascii="Times New Roman" w:eastAsia="黑体" w:hAnsi="Times New Roman" w:cs="Times New Roman"/>
          <w:bCs w:val="0"/>
          <w:szCs w:val="24"/>
        </w:rPr>
        <w:t>easures</w:t>
      </w:r>
    </w:p>
    <w:p w14:paraId="18F6424C" w14:textId="77777777" w:rsidR="005C3D03" w:rsidRDefault="005C3D03">
      <w:pPr>
        <w:spacing w:line="480" w:lineRule="auto"/>
      </w:pPr>
    </w:p>
    <w:p w14:paraId="2303AFD7" w14:textId="77777777" w:rsidR="005C3D03" w:rsidRPr="001573F5" w:rsidRDefault="006A0E05">
      <w:pPr>
        <w:spacing w:line="480" w:lineRule="auto"/>
        <w:rPr>
          <w:b/>
        </w:rPr>
      </w:pPr>
      <w:r w:rsidRPr="001573F5">
        <w:rPr>
          <w:rFonts w:hint="eastAsia"/>
          <w:b/>
        </w:rPr>
        <w:t>S1.1 Internet Gaming Disorder Scale-Short Form (IGDS9-SF)</w:t>
      </w:r>
    </w:p>
    <w:p w14:paraId="36785120" w14:textId="6551F3ED" w:rsidR="005C3D03" w:rsidRDefault="006A0E05">
      <w:pPr>
        <w:spacing w:line="480" w:lineRule="auto"/>
      </w:pPr>
      <w:r>
        <w:rPr>
          <w:rFonts w:hint="eastAsia"/>
        </w:rPr>
        <w:t xml:space="preserve">IGDS9-SF </w:t>
      </w:r>
      <w:r>
        <w:t>was used</w:t>
      </w:r>
      <w:r>
        <w:rPr>
          <w:rFonts w:hint="eastAsia"/>
        </w:rPr>
        <w:t xml:space="preserve"> to assess an individual's engagement with internet games and potential gaming disorder. Developed </w:t>
      </w:r>
      <w:r>
        <w:t>in accordance with</w:t>
      </w:r>
      <w:r>
        <w:rPr>
          <w:rFonts w:hint="eastAsia"/>
        </w:rPr>
        <w:t xml:space="preserve"> DSM-5 diagnostic criteria for gaming disorder, it consists of nine items reflecting core symptoms: preoccupation with gaming, withdrawal symptoms, tolerance, loss of control, loss of interest in other activities, continued use despite negative consequences, deception regarding gaming, use of gaming to escape negative moods, and jeopardizing significant relationships. Responses are summed to yield a total score, with scores</w:t>
      </w:r>
      <w:r>
        <w:t xml:space="preserve"> </w:t>
      </w:r>
      <w:r>
        <w:rPr>
          <w:rFonts w:hint="eastAsia"/>
        </w:rPr>
        <w:t>≥</w:t>
      </w:r>
      <w:r>
        <w:rPr>
          <w:rFonts w:hint="eastAsia"/>
        </w:rPr>
        <w:t>21 is indicating a of high risk for IGD.</w:t>
      </w:r>
      <w:r>
        <w:t xml:space="preserve"> </w:t>
      </w:r>
      <w:r>
        <w:rPr>
          <w:rFonts w:hint="eastAsia"/>
        </w:rPr>
        <w:t xml:space="preserve">The Chinese version of the scale demonstrates satisfactory psychometric properties, including high internal consistency (Cronbach's </w:t>
      </w:r>
      <w:r>
        <w:rPr>
          <w:rFonts w:cs="Times New Roman"/>
        </w:rPr>
        <w:t>α</w:t>
      </w:r>
      <w:r>
        <w:rPr>
          <w:rFonts w:hint="eastAsia"/>
        </w:rPr>
        <w:t xml:space="preserve"> = 0.9), as well as good criterion and construct validity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SSIXuwIS","properties":{"formattedCitation":"[1]","plainCitation":"[1]","noteIndex":0},"citationItems":[{"id":1161,"uris":["http://zotero.org/users/13777607/items/CZPTB8J3"],"itemData":{"id":1161,"type":"article-journal","call-number":"3","container-title":"Frontiers in Psychiatry","DOI":"10.3389/fpsyt.2020.00875","ISSN":"1664-0640","journalAbbreviation":"Front. Psychiatry","page":"875","source":"4.7","title":"Psychometric Properties of Three Simplified Chinese Online-Related Addictive Behavior Instruments Among Mainland Chinese Primary School Students","volume":"11","author":[{"family":"Chen","given":"I-Hua"},{"family":"Ahorsu","given":"Daniel Kwasi"},{"family":"Pakpour","given":"Amir H."},{"family":"Griffiths","given":"Mark D."},{"family":"Lin","given":"Chung-Ying"},{"family":"Chen","given":"Chao-Ying"}],"issued":{"date-parts":[["2020",9,3]]}}}],"schema":"https://github.com/citation-style-language/schema/raw/master/csl-citation.json"}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[1]</w:t>
      </w:r>
      <w:r>
        <w:rPr>
          <w:rFonts w:eastAsia="宋体" w:cs="Times New Roman"/>
          <w:shd w:val="clear" w:color="auto" w:fill="FFFFFF"/>
        </w:rPr>
        <w:fldChar w:fldCharType="end"/>
      </w:r>
      <w:r>
        <w:rPr>
          <w:rFonts w:hint="eastAsia"/>
        </w:rPr>
        <w:t>.</w:t>
      </w:r>
      <w:r>
        <w:t xml:space="preserve"> </w:t>
      </w:r>
      <w:r>
        <w:rPr>
          <w:rFonts w:hint="eastAsia"/>
        </w:rPr>
        <w:t xml:space="preserve">It has been widely adopted and shows notable advantages over other IGD assessment tools in both clinical and research contexts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{"citationID":"gc4ASmRr","properties":{"formattedCitation":"[2]","plainCitation":"[2]","noteIndex":0},"citationItems":[{"id":1164,"uris":["http://zotero.org/users/13777607/items/V2PNR6ZB"],"itemData":{"id":1164,"type":"article-journal","container-title":"Clinical Psychology Review","DOI":"10.1016/j.cpr.2020.101831","ISSN":"02727358","journalAbbreviation":"Clinical Psychology Review","language":"en","page":"101831","source":"12.8","title":"Screening and assessment tools for gaming disorder: A comprehensive systematic review","title-short":"Screening and assessment tools for gaming disorder","volume":"77","author":[{"family":"King","given":"Daniel L."},{"family":"Chamberlain","given":"Samuel R."},{"family":"Carragher","given":"Natacha"},{"family":"Billieux","given":"Joel"},{"family":"Stein","given":"Dan"},{"family":"Mueller","given":"Kai"},{"family":"Potenza","given":"Marc N."},{"family":"Rumpf","given":"Hans Juergen"},{"family":"Saunders","given":"John"},{"family":"Starcevic","given":"Vladan"},{"family":"Demetrovics","given":"Zsolt"},{"family":"Brand","given":"Matthias"},{"family":"Lee","given":"Hae Kook"},{"family":"Spada","given":"Marcantonio"},{"family":"Lindenberg","given":"Katajun"},{"family":"Wu","given":"Anise M.S."},{"family":"Lemenager","given":"Tagrid"},{"family":"Pallesen","given":"Ståle"},{"family":"Achab","given":"Sophia"},{"family":"Kyrios","given":"Mike"},{"family":"Higuchi","given":"Susumu"},{"family":"Fineberg","given":"Naomi A."},{"family":"Delfabbro","given":"Paul H."}],"issued":{"date-parts":[["2020",4]]}}}],"schema":"https://github.com/citation-style-language/schema/raw/master/csl-citation.json"}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[2]</w:t>
      </w:r>
      <w:r>
        <w:rPr>
          <w:rFonts w:eastAsia="宋体" w:cs="Times New Roman"/>
          <w:shd w:val="clear" w:color="auto" w:fill="FFFFFF"/>
        </w:rPr>
        <w:fldChar w:fldCharType="end"/>
      </w:r>
      <w:r>
        <w:t>.</w:t>
      </w:r>
    </w:p>
    <w:p w14:paraId="7DBE3848" w14:textId="77777777" w:rsidR="005C3D03" w:rsidRDefault="005C3D03">
      <w:pPr>
        <w:spacing w:line="480" w:lineRule="auto"/>
      </w:pPr>
    </w:p>
    <w:p w14:paraId="16DE7B52" w14:textId="4A4FAD70" w:rsidR="005C3D03" w:rsidRPr="001573F5" w:rsidRDefault="006A0E05">
      <w:pPr>
        <w:spacing w:line="480" w:lineRule="auto"/>
        <w:rPr>
          <w:b/>
        </w:rPr>
      </w:pPr>
      <w:r w:rsidRPr="001573F5">
        <w:rPr>
          <w:rFonts w:hint="eastAsia"/>
          <w:b/>
        </w:rPr>
        <w:t>S1.</w:t>
      </w:r>
      <w:r w:rsidR="00C32E45" w:rsidRPr="001573F5">
        <w:rPr>
          <w:b/>
        </w:rPr>
        <w:t>2</w:t>
      </w:r>
      <w:r w:rsidRPr="001573F5">
        <w:rPr>
          <w:rFonts w:hint="eastAsia"/>
          <w:b/>
        </w:rPr>
        <w:t xml:space="preserve"> Depression-Anxiety-Stress Scale (DASS-21)</w:t>
      </w:r>
    </w:p>
    <w:p w14:paraId="2B30761D" w14:textId="7F100644" w:rsidR="005C3D03" w:rsidRDefault="006A0E05">
      <w:pPr>
        <w:spacing w:line="480" w:lineRule="auto"/>
      </w:pPr>
      <w:r>
        <w:rPr>
          <w:rFonts w:hint="eastAsia"/>
        </w:rPr>
        <w:t xml:space="preserve">The DASS-21 is a simplified version of the DASS-42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{"citationID":"orzLzYfJ","properties":{"formattedCitation":"[3]","plainCitation":"[3]","noteIndex":0},"citationItems":[{"id":1165,"uris":["http://zotero.org/users/13777607/items/RQHLHRLE"],"itemData":{"id":1165,"type":"article-journal","container-title":"Behaviour Research and Therapy","DOI":"10.1016/0005-7967(94)00075-U","ISSN":"00057967","issue":"3","journalAbbreviation":"Behaviour Research and Therapy","language":"en","license":"https://www.elsevier.com/tdm/userlicense/1.0/","page":"335-343","source":"4.1","title":"The structure of negative emotional states: Comparison of the Depression Anxiety Stress Scales (DASS) with the Beck Depression and Anxiety Inventories","title-short":"The structure of negative emotional states","volume":"33","author":[{"family":"Lovibond","given":"P.F."},{"family":"Lovibond","given":"S.H."}],"issued":{"date-parts":[["1995",3]]}}}],"schema":"https://github.com/citation-style-language/schema/raw/master/csl-citation.json"}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[3]</w:t>
      </w:r>
      <w:r>
        <w:rPr>
          <w:rFonts w:eastAsia="宋体" w:cs="Times New Roman"/>
          <w:shd w:val="clear" w:color="auto" w:fill="FFFFFF"/>
        </w:rPr>
        <w:fldChar w:fldCharType="end"/>
      </w:r>
      <w:r>
        <w:rPr>
          <w:rFonts w:hint="eastAsia"/>
        </w:rPr>
        <w:t>, consisting of three subscales (depression, anxiety</w:t>
      </w:r>
      <w:bookmarkStart w:id="0" w:name="_GoBack"/>
      <w:bookmarkEnd w:id="0"/>
      <w:r>
        <w:rPr>
          <w:rFonts w:hint="eastAsia"/>
        </w:rPr>
        <w:t>, and stress), each containing 7 items. The depression subscale covers aspects such as depressed mood, hopelessness, devaluation of life, self-deprecation, lack of interest/engagement, anhedonia, and inertia. Scoring categories are as follows: normal (0</w:t>
      </w:r>
      <w:r>
        <w:rPr>
          <w:rFonts w:hint="eastAsia"/>
        </w:rPr>
        <w:t>–</w:t>
      </w:r>
      <w:r>
        <w:rPr>
          <w:rFonts w:hint="eastAsia"/>
        </w:rPr>
        <w:t>9), mild (10</w:t>
      </w:r>
      <w:r>
        <w:rPr>
          <w:rFonts w:hint="eastAsia"/>
        </w:rPr>
        <w:t>–</w:t>
      </w:r>
      <w:r>
        <w:rPr>
          <w:rFonts w:hint="eastAsia"/>
        </w:rPr>
        <w:t>13), moderate (14</w:t>
      </w:r>
      <w:r>
        <w:rPr>
          <w:rFonts w:hint="eastAsia"/>
        </w:rPr>
        <w:t>–</w:t>
      </w:r>
      <w:r>
        <w:rPr>
          <w:rFonts w:hint="eastAsia"/>
        </w:rPr>
        <w:t xml:space="preserve">20), severe </w:t>
      </w:r>
      <w:r>
        <w:rPr>
          <w:rFonts w:hint="eastAsia"/>
        </w:rPr>
        <w:lastRenderedPageBreak/>
        <w:t>(21</w:t>
      </w:r>
      <w:r>
        <w:rPr>
          <w:rFonts w:hint="eastAsia"/>
        </w:rPr>
        <w:t>–</w:t>
      </w:r>
      <w:r>
        <w:rPr>
          <w:rFonts w:hint="eastAsia"/>
        </w:rPr>
        <w:t>27), and extremely severe (28+). The anxiety subscale includes autonomic arousal, skeletal muscle effects, situational anxiety, and subjective experience of anxious affect. Scoring categories: normal (0</w:t>
      </w:r>
      <w:r>
        <w:rPr>
          <w:rFonts w:hint="eastAsia"/>
        </w:rPr>
        <w:t>–</w:t>
      </w:r>
      <w:r>
        <w:rPr>
          <w:rFonts w:hint="eastAsia"/>
        </w:rPr>
        <w:t>7), mild (8</w:t>
      </w:r>
      <w:r>
        <w:rPr>
          <w:rFonts w:hint="eastAsia"/>
        </w:rPr>
        <w:t>–</w:t>
      </w:r>
      <w:r>
        <w:rPr>
          <w:rFonts w:hint="eastAsia"/>
        </w:rPr>
        <w:t>9), moderate (10</w:t>
      </w:r>
      <w:r>
        <w:rPr>
          <w:rFonts w:hint="eastAsia"/>
        </w:rPr>
        <w:t>–</w:t>
      </w:r>
      <w:r>
        <w:rPr>
          <w:rFonts w:hint="eastAsia"/>
        </w:rPr>
        <w:t>14), severe (15</w:t>
      </w:r>
      <w:r>
        <w:rPr>
          <w:rFonts w:hint="eastAsia"/>
        </w:rPr>
        <w:t>–</w:t>
      </w:r>
      <w:r>
        <w:rPr>
          <w:rFonts w:hint="eastAsia"/>
        </w:rPr>
        <w:t>19), and extremely severe (20+). The stress subscale assesses sensitivity to chronic non-specific arousal, difficulty relaxing, nervous arousal, being easily upset/agitated, irritability/over-reactivity, and impatience. Scoring categories: normal (0</w:t>
      </w:r>
      <w:r>
        <w:rPr>
          <w:rFonts w:hint="eastAsia"/>
        </w:rPr>
        <w:t>–</w:t>
      </w:r>
      <w:r>
        <w:rPr>
          <w:rFonts w:hint="eastAsia"/>
        </w:rPr>
        <w:t>14), mild (15</w:t>
      </w:r>
      <w:r>
        <w:rPr>
          <w:rFonts w:hint="eastAsia"/>
        </w:rPr>
        <w:t>–</w:t>
      </w:r>
      <w:r>
        <w:rPr>
          <w:rFonts w:hint="eastAsia"/>
        </w:rPr>
        <w:t>18), moderate (19</w:t>
      </w:r>
      <w:r>
        <w:rPr>
          <w:rFonts w:hint="eastAsia"/>
        </w:rPr>
        <w:t>–</w:t>
      </w:r>
      <w:r>
        <w:rPr>
          <w:rFonts w:hint="eastAsia"/>
        </w:rPr>
        <w:t>25), severe (26</w:t>
      </w:r>
      <w:r>
        <w:rPr>
          <w:rFonts w:hint="eastAsia"/>
        </w:rPr>
        <w:t>–</w:t>
      </w:r>
      <w:r>
        <w:rPr>
          <w:rFonts w:hint="eastAsia"/>
        </w:rPr>
        <w:t xml:space="preserve">33), and extremely severe (34+). The Chinese version of the DASS-21 demonstrates high internal consistency (Cronbach's </w:t>
      </w:r>
      <w:r>
        <w:rPr>
          <w:rFonts w:cs="Times New Roman"/>
        </w:rPr>
        <w:t>α</w:t>
      </w:r>
      <w:r>
        <w:rPr>
          <w:rFonts w:hint="eastAsia"/>
        </w:rPr>
        <w:t xml:space="preserve"> &gt; 0.85)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{"citationID":"UOwC1szV","properties":{"formattedCitation":"[4]","plainCitation":"[4]","noteIndex":0},"citationItems":[{"id":1166,"uris":["http://zotero.org/users/13777607/items/TDQWYWAZ"],"itemData":{"id":1166,"type":"article-journal","abstract":"Abstract\n            \n              Background\n              Teachers in high-stress roles face increasing psychological distress such as anxiety and depression, underscoring the need for validated assessment instruments. Given the current absence of a comprehensive, designated, and time-efficient scale capable of evaluating depression, anxiety, and stress among the teacher population, the Depression, Anxiety, and Stress Scale-21 (DASS-21) presents itself as a promising alternative. Despite the widespread application of the DASS-21 for assessing psychological distress across various populations, its validity among teachers, along with questions about its factor structure and its potential property of time equivalence, remain unverified. This study endeavors to address these considerations by investigating the psychometric properties of the DASS-21 specifically within the population of Chinese primary and middle school teachers.\n            \n            \n              Methods\n              Cross-sectional (n = 9,030) and longitudinal surveys (n = 1,642) were conducted using a non-probability sampling method. In addition to the DASS-21, the Chinese version of Chinese Teachers’ Job Burnout Questionnaire (CTJBO) was utilized to evaluate the criterion validity of this scale. Three different approaches, namely confirmatory factor analysis, Rasch analysis, and network analysis, were employed to evaluate internal reliability, construct validity, as well as time invariance of the DASS-21.\n            \n            \n              Results\n              The DASS-21 demonstrated a high degree of internal consistency (Cronbach’s α &gt; 0.85) as well as excellent convergent validity, despite poor discriminant validity as determined by average variance extracted. Confirmatory factor analysis and network analysis further supported convergent validity. The three-factor structure outperformed one- and two-factor alternatives, establishing time invariance. Rasch analysis at the item level identified six inappropriate items within the anxiety and stress subscales, which were subsequently removed. Network analysis presented a better revised network. Regression analysis with emotional exhaustion as the criterion provided logical and accurate results.\n            \n            \n              Conclusion\n              The DASS-21 was found to be a reliable and valid tool for measuring the mental health of teachers over time. To assess the instrument’s psychometric properties, a combination of confirmatory factor analysis, Rasch analysis, and network analysis was utilized, which proved effective and is recommended for evaluating contentious instruments. Based on the results of the study, researchers and healthcare professionals are recommended to use the DASS-21 for assessing teachers’ psychological distress. However, certain items identified in the study may need to be removed to enhance the instrument’s appropriateness for this specific population.","container-title":"BMC Psychology","DOI":"10.1186/s40359-023-01242-y","ISSN":"2050-7283","issue":"1","journalAbbreviation":"BMC Psychol","language":"en","page":"209","source":"3.6","title":"Psychometric evaluation of the depression, anxiety, and stress scale-21 (DASS-21) among Chinese primary and middle school teachers","volume":"11","author":[{"family":"Cao","given":"Cui-Hong"},{"family":"Liao","given":"Xiao-Ling"},{"family":"Jiang","given":"Xing-Yong"},{"family":"Li","given":"Xu-Dong"},{"family":"Chen","given":"I-Hua"},{"family":"Lin","given":"Chung-Ying"}],"issued":{"date-parts":[["2023",7,14]]}}}],"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[4]</w:t>
      </w:r>
      <w:r>
        <w:rPr>
          <w:rFonts w:eastAsia="宋体" w:cs="Times New Roman"/>
          <w:shd w:val="clear" w:color="auto" w:fill="FFFFFF"/>
        </w:rPr>
        <w:fldChar w:fldCharType="end"/>
      </w:r>
      <w:r>
        <w:t xml:space="preserve"> </w:t>
      </w:r>
      <w:r>
        <w:rPr>
          <w:rFonts w:hint="eastAsia"/>
        </w:rPr>
        <w:t xml:space="preserve">and aligns well with the English version, with Cronbach's </w:t>
      </w:r>
      <w:r>
        <w:rPr>
          <w:rFonts w:cs="Times New Roman"/>
        </w:rPr>
        <w:t>α</w:t>
      </w:r>
      <w:r>
        <w:rPr>
          <w:rFonts w:hint="eastAsia"/>
        </w:rPr>
        <w:t xml:space="preserve"> values for depression, anxiety, and stress being 0.94, 0.87, and 0.91, respectively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bTf5ZnjT","properties":{"formattedCitation":"[5]","plainCitation":"[5]","noteIndex":0},"citationItems":[{"id":1169,"uris":["http://zotero.org/users/13777607/items/AT634HEL"],"itemData":{"id":1169,"type":"article-journal","container-title":"Psychology","DOI":"10.4236/psych.2018.915170","ISSN":"2152-7180, 2152-7199","issue":"15","journalAbbreviation":"PSYCH","license":"http://creativecommons.org/licenses/by/4.0/","page":"2933-2950","source":"DOI.org (Crossref)","title":"Psychometric Properties of the Depression, Anxiety, Stress Scales-21 (DASS-21) in a Greek Sample","volume":"09","author":[{"family":"Pezirkianidis","given":"Christos"},{"family":"Karakasidou","given":"Eirini"},{"family":"Lakioti","given":"Agathi"},{"family":"Stalikas","given":"Anastassios"},{"family":"Galanakis","given":"Michael"}],"issued":{"date-parts":[["2018"]]}}}],"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[5]</w:t>
      </w:r>
      <w:r>
        <w:rPr>
          <w:rFonts w:eastAsia="宋体" w:cs="Times New Roman"/>
          <w:shd w:val="clear" w:color="auto" w:fill="FFFFFF"/>
        </w:rPr>
        <w:fldChar w:fldCharType="end"/>
      </w:r>
      <w:r>
        <w:t>.</w:t>
      </w:r>
    </w:p>
    <w:p w14:paraId="4E76272A" w14:textId="77777777" w:rsidR="005C3D03" w:rsidRDefault="005C3D03">
      <w:pPr>
        <w:spacing w:line="480" w:lineRule="auto"/>
      </w:pPr>
    </w:p>
    <w:p w14:paraId="1444967B" w14:textId="1A976BF1" w:rsidR="005C3D03" w:rsidRPr="001573F5" w:rsidRDefault="006A0E05">
      <w:pPr>
        <w:spacing w:line="480" w:lineRule="auto"/>
        <w:rPr>
          <w:b/>
        </w:rPr>
      </w:pPr>
      <w:r w:rsidRPr="001573F5">
        <w:rPr>
          <w:rFonts w:hint="eastAsia"/>
          <w:b/>
        </w:rPr>
        <w:t>S1.</w:t>
      </w:r>
      <w:r w:rsidR="00C32E45" w:rsidRPr="001573F5">
        <w:rPr>
          <w:b/>
        </w:rPr>
        <w:t>3</w:t>
      </w:r>
      <w:r w:rsidRPr="001573F5">
        <w:rPr>
          <w:rFonts w:hint="eastAsia"/>
          <w:b/>
        </w:rPr>
        <w:t xml:space="preserve"> The Eating Attitudes Test (EAT-26)</w:t>
      </w:r>
    </w:p>
    <w:p w14:paraId="42AFE50F" w14:textId="2991C80E" w:rsidR="005C3D03" w:rsidRDefault="006A0E05">
      <w:pPr>
        <w:spacing w:line="480" w:lineRule="auto"/>
      </w:pPr>
      <w:r>
        <w:rPr>
          <w:rFonts w:hint="eastAsia"/>
        </w:rPr>
        <w:t xml:space="preserve">The EAT-26 is an improved version of the original EAT-40, primarily used to measure an individual's level of eating disorder symptoms and concerns. It serves as a rapid and effective tool for identifying potential eating disorder issues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{"citationID":"BF2eyNQl","properties":{"formattedCitation":"[6]","plainCitation":"[6]","noteIndex":0},"citationItems":[{"id":1172,"uris":["http://zotero.org/users/13777607/items/66QJU3JP"],"itemData":{"id":1172,"type":"article-journal","abstract":"The eating disorder screener, Eating Attitudes Test (EAT), has been used widely; however, its usability in specific dietary groups such as vegetarians and vegans remain unknown. Considering the rising popularity of vegetarianism and veganism, the current study aimed to assess the psychometric properties and theoretical assumptions of the 26-item EAT in separate groups of vegetarians (n = 278), vegans (n = 580), and omnivores (n = 413). Confirmatory factor analysis of four models from previous literature revealed inadequate fit of the data, with the exception of a 16-item four-factor model in vegetarians and vegans. Further assessment of the original three-factor model and 16-item four-factor model demonstrated poor psychometric properties. The primarily inadequate test–retest reliability discovered in this study, independent of whether a shortened version was used, raises concerns around the utility and stability of the EAT-26 in vegetarians and vegans. Future research should potentially investigate novel ways of measuring eating disorder pathology in these groups.","call-number":"2","container-title":"Nutrients","DOI":"10.3390/nu15020297","ISSN":"2072-6643","issue":"2","journalAbbreviation":"Nutrients","language":"en","license":"https://creativecommons.org/licenses/by/4.0/","page":"297","source":"5.9","title":"The 26-Item Eating Attitudes Test (EAT-26): Psychometric Properties and Factor Structure in Vegetarians and Vegans","title-short":"The 26-Item Eating Attitudes Test (EAT-26)","volume":"15","author":[{"family":"McLean","given":"Courtney P."},{"family":"Kulkarni","given":"Jayashri"},{"family":"Sharp","given":"Gemma"}],"issued":{"date-parts":[["2023",1,6]]}}}],"schema":"https://github.com/citation-style-language/schema/raw/master/csl-citation.json"}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[6]</w:t>
      </w:r>
      <w:r>
        <w:rPr>
          <w:rFonts w:eastAsia="宋体" w:cs="Times New Roman"/>
          <w:shd w:val="clear" w:color="auto" w:fill="FFFFFF"/>
        </w:rPr>
        <w:fldChar w:fldCharType="end"/>
      </w:r>
      <w:r>
        <w:rPr>
          <w:rFonts w:hint="eastAsia"/>
        </w:rPr>
        <w:t xml:space="preserve">. The Chinese version of the EAT-26 demonstrates good internal consistency (Cronbach's </w:t>
      </w:r>
      <w:r>
        <w:rPr>
          <w:rFonts w:cs="Times New Roman"/>
        </w:rPr>
        <w:t>α</w:t>
      </w:r>
      <w:r>
        <w:rPr>
          <w:rFonts w:hint="eastAsia"/>
        </w:rPr>
        <w:t xml:space="preserve"> = 0.822</w:t>
      </w:r>
      <w:r>
        <w:rPr>
          <w:rFonts w:hint="eastAsia"/>
        </w:rPr>
        <w:t>–</w:t>
      </w:r>
      <w:r>
        <w:rPr>
          <w:rFonts w:hint="eastAsia"/>
        </w:rPr>
        <w:t xml:space="preserve">0.922) and is considered a reliable, valid, and cost-effective instrument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{"citationID":"aANKAlI8","properties":{"formattedCitation":"[7]","plainCitation":"[7]","noteIndex":0},"citationItems":[{"id":1175,"uris":["http://zotero.org/users/13777607/items/H95D6K8D"],"itemData":{"id":1175,"type":"arti</w:instrText>
      </w:r>
      <w:r w:rsidR="006A4929">
        <w:rPr>
          <w:rFonts w:eastAsia="宋体" w:cs="Times New Roman" w:hint="eastAsia"/>
          <w:shd w:val="clear" w:color="auto" w:fill="FFFFFF"/>
        </w:rPr>
        <w:instrText>cle-journal","abstract":"Abstract\n            \n              The study aimed to investigate the reliability and validity of the Chinese version of the eating attitudes test (EAT</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26) among female adolescents and young adults in Mainland China. This scale was administered to 396 female eating disorder patients and 406 noneating disorder healthy controls, in addition 35 healthy controls completed a retest after a 4</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week intervals. Tests for reliability, convergent validity and receiver operating characteri</w:instrText>
      </w:r>
      <w:r w:rsidR="006A4929">
        <w:rPr>
          <w:rFonts w:eastAsia="宋体" w:cs="Times New Roman"/>
          <w:shd w:val="clear" w:color="auto" w:fill="FFFFFF"/>
        </w:rPr>
        <w:instrText>stic analysis were performed to detect the psychometric properties. The EAT</w:instrText>
      </w:r>
      <w:r w:rsidR="006A4929">
        <w:rPr>
          <w:rFonts w:eastAsia="宋体" w:cs="Times New Roman" w:hint="eastAsia"/>
          <w:shd w:val="clear" w:color="auto" w:fill="FFFFFF"/>
        </w:rPr>
        <w:instrText>‐</w:instrText>
      </w:r>
      <w:r w:rsidR="006A4929">
        <w:rPr>
          <w:rFonts w:eastAsia="宋体" w:cs="Times New Roman"/>
          <w:shd w:val="clear" w:color="auto" w:fill="FFFFFF"/>
        </w:rPr>
        <w:instrText>26 demonstrated good internal consistency (Cronbach's alpha = 0.822–0.922), test–retest reliability (interclass correlation coefficient = 0.817) and convergent validity(\n              r\n               = 0.450–0.750). The receiver operating characteristic analysis showed that the cut</w:instrText>
      </w:r>
      <w:r w:rsidR="006A4929">
        <w:rPr>
          <w:rFonts w:eastAsia="宋体" w:cs="Times New Roman" w:hint="eastAsia"/>
          <w:shd w:val="clear" w:color="auto" w:fill="FFFFFF"/>
        </w:rPr>
        <w:instrText>‐</w:instrText>
      </w:r>
      <w:r w:rsidR="006A4929">
        <w:rPr>
          <w:rFonts w:eastAsia="宋体" w:cs="Times New Roman"/>
          <w:shd w:val="clear" w:color="auto" w:fill="FFFFFF"/>
        </w:rPr>
        <w:instrText>off 14 for anorexia nervosa and 15 for bulimia nervosa represented good compromises with approximate sensitivity (0.66–0.68) and specificity (0.85–0</w:instrText>
      </w:r>
      <w:r w:rsidR="006A4929">
        <w:rPr>
          <w:rFonts w:eastAsia="宋体" w:cs="Times New Roman" w:hint="eastAsia"/>
          <w:shd w:val="clear" w:color="auto" w:fill="FFFFFF"/>
        </w:rPr>
        <w:instrText>.86). Our findings provided evidence that the Chinese version of the EAT</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26 was a psychometrically reliable and valid self</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rating instrument for identifying people suffering from an eating disorder in Mainland China. A clinical cut</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off range between 14 an</w:instrText>
      </w:r>
      <w:r w:rsidR="006A4929">
        <w:rPr>
          <w:rFonts w:eastAsia="宋体" w:cs="Times New Roman"/>
          <w:shd w:val="clear" w:color="auto" w:fill="FFFFFF"/>
        </w:rPr>
        <w:instrText xml:space="preserve">d 15 could be used, but caution should be exercised because of the low sensitivity of the tool. Copyright © 2017 John Wiley &amp; Sons, Ltd and Eating Disorders Association.","container-title":"European Eating Disorders Review","DOI":"10.1002/erv.2560","ISSN":"1072-4133, 1099-0968","issue":"6","journalAbbreviation":"Euro Eating Disorders Rev","language":"en","license":"http://onlinelibrary.wiley.com/termsAndConditions#vor","page":"613-617","source":"5.3","title":"Psychometric Properties of the Chinese Version of the Eating Attitudes Test in Young Female Patients with Eating Disorders in Mainland China","volume":"25","author":[{"family":"Kang","given":"Qing"},{"family":"Chan","given":"Raymond C.K."},{"family":"Li","given":"Xiaoping"},{"family":"Arcelus","given":"Jon"},{"family":"Yue","given":"Ling"},{"family":"Huang","given":"Jiabin"},{"family":"Gu","given":"Lian"},{"family":"Fan","given":"Qing"},{"family":"Zhang","given":"Haiyin"},{"family":"Xiao","given":"Zeping"},{"family":"Chen","given":"Jue"}],"issued":{"date-parts":[["2017",11]]}}}],"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[7]</w:t>
      </w:r>
      <w:r>
        <w:rPr>
          <w:rFonts w:eastAsia="宋体" w:cs="Times New Roman"/>
          <w:shd w:val="clear" w:color="auto" w:fill="FFFFFF"/>
        </w:rPr>
        <w:fldChar w:fldCharType="end"/>
      </w:r>
      <w:r>
        <w:rPr>
          <w:rFonts w:hint="eastAsia"/>
        </w:rPr>
        <w:t>. It includes factors such as dieting, bulimia and food preoccupation, and oral control, enabling accurate identification of eating disorders such as anorexia nervosa.</w:t>
      </w:r>
    </w:p>
    <w:p w14:paraId="35238B91" w14:textId="77777777" w:rsidR="005C3D03" w:rsidRDefault="005C3D03">
      <w:pPr>
        <w:spacing w:line="480" w:lineRule="auto"/>
      </w:pPr>
    </w:p>
    <w:p w14:paraId="42CF844F" w14:textId="3A0555FA" w:rsidR="005C3D03" w:rsidRPr="001573F5" w:rsidRDefault="006A0E05">
      <w:pPr>
        <w:spacing w:line="480" w:lineRule="auto"/>
        <w:rPr>
          <w:b/>
        </w:rPr>
      </w:pPr>
      <w:r w:rsidRPr="001573F5">
        <w:rPr>
          <w:rFonts w:hint="eastAsia"/>
          <w:b/>
        </w:rPr>
        <w:t>S1.</w:t>
      </w:r>
      <w:r w:rsidR="00C32E45" w:rsidRPr="001573F5">
        <w:rPr>
          <w:b/>
        </w:rPr>
        <w:t>4</w:t>
      </w:r>
      <w:r w:rsidRPr="001573F5">
        <w:rPr>
          <w:rFonts w:hint="eastAsia"/>
          <w:b/>
        </w:rPr>
        <w:t xml:space="preserve"> Cognitive Failures Questionnaire</w:t>
      </w:r>
      <w:r w:rsidRPr="001573F5">
        <w:rPr>
          <w:b/>
        </w:rPr>
        <w:t xml:space="preserve"> </w:t>
      </w:r>
      <w:r w:rsidRPr="001573F5">
        <w:rPr>
          <w:rFonts w:hint="eastAsia"/>
          <w:b/>
        </w:rPr>
        <w:t>(CFQ)</w:t>
      </w:r>
    </w:p>
    <w:p w14:paraId="635EFB08" w14:textId="7E369612" w:rsidR="005C3D03" w:rsidRDefault="006A0E05">
      <w:pPr>
        <w:spacing w:line="480" w:lineRule="auto"/>
      </w:pPr>
      <w:r>
        <w:t xml:space="preserve">The Cognitive Failures Questionnaire (CFQ) assesses the frequency and severity of </w:t>
      </w:r>
      <w:r>
        <w:lastRenderedPageBreak/>
        <w:t xml:space="preserve">everyday cognitive errors, such as lapses in attention, memory, and action execution. Higher scores indicate greater susceptibility to cognitive failures in daily </w:t>
      </w:r>
      <w:proofErr w:type="spellStart"/>
      <w:r>
        <w:t>functioning.</w:t>
      </w:r>
      <w:r>
        <w:rPr>
          <w:rFonts w:hint="eastAsia"/>
        </w:rPr>
        <w:t>The</w:t>
      </w:r>
      <w:proofErr w:type="spellEnd"/>
      <w:r>
        <w:rPr>
          <w:rFonts w:hint="eastAsia"/>
        </w:rPr>
        <w:t xml:space="preserve"> Chinese version demonstrates high internal consistency (Cronbach's </w:t>
      </w:r>
      <w:r>
        <w:rPr>
          <w:rFonts w:cs="Times New Roman"/>
        </w:rPr>
        <w:t>α</w:t>
      </w:r>
      <w:r>
        <w:rPr>
          <w:rFonts w:hint="eastAsia"/>
        </w:rPr>
        <w:t xml:space="preserve"> = 0.96)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{"citationID":"4qZtE7KW","properties":{"formattedCitation":"[8]","plainCitation":"[8]","noteIndex":0},"citationItems":[{"id":1178,"uris":["http://zotero.org/users/13777607/items/VZPTE746"],"itemData":{"id":1178,"type":"article-journal","call-number":"4","container-title":"Heart &amp; Lung","DOI":"10.1016/j.hrtlng.2009.08.003","ISSN":"01479563","issue":"4","journalAbbreviation":"Heart &amp; Lung","language":"en","license":"https://www.elsevier.com/tdm/userlicense/1.0/","page":"262-274","source":"2.8","title":"Testing the psychometric properties of the Chinese version of the Heart Failure Learning Needs Inventory","volume":"39","author":[{"family":"Yu","given":"Mingming"},{"family":"Chair","given":"Sek Ying"},{"family":"Chan","given":"Carmen W.H."},{"family":"Liu","given":"Meili"}],"issued":{"date-parts":[["2010",7]]}}}],"schema":"https://github.com/citation-style-language/schema/raw/master/csl-citation.json"}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[8]</w:t>
      </w:r>
      <w:r>
        <w:rPr>
          <w:rFonts w:eastAsia="宋体" w:cs="Times New Roman"/>
          <w:shd w:val="clear" w:color="auto" w:fill="FFFFFF"/>
        </w:rPr>
        <w:fldChar w:fldCharType="end"/>
      </w:r>
      <w:r>
        <w:t>.</w:t>
      </w:r>
    </w:p>
    <w:p w14:paraId="7D38DD30" w14:textId="77777777" w:rsidR="005C3D03" w:rsidRDefault="005C3D03">
      <w:pPr>
        <w:spacing w:line="480" w:lineRule="auto"/>
      </w:pPr>
    </w:p>
    <w:p w14:paraId="365590E7" w14:textId="7B926118" w:rsidR="005C3D03" w:rsidRPr="001573F5" w:rsidRDefault="006A0E05">
      <w:pPr>
        <w:spacing w:line="480" w:lineRule="auto"/>
        <w:rPr>
          <w:b/>
        </w:rPr>
      </w:pPr>
      <w:r w:rsidRPr="001573F5">
        <w:rPr>
          <w:rFonts w:hint="eastAsia"/>
          <w:b/>
        </w:rPr>
        <w:t>S1.</w:t>
      </w:r>
      <w:r w:rsidR="00C32E45" w:rsidRPr="001573F5">
        <w:rPr>
          <w:b/>
        </w:rPr>
        <w:t>5</w:t>
      </w:r>
      <w:r w:rsidRPr="001573F5">
        <w:rPr>
          <w:rFonts w:hint="eastAsia"/>
          <w:b/>
        </w:rPr>
        <w:t xml:space="preserve"> Interaction Anxiousness Scale</w:t>
      </w:r>
      <w:r w:rsidRPr="001573F5">
        <w:rPr>
          <w:b/>
        </w:rPr>
        <w:t xml:space="preserve"> </w:t>
      </w:r>
      <w:r w:rsidRPr="001573F5">
        <w:rPr>
          <w:rFonts w:hint="eastAsia"/>
          <w:b/>
        </w:rPr>
        <w:t>(IAS)</w:t>
      </w:r>
    </w:p>
    <w:p w14:paraId="05BD1FB2" w14:textId="51B06709" w:rsidR="005C3D03" w:rsidRDefault="006A0E05">
      <w:pPr>
        <w:spacing w:line="480" w:lineRule="auto"/>
      </w:pPr>
      <w:r>
        <w:rPr>
          <w:rFonts w:hint="eastAsia"/>
        </w:rPr>
        <w:t xml:space="preserve">The IAS is a scale used to assess the level of anxiety or tension an </w:t>
      </w:r>
      <w:proofErr w:type="gramStart"/>
      <w:r>
        <w:rPr>
          <w:rFonts w:hint="eastAsia"/>
        </w:rPr>
        <w:t>individual experiences</w:t>
      </w:r>
      <w:proofErr w:type="gramEnd"/>
      <w:r>
        <w:t xml:space="preserve"> </w:t>
      </w:r>
      <w:r>
        <w:rPr>
          <w:rFonts w:hint="eastAsia"/>
        </w:rPr>
        <w:t xml:space="preserve">in social interactions. The Chinese version exhibits high internal consistency (Cronbach's </w:t>
      </w:r>
      <w:r>
        <w:rPr>
          <w:rFonts w:cs="Times New Roman"/>
        </w:rPr>
        <w:t>α</w:t>
      </w:r>
      <w:r>
        <w:rPr>
          <w:rFonts w:hint="eastAsia"/>
        </w:rPr>
        <w:t xml:space="preserve"> = 0.86)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P5yEuI0u","properties":{"formattedCitation":"[9]","plainCitation":"[9]","noteIndex":0},"citationItems":[{"id":1181,"uris":["http://zotero.org/users/13777607/items/8I5K9GVX"],"itemData":{"id":1181,"type":"article-journal","call-number":"2","container-title":"Comprehensive Psychiatry","DOI":"10.1016/j.comppsych.2022.152328","ISSN":"0010440X","journalAbbreviation":"Comprehensive Psychiatry","language":"en","page":"152328","source":"7.3","title":"Psychometric evaluation of the Chinese version of social anxiety scale for social media users and cross-sectional investigation into this disorder among college students","volume":"116","author":[{"family":"Jia","given":"Guizhi"},{"family":"Dai","given":"Hongliang"},{"family":"Chu","given":"Yuying"},{"family":"Wang","given":"Xue"},{"family":"Hao","given":"Yuanyuan"},{"family":"Wang","given":"Suyan"}],"issued":{"date-parts":[["2022",7]]}}}],"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[9]</w:t>
      </w:r>
      <w:r>
        <w:rPr>
          <w:rFonts w:eastAsia="宋体" w:cs="Times New Roman"/>
          <w:shd w:val="clear" w:color="auto" w:fill="FFFFFF"/>
        </w:rPr>
        <w:fldChar w:fldCharType="end"/>
      </w:r>
      <w:r>
        <w:rPr>
          <w:rFonts w:hint="eastAsia"/>
        </w:rPr>
        <w:t>.</w:t>
      </w:r>
      <w:r>
        <w:t xml:space="preserve"> </w:t>
      </w:r>
      <w:r>
        <w:rPr>
          <w:rFonts w:hint="eastAsia"/>
        </w:rPr>
        <w:t>The IAS typically consists of a series of statements or questions, and individuals rate their feelings on a scale, primarily describing fears related to interactions, such as engaging in conversations.</w:t>
      </w:r>
    </w:p>
    <w:p w14:paraId="259C3131" w14:textId="77777777" w:rsidR="005C3D03" w:rsidRDefault="005C3D03">
      <w:pPr>
        <w:spacing w:line="480" w:lineRule="auto"/>
      </w:pPr>
    </w:p>
    <w:p w14:paraId="292A0950" w14:textId="5EC83FAB" w:rsidR="005C3D03" w:rsidRPr="001573F5" w:rsidRDefault="006A0E05">
      <w:pPr>
        <w:spacing w:line="480" w:lineRule="auto"/>
        <w:rPr>
          <w:b/>
        </w:rPr>
      </w:pPr>
      <w:r w:rsidRPr="001573F5">
        <w:rPr>
          <w:rFonts w:hint="eastAsia"/>
          <w:b/>
        </w:rPr>
        <w:t>S1.</w:t>
      </w:r>
      <w:r w:rsidR="00C32E45" w:rsidRPr="001573F5">
        <w:rPr>
          <w:b/>
        </w:rPr>
        <w:t>6</w:t>
      </w:r>
      <w:r w:rsidRPr="001573F5">
        <w:rPr>
          <w:rFonts w:hint="eastAsia"/>
          <w:b/>
        </w:rPr>
        <w:t xml:space="preserve"> The UPPS-P Impulsive Behavior Scale</w:t>
      </w:r>
    </w:p>
    <w:p w14:paraId="463779ED" w14:textId="6C647527" w:rsidR="005C3D03" w:rsidRDefault="006A0E05">
      <w:pPr>
        <w:spacing w:line="480" w:lineRule="auto"/>
      </w:pPr>
      <w:r>
        <w:rPr>
          <w:rFonts w:hint="eastAsia"/>
        </w:rPr>
        <w:t xml:space="preserve">The UPPS-P Impulsive Behavior Scale </w:t>
      </w:r>
      <w:r>
        <w:t>assesses five distinct dimensions of impulsivity:</w:t>
      </w:r>
      <w:r>
        <w:rPr>
          <w:rFonts w:hint="eastAsia"/>
        </w:rPr>
        <w:t xml:space="preserve"> Urgency, lack of Premeditation, lack of Perseverance, Sensation Seeking, and Positive Urgency. The Chinese version demonstrates Cronbach's </w:t>
      </w:r>
      <w:r>
        <w:rPr>
          <w:rFonts w:cs="Times New Roman"/>
        </w:rPr>
        <w:t>α</w:t>
      </w:r>
      <w:r>
        <w:rPr>
          <w:rFonts w:hint="eastAsia"/>
        </w:rPr>
        <w:t xml:space="preserve"> values of 0.83, 0.70, 0.69, 0.81, and 0.84 for these subscales, respectively. It is used to assess distinct traits and tendencies related to impulsive behavior </w:t>
      </w:r>
      <w:r>
        <w:rPr>
          <w:rFonts w:hint="eastAsia"/>
        </w:rPr>
        <w:fldChar w:fldCharType="begin"/>
      </w:r>
      <w:r w:rsidR="006A4929">
        <w:instrText xml:space="preserve"> ADDIN ZOTERO_ITEM CSL_CITATION {"citationID":"7mlfNaX5","properties":{"formattedCitation":"[10]","plainCitation":"[10]","noteIndex":0},"citationItems":[{"id":1182,"uris":["http://zotero.org/users/13777607/items/AEN4KCYW"],"itemData":{"id":1182,"type":"article-journal","call-number":"3","container-title":"Frontiers in Psychiatry","DOI":"10.3389/fpsyt.2020.00185","ISSN":"1664-0640","journalAbbreviation":"Front. Psychiatry","page":"185","source":"4.7","title":"Psychometric Properties of the Chinese version of UPPS-P Impulsive Behavior Scale","volume":"11","author":[{"family":"Zhang","given":"Yingying"},{"family":"Qiu","given":"Xian"},{"family":"Ren","given":"Qihuan"},{"family":"Zhou","given":"Zhirong"},{"family":"Zhou","given":"Huijing"},{"family":"Du","given":"Jiang"},{"family":"Voon","given":"Valerie"},{"family":"Zhang","given":"Chencheng"},{"family":"Liu","given":"Wenjuan"}],"issued":{"date-parts":[["2020",3,26]]}}}],"schema":"https://github.com/citation-style-language/schema/raw/master/csl-citation.json"} </w:instrText>
      </w:r>
      <w:r>
        <w:rPr>
          <w:rFonts w:hint="eastAsia"/>
        </w:rPr>
        <w:fldChar w:fldCharType="separate"/>
      </w:r>
      <w:r w:rsidR="006A4929" w:rsidRPr="006A4929">
        <w:rPr>
          <w:rFonts w:cs="Times New Roman"/>
        </w:rPr>
        <w:t>[10]</w:t>
      </w:r>
      <w:r>
        <w:rPr>
          <w:rFonts w:hint="eastAsia"/>
        </w:rPr>
        <w:fldChar w:fldCharType="end"/>
      </w:r>
      <w:r>
        <w:rPr>
          <w:rFonts w:hint="eastAsia"/>
        </w:rPr>
        <w:t xml:space="preserve">. Specific impulsivity traits are associated with distinct behaviors. For example, smoking status and severity of nicotine dependence show significant correlations with all impulsivity-related traits except reward sensitivity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{"citationID":"82XYlDeq","properties":{"formattedCitation":"[11]","plainCitation":"[11]","noteIndex":0},"citationItems":[{"id":1185,"uris":["http://zotero.org/users/13777607/items/86B2PYPU"],"itemData":{"id":1185,"type":"article-journal","call-number":"2","container-title":"Drug and Alcohol Dependence","DOI":"10.1016/j.drugalcdep.2018.01.003","ISSN":"03768716","journalAbbreviation":"Drug and Alcohol Dependence","language":"en","page":"149-167","source":"4.2","title":"Impulsivity related personality traits and cigarette smoking in adults: A meta-analysis using the UPPS-P model of impulsivity and reward sensitivity","title-short":"Impulsivity related personality traits and cigarette smoking in adults","volume":"185","author":[{"family":"Kale","given":"Dimitra"},{"family":"Stautz","given":"Kaidy"},{"family":"Cooper","given":"Andrew"}],"issued":{"date-parts":[["2018",4]]}}}],"schema":"https://github.com/citation-style-language/schema/raw/master/csl-citation.json"}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[11]</w:t>
      </w:r>
      <w:r>
        <w:rPr>
          <w:rFonts w:eastAsia="宋体" w:cs="Times New Roman"/>
          <w:shd w:val="clear" w:color="auto" w:fill="FFFFFF"/>
        </w:rPr>
        <w:fldChar w:fldCharType="end"/>
      </w:r>
      <w:r>
        <w:rPr>
          <w:rFonts w:hint="eastAsia"/>
        </w:rPr>
        <w:t>. These traits can be used to understand and predict various impulsive behaviors.</w:t>
      </w:r>
    </w:p>
    <w:p w14:paraId="766A3B6A" w14:textId="77777777" w:rsidR="005C3D03" w:rsidRDefault="005C3D03">
      <w:pPr>
        <w:spacing w:line="480" w:lineRule="auto"/>
      </w:pPr>
    </w:p>
    <w:p w14:paraId="3B146141" w14:textId="720BED75" w:rsidR="005C3D03" w:rsidRPr="001573F5" w:rsidRDefault="006A0E05">
      <w:pPr>
        <w:spacing w:line="480" w:lineRule="auto"/>
        <w:rPr>
          <w:b/>
        </w:rPr>
      </w:pPr>
      <w:r w:rsidRPr="001573F5">
        <w:rPr>
          <w:rFonts w:hint="eastAsia"/>
          <w:b/>
        </w:rPr>
        <w:t>S1.</w:t>
      </w:r>
      <w:r w:rsidR="00C32E45" w:rsidRPr="001573F5">
        <w:rPr>
          <w:b/>
        </w:rPr>
        <w:t>7</w:t>
      </w:r>
      <w:r w:rsidRPr="001573F5">
        <w:rPr>
          <w:rFonts w:hint="eastAsia"/>
          <w:b/>
        </w:rPr>
        <w:t xml:space="preserve"> Behavioral Inhibition/Activation System Scale (BIS/BAS Scale)</w:t>
      </w:r>
    </w:p>
    <w:p w14:paraId="3122D2B3" w14:textId="6286DD68" w:rsidR="005C3D03" w:rsidRDefault="006A0E05">
      <w:pPr>
        <w:spacing w:line="480" w:lineRule="auto"/>
      </w:pPr>
      <w:r>
        <w:rPr>
          <w:rFonts w:hint="eastAsia"/>
        </w:rPr>
        <w:t>The BIS/BAS Scale is based on Gray's theory of the Behavioral Inhibition System (BIS) and Behavioral Activation System (BAS). The BIS is sensitive to signals of punishment and non-reward and is associated with anxiety and avoidance behaviors. The BAS is sensitive to signals of reward and is linked to approach and reward-seeking behaviors. The BAS comprises three subdimensions: Reward Responsiveness, which reflects an individual's sensitivity and positive response to rewards; Drive, which involves the motivation to take active steps to achieve rewards; and Fun Seeking, which focuses on the pursuit and experience of pleasure in the process of seeking rewards. The Chinese version of the scale demonstrates good reliability, with a Cronbach</w:t>
      </w:r>
      <w:bookmarkStart w:id="1" w:name="OLE_LINK3"/>
      <w:bookmarkStart w:id="2" w:name="OLE_LINK1"/>
      <w:r>
        <w:rPr>
          <w:rFonts w:hint="eastAsia"/>
        </w:rPr>
        <w:t>'</w:t>
      </w:r>
      <w:bookmarkEnd w:id="1"/>
      <w:bookmarkEnd w:id="2"/>
      <w:r>
        <w:rPr>
          <w:rFonts w:hint="eastAsia"/>
        </w:rPr>
        <w:t xml:space="preserve">s </w:t>
      </w:r>
      <w:r>
        <w:rPr>
          <w:rFonts w:cs="Times New Roman"/>
        </w:rPr>
        <w:t>α</w:t>
      </w:r>
      <w:r>
        <w:rPr>
          <w:rFonts w:hint="eastAsia"/>
        </w:rPr>
        <w:t xml:space="preserve"> of 0.85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JMkoeCrH","properties":{"formattedCitation":"[12]","plainCitation":"[12]","noteIndex":0},"citationItems":[{"id":1188,"uris":["http://zotero.org/users/13777607/items/MPRGMR8T"],"itemData":{"id":1188,"type":"article-journal","call-number":"3","container-title":"Scientific Reports","DOI":"10.1038/s41598-025-91294-4","ISSN":"2045-2322","issue":"1","journalAbbreviation":"Sci Rep","language":"en","page":"6724","source":"4.6","title":"The mediating role of behavioral systems in linking physical activity and anxiety symptoms in college students","volume":"15","author":[{"family":"Wang","given":"Wenli"},{"family":"Liu","given":"Hairong"}],"issued":{"date-parts":[["2025",2,25]]}}}],"schema":"https://github.com/citation-style-language/schema/raw/master/csl-citation.json"}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[12]</w:t>
      </w:r>
      <w:r>
        <w:rPr>
          <w:rFonts w:eastAsia="宋体" w:cs="Times New Roman"/>
          <w:shd w:val="clear" w:color="auto" w:fill="FFFFFF"/>
        </w:rPr>
        <w:fldChar w:fldCharType="end"/>
      </w:r>
      <w:r>
        <w:rPr>
          <w:rFonts w:hint="eastAsia"/>
        </w:rPr>
        <w:t>.</w:t>
      </w:r>
    </w:p>
    <w:p w14:paraId="2CAE87E6" w14:textId="77777777" w:rsidR="005C3D03" w:rsidRDefault="005C3D03">
      <w:pPr>
        <w:spacing w:line="480" w:lineRule="auto"/>
      </w:pPr>
    </w:p>
    <w:p w14:paraId="2734ACE4" w14:textId="281921D9" w:rsidR="005C3D03" w:rsidRDefault="006A0E05">
      <w:pPr>
        <w:spacing w:line="480" w:lineRule="auto"/>
      </w:pPr>
      <w:r w:rsidRPr="001573F5">
        <w:rPr>
          <w:rFonts w:hint="eastAsia"/>
          <w:b/>
        </w:rPr>
        <w:t>S1.</w:t>
      </w:r>
      <w:r w:rsidR="00C32E45" w:rsidRPr="001573F5">
        <w:rPr>
          <w:b/>
        </w:rPr>
        <w:t>8</w:t>
      </w:r>
      <w:r w:rsidRPr="001573F5">
        <w:rPr>
          <w:rFonts w:hint="eastAsia"/>
          <w:b/>
        </w:rPr>
        <w:t xml:space="preserve"> Connor-Davidson Resilience Scale (CD-RISC)</w:t>
      </w:r>
    </w:p>
    <w:p w14:paraId="24C10DF2" w14:textId="0CD1B2D5" w:rsidR="005C3D03" w:rsidRDefault="006A0E05">
      <w:pPr>
        <w:spacing w:line="480" w:lineRule="auto"/>
      </w:pPr>
      <w:r>
        <w:rPr>
          <w:rFonts w:hint="eastAsia"/>
        </w:rPr>
        <w:t xml:space="preserve">The CD-RISC was developed to assess an individual's psychological resilience, which refers to the ability to adapt effectively in the face of adversity, trauma, tragedy, threats, or other significant stressors. The CD-RISC includes three dimensions: toughness, self-reliance, and optimism. The Chinese version demonstrates good reliability, with a Cronbach's </w:t>
      </w:r>
      <w:r>
        <w:rPr>
          <w:rFonts w:cs="Times New Roman"/>
        </w:rPr>
        <w:t>α</w:t>
      </w:r>
      <w:r>
        <w:rPr>
          <w:rFonts w:hint="eastAsia"/>
        </w:rPr>
        <w:t xml:space="preserve"> exceeding 0.93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{"citationID":"EYHih1Ny","properties":{"formattedCitation":"[13]","plainCitation":"[13]","noteIndex":0},"citationItems":[{"id":1189,"uris":["http://zotero.org/users/13777607/items/Q54KGY6U"],"itemData":{"id":1189,"type":"article-journal","abstract":"Background\n              The 10-item Connor-Davidson Resilience Scale (CD-RISC-10) is a widely used assessment of resilience. However, psychometric properties of the Chinese version of CD-RISC-10 have not been well investigated in a Chinese military personnel sample.\n            \n            \n              Methods\n              A total of 3,129 Chinese military personnel completed the CD-RISC-10, Self-rating Anxiety Scale (SAS), and Self-rating Depression Scale (SDS). Among them, 528 recruits completed the CD-RISC-10, SAS, and SDS again after 3-month basic military training (BMT). Meanwhile, the commanding officers were asked to rate recruits' training performance on the training performance rating scale for recruits (TPRS). Confirmatory factor analysis (CFA) was implemented to examine the single-factor model of the CD-RISC-10, and multigroup CFA was conducted to test measurement invariance across military rank (officers vs. enlisted), gender (male vs. female), and time (before and after 3-month BMT). Internal consistency was evaluated using Cronbach's α and McDonald's ω, and test–retest reliability was tested using the intra-class correlation coefficient (ICC). The criterion-related validity of CD-RISC was evaluated using Pearson's correlation analysis between the CD-RISC-10 total score and SAS scores, SDS scores, and training performance ratings.\n            \n            \n              Results\n              \n                The single-factor model of the CD-RISC-10 s</w:instrText>
      </w:r>
      <w:r w:rsidR="006A4929">
        <w:rPr>
          <w:rFonts w:eastAsia="宋体" w:cs="Times New Roman" w:hint="eastAsia"/>
          <w:shd w:val="clear" w:color="auto" w:fill="FFFFFF"/>
        </w:rPr>
        <w:instrText>howed adequate fit (CFI = 0.955</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0.970, TLI = 0.943</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0.962, RMSEA = 0.059</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0.072) in all examined subsamples (male, female, officer, and enlisted), and strict invariance was also supported across military rank, gender, and time (</w:instrText>
      </w:r>
      <w:r w:rsidR="006A4929">
        <w:rPr>
          <w:rFonts w:eastAsia="宋体" w:cs="Times New Roman" w:hint="eastAsia"/>
          <w:shd w:val="clear" w:color="auto" w:fill="FFFFFF"/>
        </w:rPr>
        <w:instrText>Δ</w:instrText>
      </w:r>
      <w:r w:rsidR="006A4929">
        <w:rPr>
          <w:rFonts w:eastAsia="宋体" w:cs="Times New Roman" w:hint="eastAsia"/>
          <w:shd w:val="clear" w:color="auto" w:fill="FFFFFF"/>
        </w:rPr>
        <w:instrText xml:space="preserve">CFI </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 xml:space="preserve"> 0.001, </w:instrText>
      </w:r>
      <w:r w:rsidR="006A4929">
        <w:rPr>
          <w:rFonts w:eastAsia="宋体" w:cs="Times New Roman" w:hint="eastAsia"/>
          <w:shd w:val="clear" w:color="auto" w:fill="FFFFFF"/>
        </w:rPr>
        <w:instrText>Δ</w:instrText>
      </w:r>
      <w:r w:rsidR="006A4929">
        <w:rPr>
          <w:rFonts w:eastAsia="宋体" w:cs="Times New Roman" w:hint="eastAsia"/>
          <w:shd w:val="clear" w:color="auto" w:fill="FFFFFF"/>
        </w:rPr>
        <w:instrText xml:space="preserve">TLI </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 xml:space="preserve"> 0.005, </w:instrText>
      </w:r>
      <w:r w:rsidR="006A4929">
        <w:rPr>
          <w:rFonts w:eastAsia="宋体" w:cs="Times New Roman" w:hint="eastAsia"/>
          <w:shd w:val="clear" w:color="auto" w:fill="FFFFFF"/>
        </w:rPr>
        <w:instrText>Δ</w:instrText>
      </w:r>
      <w:r w:rsidR="006A4929">
        <w:rPr>
          <w:rFonts w:eastAsia="宋体" w:cs="Times New Roman" w:hint="eastAsia"/>
          <w:shd w:val="clear" w:color="auto" w:fill="FFFFFF"/>
        </w:rPr>
        <w:instrText xml:space="preserve">RMSEA </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 xml:space="preserve"> 0.006). The CD-RISC-10 showed good internal consistency in all subsamples (Cronbach's </w:instrText>
      </w:r>
      <w:r w:rsidR="006A4929">
        <w:rPr>
          <w:rFonts w:eastAsia="宋体" w:cs="Times New Roman" w:hint="eastAsia"/>
          <w:shd w:val="clear" w:color="auto" w:fill="FFFFFF"/>
        </w:rPr>
        <w:instrText>α</w:instrText>
      </w:r>
      <w:r w:rsidR="006A4929">
        <w:rPr>
          <w:rFonts w:eastAsia="宋体" w:cs="Times New Roman" w:hint="eastAsia"/>
          <w:shd w:val="clear" w:color="auto" w:fill="FFFFFF"/>
        </w:rPr>
        <w:instrText xml:space="preserve"> of &amp;gt; 0.93 and McDonald's </w:instrText>
      </w:r>
      <w:r w:rsidR="006A4929">
        <w:rPr>
          <w:rFonts w:eastAsia="宋体" w:cs="Times New Roman" w:hint="eastAsia"/>
          <w:shd w:val="clear" w:color="auto" w:fill="FFFFFF"/>
        </w:rPr>
        <w:instrText>ω</w:instrText>
      </w:r>
      <w:r w:rsidR="006A4929">
        <w:rPr>
          <w:rFonts w:eastAsia="宋体" w:cs="Times New Roman" w:hint="eastAsia"/>
          <w:shd w:val="clear" w:color="auto" w:fill="FFFFFF"/>
        </w:rPr>
        <w:instrText xml:space="preserve"> of &amp;gt; 0.93) and good test</w:instrText>
      </w:r>
      <w:r w:rsidR="006A4929">
        <w:rPr>
          <w:rFonts w:eastAsia="宋体" w:cs="Times New Roman" w:hint="eastAsia"/>
          <w:shd w:val="clear" w:color="auto" w:fill="FFFFFF"/>
        </w:rPr>
        <w:instrText>–</w:instrText>
      </w:r>
      <w:r w:rsidR="006A4929">
        <w:rPr>
          <w:rFonts w:eastAsia="宋体" w:cs="Times New Roman" w:hint="eastAsia"/>
          <w:shd w:val="clear" w:color="auto" w:fill="FFFFFF"/>
        </w:rPr>
        <w:instrText>retest reliability (ICC = 0.88). Moreover, concurrent and predictive validity with the SAS and SDS sc</w:instrText>
      </w:r>
      <w:r w:rsidR="006A4929">
        <w:rPr>
          <w:rFonts w:eastAsia="宋体" w:cs="Times New Roman"/>
          <w:shd w:val="clear" w:color="auto" w:fill="FFFFFF"/>
        </w:rPr>
        <w:instrText xml:space="preserve">ores were good (\n                r\n                = −0.68 to −0.49,\n                p\n                &amp;lt; 0.001). The resilience level of recruits at the beginning of BMT was significantly associated with training performance rated by supervisors after training (\n                r\n                = 0.29,\n                p\n                &amp;lt; 0.001).\n              \n            \n            \n              Conclusion\n              The psychometric evidence reported in this study suggests that the CD-RISC-10 is a reliable and valid assessment of resilience and a potential predictor for mental health and military performance in Chinese military personnel.","container-title":"Frontiers in Psychology","DOI":"10.3389/fpsyg.2023.1163382","ISSN":"1664-1078","journalAbbreviation":"Front. Psychol.","page":"1163382","source":"3.8","title":"Psychometric properties of the 10-item Connor-Davidson Resilience Scale in Chinese military personnel","volume":"14","author":[{"family":"Tu","given":"Zhihao"},{"family":"He","given":"Jingwen"},{"family":"Wang","given":"Ziying"},{"family":"Song","given":"Mingfang"},{"family":"Tian","given":"Jianquan"},{"family":"Wang","given":"Chuan"},{"family":"Ba","given":"Jianbo"},{"family":"Shen","given":"Xinghua"}],"issued":{"date-parts":[["2023",8,4]]}}}],"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[13]</w:t>
      </w:r>
      <w:r>
        <w:rPr>
          <w:rFonts w:eastAsia="宋体" w:cs="Times New Roman"/>
          <w:shd w:val="clear" w:color="auto" w:fill="FFFFFF"/>
        </w:rPr>
        <w:fldChar w:fldCharType="end"/>
      </w:r>
      <w:r>
        <w:rPr>
          <w:rFonts w:hint="eastAsia"/>
        </w:rPr>
        <w:t>.</w:t>
      </w:r>
    </w:p>
    <w:p w14:paraId="6958AD14" w14:textId="77777777" w:rsidR="005C3D03" w:rsidRDefault="005C3D03">
      <w:pPr>
        <w:spacing w:line="480" w:lineRule="auto"/>
      </w:pPr>
    </w:p>
    <w:p w14:paraId="2D36B36B" w14:textId="5AFBF1B4" w:rsidR="005C3D03" w:rsidRPr="001573F5" w:rsidRDefault="006A0E05">
      <w:pPr>
        <w:spacing w:line="480" w:lineRule="auto"/>
        <w:rPr>
          <w:b/>
        </w:rPr>
      </w:pPr>
      <w:r w:rsidRPr="001573F5">
        <w:rPr>
          <w:rFonts w:hint="eastAsia"/>
          <w:b/>
        </w:rPr>
        <w:t>S1.</w:t>
      </w:r>
      <w:r w:rsidR="00C32E45" w:rsidRPr="001573F5">
        <w:rPr>
          <w:b/>
        </w:rPr>
        <w:t>9</w:t>
      </w:r>
      <w:r w:rsidRPr="001573F5">
        <w:rPr>
          <w:rFonts w:hint="eastAsia"/>
          <w:b/>
        </w:rPr>
        <w:t xml:space="preserve"> Adverse Childhood Experiences-International Questionnaire (ACE-IQ)</w:t>
      </w:r>
    </w:p>
    <w:p w14:paraId="65E362FE" w14:textId="7A3FB5CD" w:rsidR="005C3D03" w:rsidRDefault="006A0E05">
      <w:pPr>
        <w:spacing w:line="480" w:lineRule="auto"/>
      </w:pPr>
      <w:r>
        <w:rPr>
          <w:rFonts w:hint="eastAsia"/>
        </w:rPr>
        <w:t xml:space="preserve">The ACE-IQ </w:t>
      </w:r>
      <w:r>
        <w:t xml:space="preserve">assesses </w:t>
      </w:r>
      <w:r>
        <w:rPr>
          <w:rFonts w:hint="eastAsia"/>
        </w:rPr>
        <w:t xml:space="preserve">child maltreatment and neglect, violence outside the home, </w:t>
      </w:r>
      <w:r>
        <w:rPr>
          <w:rFonts w:hint="eastAsia"/>
        </w:rPr>
        <w:lastRenderedPageBreak/>
        <w:t xml:space="preserve">household dysfunction, and absence of parent(s). The scale demonstrates good reliability, showing strong internal consistency and significant correlation in comparison with The Childhood Trauma Questionnaire Short Form (CTQ-SF), with a Cronbach's </w:t>
      </w:r>
      <w:r>
        <w:rPr>
          <w:rFonts w:cs="Times New Roman"/>
        </w:rPr>
        <w:t>α</w:t>
      </w:r>
      <w:r>
        <w:rPr>
          <w:rFonts w:hint="eastAsia"/>
        </w:rPr>
        <w:t xml:space="preserve"> of 0.818 </w:t>
      </w:r>
      <w:r>
        <w:rPr>
          <w:rFonts w:eastAsia="宋体" w:cs="Times New Roman"/>
          <w:shd w:val="clear" w:color="auto" w:fill="FFFFFF"/>
        </w:rPr>
        <w:fldChar w:fldCharType="begin"/>
      </w:r>
      <w:r w:rsidR="006A4929">
        <w:rPr>
          <w:rFonts w:eastAsia="宋体" w:cs="Times New Roman"/>
          <w:shd w:val="clear" w:color="auto" w:fill="FFFFFF"/>
        </w:rPr>
        <w:instrText xml:space="preserve"> ADDIN ZOTERO_ITEM CSL_CITATION {"citationID":"Ziqvp2Ja","properties":{"formattedCitation":"[14, 15]","plainCitation":"[14, 15]","noteIndex":0},"citationItems":[{"id":1194,"uris":["http://zotero.org/users/13777607/items/HCEKC4P3"],"itemData":{"id":1194,"type":"article-journal","abstract":"OBJECTIVE: To test the reliability and validity of the Chinese version of adverse childhood experiences international questionnaire (ACE-IQ) in Chinese parents of  preschool children. METHODS: The parents of preschool children in 6 kindergartens  in Tongzhou District of Beijing were selected by stratified random cluster  sampling, and the Chinese version of ACE-IQ after translation and adaptation was  used for survey online. The collected data were randomly divided into two parts.  One part of the data (n=602) was used for exploratory factor analysis (EFA), to  screen items and evaluate structural validity, and then form the final Chinese  version of ACE-IQ. The other part of the data (n=700) was used for confirmatory  factor analysis (CFA), criterion validity analysis and reliability analysis. At  the same time, experts investigation method was used to evaluate the content  validity of the final Chinese version of ACE-IQ. RESULTS: After deleting four  items of collective violence, the Chinese version of ACE-IQ with twenty-five  items indicated good structural, criterion and content validity. Analysis results  showed that the Chinese version of ACE-IQ presented a seven-factor model  dimension, namely emotional neglect, physical neglect, family dysfunction, family  violence, emotional and physical abuse, sexual abuse and violence outside the  home, and the total score of the binary version of ACE-IQ Chinese version was  positively correlated with the total score of childhood trauma questionaire-28  item short form (CTQ-SF, r=0.354, P &lt; 0.001) and the center for epidemiological  studies depression scale (CES-D, r=0.313, P &lt; 0.001) respectively. Results from  five experts showed that the item-level content validity index (I-CVI) of 25  items was between 0.80 and 1.00, and the average of all I-CVIs on the scale  (S-CVI/Ave) of the scale was 0.984. At the same time, the internal consistency  (Cronbach's α coefficient) of the whole scale was 0.818, and the split-half  reliability (Spearman-Brown coefficient) was 0.621, which demonstrated good  reliability. CONCLUSION: This study has formed a Chinese version of ACE-IQ with  25 items and 7 dimensions, which has good reliability and validity among the  parents of preschool children in China. It can be used as an evaluation  instrument for measuring the minimum threshold of the adverse childhood  experiences in the parents of preschool children in the cultural background of  China.","container-title":"Beijing da xue xue bao. Yi xue ban = Journal of Peking University. Health sciences","DOI":"10.19723/j.issn.1671-167X.2023.03.004","ISSN":"1671-167X","issue":"3","journalAbbreviation":"Beijing Da Xue Xue Bao Yi Xue Ban","language":"chi","note":"publisher-place: China\nPMID: 37291914 \nPMCID: PMC10258048","page":"408-414","title":"[Reliability and validity of the Chinese version of adverse childhood experiences international questionnaire in parents of preschool children].","volume":"55","author":[{"family":"Mi","given":"X. Y."},{"family":"Hou","given":"S. S."},{"family":"Fu","given":"Z. Y."},{"family":"Zhou","given":"M."},{"family":"Li","given":"X. X."},{"family":"Meng","given":"Z. X."},{"family":"Jiang","given":"H. F."},{"family":"Zhou","given":"H."}],"issued":{"date-parts":[["2023",6,18]]}}},{"id":1193,"uris":["http://zotero.org/users/13777607/items/ZJTCYX8H"],"itemData":{"id":1193,"type":"article-journal","container-title":"Child Abuse &amp; Neglect","DOI":"10.1016/j.chiabu.2023.106529","ISSN":"01452134","journalAbbreviation":"Child Abuse &amp; Neglect","language":"en","page":"106529","source":"4.8","title":"Comparison of ACE-IQ and CTQ-SF for child maltreatment assessment: Reliability, prevalence, and risk prediction","title-short":"Comparison of ACE-IQ and CTQ-SF for child maltreatment assessment","volume":"146","author":[{"family":"Xu","given":"Hang"},{"family":"Li","given":"Man"},{"family":"Cai","given":"Jinping"},{"family":"Yuan","given":"Yidan"},{"family":"He","given":"Li"},{"family":"Liu","given":"Jing"},{"family":"Wang","given":"Li"},{"family":"Wang","given":"Weiwen"}],"issued":{"date-parts":[["2023",12]]}},"label":"page"}],"schema":"https://github.com/citation-style-language/schema/raw/master/csl-citation.json"} </w:instrText>
      </w:r>
      <w:r>
        <w:rPr>
          <w:rFonts w:eastAsia="宋体" w:cs="Times New Roman"/>
          <w:shd w:val="clear" w:color="auto" w:fill="FFFFFF"/>
        </w:rPr>
        <w:fldChar w:fldCharType="separate"/>
      </w:r>
      <w:r w:rsidR="006A4929" w:rsidRPr="006A4929">
        <w:rPr>
          <w:rFonts w:cs="Times New Roman"/>
        </w:rPr>
        <w:t>[14, 15]</w:t>
      </w:r>
      <w:r>
        <w:rPr>
          <w:rFonts w:eastAsia="宋体" w:cs="Times New Roman"/>
          <w:shd w:val="clear" w:color="auto" w:fill="FFFFFF"/>
        </w:rPr>
        <w:fldChar w:fldCharType="end"/>
      </w:r>
      <w:r>
        <w:rPr>
          <w:rFonts w:hint="eastAsia"/>
        </w:rPr>
        <w:t>.</w:t>
      </w:r>
    </w:p>
    <w:p w14:paraId="0FE1C929" w14:textId="77777777" w:rsidR="005C3D03" w:rsidRDefault="006A0E05">
      <w:pPr>
        <w:spacing w:line="480" w:lineRule="auto"/>
      </w:pPr>
      <w:r>
        <w:rPr>
          <w:rFonts w:hint="eastAsia"/>
        </w:rPr>
        <w:br w:type="page"/>
      </w:r>
    </w:p>
    <w:p w14:paraId="4BD45135" w14:textId="77777777" w:rsidR="005C3D03" w:rsidRDefault="005C3D03">
      <w:pPr>
        <w:spacing w:line="480" w:lineRule="auto"/>
      </w:pPr>
    </w:p>
    <w:p w14:paraId="74EFBB64" w14:textId="77777777" w:rsidR="005C3D03" w:rsidRPr="001573F5" w:rsidRDefault="006A0E05" w:rsidP="001573F5">
      <w:pPr>
        <w:pStyle w:val="2"/>
        <w:spacing w:line="480" w:lineRule="auto"/>
        <w:rPr>
          <w:rFonts w:ascii="Times New Roman" w:eastAsia="黑体" w:hAnsi="Times New Roman" w:cs="Times New Roman"/>
          <w:bCs w:val="0"/>
          <w:szCs w:val="24"/>
        </w:rPr>
      </w:pPr>
      <w:r w:rsidRPr="001573F5">
        <w:rPr>
          <w:rFonts w:ascii="Times New Roman" w:eastAsia="黑体" w:hAnsi="Times New Roman" w:cs="Times New Roman" w:hint="eastAsia"/>
          <w:bCs w:val="0"/>
          <w:szCs w:val="24"/>
        </w:rPr>
        <w:t>Supplementary Material S2: Sample characteristics</w:t>
      </w:r>
    </w:p>
    <w:p w14:paraId="36ABC31D" w14:textId="6213713F" w:rsidR="005C3D03" w:rsidRDefault="006A0E05">
      <w:pPr>
        <w:spacing w:line="480" w:lineRule="auto"/>
      </w:pPr>
      <w:r>
        <w:rPr>
          <w:rFonts w:hint="eastAsia"/>
        </w:rPr>
        <w:t xml:space="preserve">Supplementary Table 1: Characteristics of </w:t>
      </w:r>
      <w:r>
        <w:t xml:space="preserve">study </w:t>
      </w:r>
      <w:r>
        <w:rPr>
          <w:rFonts w:hint="eastAsia"/>
        </w:rPr>
        <w:t>participants</w:t>
      </w:r>
      <w:r>
        <w:t xml:space="preserve"> consisting of individuals with internet gaming disorder (IGD) and the healthy control (HC) participants.</w:t>
      </w:r>
    </w:p>
    <w:tbl>
      <w:tblPr>
        <w:tblStyle w:val="sanxian"/>
        <w:tblW w:w="0" w:type="auto"/>
        <w:tblInd w:w="0" w:type="dxa"/>
        <w:tblBorders>
          <w:top w:val="none" w:sz="0" w:space="0" w:color="auto"/>
          <w:bottom w:val="none" w:sz="0" w:space="0" w:color="auto"/>
        </w:tblBorders>
        <w:tblCellMar>
          <w:left w:w="108" w:type="dxa"/>
          <w:right w:w="108" w:type="dxa"/>
        </w:tblCellMar>
        <w:tblLook w:val="04A0" w:firstRow="1" w:lastRow="0" w:firstColumn="1" w:lastColumn="0" w:noHBand="0" w:noVBand="1"/>
      </w:tblPr>
      <w:tblGrid>
        <w:gridCol w:w="3963"/>
        <w:gridCol w:w="1613"/>
        <w:gridCol w:w="1446"/>
        <w:gridCol w:w="1500"/>
      </w:tblGrid>
      <w:tr w:rsidR="005C3D03" w14:paraId="5963A1AA" w14:textId="77777777" w:rsidTr="005C3D03">
        <w:trPr>
          <w:cnfStyle w:val="100000000000" w:firstRow="1" w:lastRow="0" w:firstColumn="0" w:lastColumn="0" w:oddVBand="0" w:evenVBand="0" w:oddHBand="0" w:evenHBand="0" w:firstRowFirstColumn="0" w:firstRowLastColumn="0" w:lastRowFirstColumn="0" w:lastRowLastColumn="0"/>
        </w:trPr>
        <w:tc>
          <w:tcPr>
            <w:tcW w:w="0" w:type="auto"/>
            <w:tcBorders>
              <w:top w:val="single" w:sz="12" w:space="0" w:color="auto"/>
              <w:bottom w:val="single" w:sz="6" w:space="0" w:color="auto"/>
            </w:tcBorders>
          </w:tcPr>
          <w:p w14:paraId="49930D6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Characteristic</w:t>
            </w:r>
          </w:p>
        </w:tc>
        <w:tc>
          <w:tcPr>
            <w:tcW w:w="0" w:type="auto"/>
            <w:tcBorders>
              <w:top w:val="single" w:sz="12" w:space="0" w:color="auto"/>
              <w:bottom w:val="single" w:sz="6" w:space="0" w:color="auto"/>
            </w:tcBorders>
          </w:tcPr>
          <w:p w14:paraId="1D9E0A8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Total (N=13512)</w:t>
            </w:r>
          </w:p>
        </w:tc>
        <w:tc>
          <w:tcPr>
            <w:tcW w:w="0" w:type="auto"/>
            <w:tcBorders>
              <w:top w:val="single" w:sz="12" w:space="0" w:color="auto"/>
              <w:bottom w:val="single" w:sz="6" w:space="0" w:color="auto"/>
            </w:tcBorders>
          </w:tcPr>
          <w:p w14:paraId="21A42BD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IGD (N=2143)</w:t>
            </w:r>
          </w:p>
        </w:tc>
        <w:tc>
          <w:tcPr>
            <w:tcW w:w="0" w:type="auto"/>
            <w:tcBorders>
              <w:top w:val="single" w:sz="12" w:space="0" w:color="auto"/>
              <w:bottom w:val="single" w:sz="6" w:space="0" w:color="auto"/>
            </w:tcBorders>
          </w:tcPr>
          <w:p w14:paraId="766F5B1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HC (N=11369)</w:t>
            </w:r>
          </w:p>
        </w:tc>
      </w:tr>
      <w:tr w:rsidR="005C3D03" w14:paraId="197FCAA0" w14:textId="77777777" w:rsidTr="005C3D03">
        <w:tc>
          <w:tcPr>
            <w:tcW w:w="0" w:type="auto"/>
            <w:tcBorders>
              <w:top w:val="single" w:sz="6" w:space="0" w:color="auto"/>
            </w:tcBorders>
          </w:tcPr>
          <w:p w14:paraId="1F82FF4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Age (years), median (IQR)</w:t>
            </w:r>
          </w:p>
        </w:tc>
        <w:tc>
          <w:tcPr>
            <w:tcW w:w="0" w:type="auto"/>
            <w:tcBorders>
              <w:top w:val="single" w:sz="6" w:space="0" w:color="auto"/>
            </w:tcBorders>
          </w:tcPr>
          <w:p w14:paraId="16DB0A6C"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17.34 (16-19)</w:t>
            </w:r>
          </w:p>
        </w:tc>
        <w:tc>
          <w:tcPr>
            <w:tcW w:w="0" w:type="auto"/>
            <w:tcBorders>
              <w:top w:val="single" w:sz="6" w:space="0" w:color="auto"/>
            </w:tcBorders>
          </w:tcPr>
          <w:p w14:paraId="0723031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17.69 (16-19)</w:t>
            </w:r>
          </w:p>
        </w:tc>
        <w:tc>
          <w:tcPr>
            <w:tcW w:w="0" w:type="auto"/>
            <w:tcBorders>
              <w:top w:val="single" w:sz="6" w:space="0" w:color="auto"/>
            </w:tcBorders>
          </w:tcPr>
          <w:p w14:paraId="0EF1CB6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17.27 (16-19)</w:t>
            </w:r>
          </w:p>
        </w:tc>
      </w:tr>
      <w:tr w:rsidR="005C3D03" w14:paraId="27F27468" w14:textId="77777777" w:rsidTr="005C3D03">
        <w:tc>
          <w:tcPr>
            <w:tcW w:w="0" w:type="auto"/>
          </w:tcPr>
          <w:p w14:paraId="4D3ED0C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Male, n (%)</w:t>
            </w:r>
          </w:p>
        </w:tc>
        <w:tc>
          <w:tcPr>
            <w:tcW w:w="0" w:type="auto"/>
          </w:tcPr>
          <w:p w14:paraId="0C2143E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5713 (42.3)</w:t>
            </w:r>
          </w:p>
        </w:tc>
        <w:tc>
          <w:tcPr>
            <w:tcW w:w="0" w:type="auto"/>
          </w:tcPr>
          <w:p w14:paraId="6976079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1213 (56.6)</w:t>
            </w:r>
          </w:p>
        </w:tc>
        <w:tc>
          <w:tcPr>
            <w:tcW w:w="0" w:type="auto"/>
          </w:tcPr>
          <w:p w14:paraId="7A8EBFD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4500 (39.6)</w:t>
            </w:r>
          </w:p>
        </w:tc>
      </w:tr>
      <w:tr w:rsidR="005C3D03" w14:paraId="26801107" w14:textId="77777777" w:rsidTr="005C3D03">
        <w:tc>
          <w:tcPr>
            <w:tcW w:w="0" w:type="auto"/>
          </w:tcPr>
          <w:p w14:paraId="2FECC56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IGDSF, median (IQR)</w:t>
            </w:r>
          </w:p>
        </w:tc>
        <w:tc>
          <w:tcPr>
            <w:tcW w:w="0" w:type="auto"/>
          </w:tcPr>
          <w:p w14:paraId="3DA83E7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15.13 (10-18)</w:t>
            </w:r>
          </w:p>
        </w:tc>
        <w:tc>
          <w:tcPr>
            <w:tcW w:w="0" w:type="auto"/>
          </w:tcPr>
          <w:p w14:paraId="767C4A4D"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25.44 (22-27)</w:t>
            </w:r>
          </w:p>
        </w:tc>
        <w:tc>
          <w:tcPr>
            <w:tcW w:w="0" w:type="auto"/>
          </w:tcPr>
          <w:p w14:paraId="45ACBC9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13.18 (10-16)</w:t>
            </w:r>
          </w:p>
        </w:tc>
      </w:tr>
      <w:tr w:rsidR="005C3D03" w14:paraId="5127C6A7" w14:textId="77777777" w:rsidTr="005C3D03">
        <w:tc>
          <w:tcPr>
            <w:tcW w:w="0" w:type="auto"/>
          </w:tcPr>
          <w:p w14:paraId="3897334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Educational background, n (%)</w:t>
            </w:r>
          </w:p>
        </w:tc>
        <w:tc>
          <w:tcPr>
            <w:tcW w:w="0" w:type="auto"/>
          </w:tcPr>
          <w:p w14:paraId="67006AA9" w14:textId="77777777" w:rsidR="005C3D03" w:rsidRDefault="005C3D03">
            <w:pPr>
              <w:widowControl/>
              <w:spacing w:line="480" w:lineRule="auto"/>
              <w:jc w:val="left"/>
              <w:rPr>
                <w:rFonts w:eastAsia="宋体" w:cs="Times New Roman"/>
                <w:color w:val="0F1115"/>
                <w:kern w:val="0"/>
                <w:sz w:val="23"/>
                <w:szCs w:val="23"/>
              </w:rPr>
            </w:pPr>
          </w:p>
        </w:tc>
        <w:tc>
          <w:tcPr>
            <w:tcW w:w="0" w:type="auto"/>
          </w:tcPr>
          <w:p w14:paraId="7D407785" w14:textId="77777777" w:rsidR="005C3D03" w:rsidRDefault="005C3D03">
            <w:pPr>
              <w:widowControl/>
              <w:spacing w:line="480" w:lineRule="auto"/>
              <w:jc w:val="left"/>
              <w:rPr>
                <w:rFonts w:eastAsia="Times New Roman" w:cs="Times New Roman"/>
                <w:kern w:val="0"/>
                <w:sz w:val="20"/>
                <w:szCs w:val="20"/>
              </w:rPr>
            </w:pPr>
          </w:p>
        </w:tc>
        <w:tc>
          <w:tcPr>
            <w:tcW w:w="0" w:type="auto"/>
          </w:tcPr>
          <w:p w14:paraId="69BC5B86" w14:textId="77777777" w:rsidR="005C3D03" w:rsidRDefault="005C3D03">
            <w:pPr>
              <w:widowControl/>
              <w:spacing w:line="480" w:lineRule="auto"/>
              <w:jc w:val="left"/>
              <w:rPr>
                <w:rFonts w:eastAsia="Times New Roman" w:cs="Times New Roman"/>
                <w:kern w:val="0"/>
                <w:sz w:val="20"/>
                <w:szCs w:val="20"/>
              </w:rPr>
            </w:pPr>
          </w:p>
        </w:tc>
      </w:tr>
      <w:tr w:rsidR="005C3D03" w14:paraId="55F95DDF" w14:textId="77777777" w:rsidTr="005C3D03">
        <w:tc>
          <w:tcPr>
            <w:tcW w:w="0" w:type="auto"/>
          </w:tcPr>
          <w:p w14:paraId="407E61E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Elementary school</w:t>
            </w:r>
          </w:p>
        </w:tc>
        <w:tc>
          <w:tcPr>
            <w:tcW w:w="0" w:type="auto"/>
          </w:tcPr>
          <w:p w14:paraId="60E4EFA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45 (0.3)</w:t>
            </w:r>
          </w:p>
        </w:tc>
        <w:tc>
          <w:tcPr>
            <w:tcW w:w="0" w:type="auto"/>
          </w:tcPr>
          <w:p w14:paraId="6BD9819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13 (0.6)</w:t>
            </w:r>
          </w:p>
        </w:tc>
        <w:tc>
          <w:tcPr>
            <w:tcW w:w="0" w:type="auto"/>
          </w:tcPr>
          <w:p w14:paraId="744B9CFF"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32 (0.3)</w:t>
            </w:r>
          </w:p>
        </w:tc>
      </w:tr>
      <w:tr w:rsidR="005C3D03" w14:paraId="47FD33D6" w14:textId="77777777" w:rsidTr="005C3D03">
        <w:tc>
          <w:tcPr>
            <w:tcW w:w="0" w:type="auto"/>
          </w:tcPr>
          <w:p w14:paraId="7D5F6F5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Junior high school</w:t>
            </w:r>
          </w:p>
        </w:tc>
        <w:tc>
          <w:tcPr>
            <w:tcW w:w="0" w:type="auto"/>
          </w:tcPr>
          <w:p w14:paraId="1B1A03A3"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577 (4.3)</w:t>
            </w:r>
          </w:p>
        </w:tc>
        <w:tc>
          <w:tcPr>
            <w:tcW w:w="0" w:type="auto"/>
          </w:tcPr>
          <w:p w14:paraId="05C5615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120 (5.6)</w:t>
            </w:r>
          </w:p>
        </w:tc>
        <w:tc>
          <w:tcPr>
            <w:tcW w:w="0" w:type="auto"/>
          </w:tcPr>
          <w:p w14:paraId="096F67C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457 (4.0)</w:t>
            </w:r>
          </w:p>
        </w:tc>
      </w:tr>
      <w:tr w:rsidR="005C3D03" w14:paraId="7401206F" w14:textId="77777777" w:rsidTr="005C3D03">
        <w:tc>
          <w:tcPr>
            <w:tcW w:w="0" w:type="auto"/>
          </w:tcPr>
          <w:p w14:paraId="5051B70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Senior high school</w:t>
            </w:r>
          </w:p>
        </w:tc>
        <w:tc>
          <w:tcPr>
            <w:tcW w:w="0" w:type="auto"/>
          </w:tcPr>
          <w:p w14:paraId="6D06E5C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3961 (29.3)</w:t>
            </w:r>
          </w:p>
        </w:tc>
        <w:tc>
          <w:tcPr>
            <w:tcW w:w="0" w:type="auto"/>
          </w:tcPr>
          <w:p w14:paraId="37F75AB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614 (28.7)</w:t>
            </w:r>
          </w:p>
        </w:tc>
        <w:tc>
          <w:tcPr>
            <w:tcW w:w="0" w:type="auto"/>
          </w:tcPr>
          <w:p w14:paraId="5CB6F3E3"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3347 (29.4)</w:t>
            </w:r>
          </w:p>
        </w:tc>
      </w:tr>
      <w:tr w:rsidR="005C3D03" w14:paraId="2F1321C7" w14:textId="77777777" w:rsidTr="005C3D03">
        <w:tc>
          <w:tcPr>
            <w:tcW w:w="0" w:type="auto"/>
          </w:tcPr>
          <w:p w14:paraId="0E4C86C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College degree</w:t>
            </w:r>
          </w:p>
        </w:tc>
        <w:tc>
          <w:tcPr>
            <w:tcW w:w="0" w:type="auto"/>
          </w:tcPr>
          <w:p w14:paraId="4D2ABD5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6677 (49.4)</w:t>
            </w:r>
          </w:p>
        </w:tc>
        <w:tc>
          <w:tcPr>
            <w:tcW w:w="0" w:type="auto"/>
          </w:tcPr>
          <w:p w14:paraId="1455E38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959 (44.8)</w:t>
            </w:r>
          </w:p>
        </w:tc>
        <w:tc>
          <w:tcPr>
            <w:tcW w:w="0" w:type="auto"/>
          </w:tcPr>
          <w:p w14:paraId="46337F5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5718 (50.3)</w:t>
            </w:r>
          </w:p>
        </w:tc>
      </w:tr>
      <w:tr w:rsidR="005C3D03" w14:paraId="3AB8DB7A" w14:textId="77777777" w:rsidTr="005C3D03">
        <w:tc>
          <w:tcPr>
            <w:tcW w:w="0" w:type="auto"/>
          </w:tcPr>
          <w:p w14:paraId="6AF27AF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Bachelor's degree</w:t>
            </w:r>
          </w:p>
        </w:tc>
        <w:tc>
          <w:tcPr>
            <w:tcW w:w="0" w:type="auto"/>
          </w:tcPr>
          <w:p w14:paraId="0A97EF14"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2105 (15.6)</w:t>
            </w:r>
          </w:p>
        </w:tc>
        <w:tc>
          <w:tcPr>
            <w:tcW w:w="0" w:type="auto"/>
          </w:tcPr>
          <w:p w14:paraId="1D99079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404 (18.9)</w:t>
            </w:r>
          </w:p>
        </w:tc>
        <w:tc>
          <w:tcPr>
            <w:tcW w:w="0" w:type="auto"/>
          </w:tcPr>
          <w:p w14:paraId="7323299C"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1701 (15.0)</w:t>
            </w:r>
          </w:p>
        </w:tc>
      </w:tr>
      <w:tr w:rsidR="005C3D03" w14:paraId="44EAA476" w14:textId="77777777" w:rsidTr="005C3D03">
        <w:tc>
          <w:tcPr>
            <w:tcW w:w="0" w:type="auto"/>
          </w:tcPr>
          <w:p w14:paraId="4BB7F8BD"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Master's degree</w:t>
            </w:r>
          </w:p>
        </w:tc>
        <w:tc>
          <w:tcPr>
            <w:tcW w:w="0" w:type="auto"/>
          </w:tcPr>
          <w:p w14:paraId="1C9118E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147 (1.1)</w:t>
            </w:r>
          </w:p>
        </w:tc>
        <w:tc>
          <w:tcPr>
            <w:tcW w:w="0" w:type="auto"/>
          </w:tcPr>
          <w:p w14:paraId="77227EE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33 (1.5)</w:t>
            </w:r>
          </w:p>
        </w:tc>
        <w:tc>
          <w:tcPr>
            <w:tcW w:w="0" w:type="auto"/>
          </w:tcPr>
          <w:p w14:paraId="2620A5BD"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114 (1.0)</w:t>
            </w:r>
          </w:p>
        </w:tc>
      </w:tr>
      <w:tr w:rsidR="005C3D03" w14:paraId="3876A6F0" w14:textId="77777777" w:rsidTr="005C3D03">
        <w:tc>
          <w:tcPr>
            <w:tcW w:w="0" w:type="auto"/>
          </w:tcPr>
          <w:p w14:paraId="3F951D8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DASS-Depression, median (IQR)</w:t>
            </w:r>
          </w:p>
        </w:tc>
        <w:tc>
          <w:tcPr>
            <w:tcW w:w="0" w:type="auto"/>
          </w:tcPr>
          <w:p w14:paraId="58DC058C"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7.83 (0-12)</w:t>
            </w:r>
          </w:p>
        </w:tc>
        <w:tc>
          <w:tcPr>
            <w:tcW w:w="0" w:type="auto"/>
          </w:tcPr>
          <w:p w14:paraId="054708A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12.55 (4-18)</w:t>
            </w:r>
          </w:p>
        </w:tc>
        <w:tc>
          <w:tcPr>
            <w:tcW w:w="0" w:type="auto"/>
          </w:tcPr>
          <w:p w14:paraId="76AC615F"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6.94 (0-12)</w:t>
            </w:r>
          </w:p>
        </w:tc>
      </w:tr>
      <w:tr w:rsidR="005C3D03" w14:paraId="2ED90895" w14:textId="77777777" w:rsidTr="005C3D03">
        <w:tc>
          <w:tcPr>
            <w:tcW w:w="0" w:type="auto"/>
          </w:tcPr>
          <w:p w14:paraId="491BFD4E"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DASS-Anxiety, median (IQR)</w:t>
            </w:r>
          </w:p>
        </w:tc>
        <w:tc>
          <w:tcPr>
            <w:tcW w:w="0" w:type="auto"/>
          </w:tcPr>
          <w:p w14:paraId="7B529D9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8.49 (2-14)</w:t>
            </w:r>
          </w:p>
        </w:tc>
        <w:tc>
          <w:tcPr>
            <w:tcW w:w="0" w:type="auto"/>
          </w:tcPr>
          <w:p w14:paraId="4B4B95DF"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12.62 (6-18)</w:t>
            </w:r>
          </w:p>
        </w:tc>
        <w:tc>
          <w:tcPr>
            <w:tcW w:w="0" w:type="auto"/>
          </w:tcPr>
          <w:p w14:paraId="0A9B4F9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7.71 (2-12)</w:t>
            </w:r>
          </w:p>
        </w:tc>
      </w:tr>
      <w:tr w:rsidR="005C3D03" w14:paraId="4D764C44" w14:textId="77777777" w:rsidTr="005C3D03">
        <w:tc>
          <w:tcPr>
            <w:tcW w:w="0" w:type="auto"/>
          </w:tcPr>
          <w:p w14:paraId="0269FFC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DASS-Stress, median (IQR)</w:t>
            </w:r>
          </w:p>
        </w:tc>
        <w:tc>
          <w:tcPr>
            <w:tcW w:w="0" w:type="auto"/>
          </w:tcPr>
          <w:p w14:paraId="5004673C"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9.35 (2-14)</w:t>
            </w:r>
          </w:p>
        </w:tc>
        <w:tc>
          <w:tcPr>
            <w:tcW w:w="0" w:type="auto"/>
          </w:tcPr>
          <w:p w14:paraId="545451B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13.93 (8-18)</w:t>
            </w:r>
          </w:p>
        </w:tc>
        <w:tc>
          <w:tcPr>
            <w:tcW w:w="0" w:type="auto"/>
          </w:tcPr>
          <w:p w14:paraId="6D47400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8.48 (2-14)</w:t>
            </w:r>
          </w:p>
        </w:tc>
      </w:tr>
      <w:tr w:rsidR="005C3D03" w14:paraId="6924824E" w14:textId="77777777" w:rsidTr="005C3D03">
        <w:tc>
          <w:tcPr>
            <w:tcW w:w="0" w:type="auto"/>
          </w:tcPr>
          <w:p w14:paraId="36EE4C1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lastRenderedPageBreak/>
              <w:t>Self-mutilation, n (%)</w:t>
            </w:r>
          </w:p>
        </w:tc>
        <w:tc>
          <w:tcPr>
            <w:tcW w:w="0" w:type="auto"/>
          </w:tcPr>
          <w:p w14:paraId="00A97D06" w14:textId="77777777" w:rsidR="005C3D03" w:rsidRDefault="005C3D03">
            <w:pPr>
              <w:widowControl/>
              <w:spacing w:line="480" w:lineRule="auto"/>
              <w:jc w:val="left"/>
              <w:rPr>
                <w:rFonts w:eastAsia="宋体" w:cs="Times New Roman"/>
                <w:color w:val="0F1115"/>
                <w:kern w:val="0"/>
                <w:sz w:val="23"/>
                <w:szCs w:val="23"/>
              </w:rPr>
            </w:pPr>
          </w:p>
        </w:tc>
        <w:tc>
          <w:tcPr>
            <w:tcW w:w="0" w:type="auto"/>
          </w:tcPr>
          <w:p w14:paraId="007176F1" w14:textId="77777777" w:rsidR="005C3D03" w:rsidRDefault="005C3D03">
            <w:pPr>
              <w:widowControl/>
              <w:spacing w:line="480" w:lineRule="auto"/>
              <w:jc w:val="left"/>
              <w:rPr>
                <w:rFonts w:eastAsia="Times New Roman" w:cs="Times New Roman"/>
                <w:kern w:val="0"/>
                <w:sz w:val="20"/>
                <w:szCs w:val="20"/>
              </w:rPr>
            </w:pPr>
          </w:p>
        </w:tc>
        <w:tc>
          <w:tcPr>
            <w:tcW w:w="0" w:type="auto"/>
          </w:tcPr>
          <w:p w14:paraId="7BEB7069" w14:textId="77777777" w:rsidR="005C3D03" w:rsidRDefault="005C3D03">
            <w:pPr>
              <w:widowControl/>
              <w:spacing w:line="480" w:lineRule="auto"/>
              <w:jc w:val="left"/>
              <w:rPr>
                <w:rFonts w:eastAsia="Times New Roman" w:cs="Times New Roman"/>
                <w:kern w:val="0"/>
                <w:sz w:val="20"/>
                <w:szCs w:val="20"/>
              </w:rPr>
            </w:pPr>
          </w:p>
        </w:tc>
      </w:tr>
      <w:tr w:rsidR="005C3D03" w14:paraId="37050D1E" w14:textId="77777777" w:rsidTr="005C3D03">
        <w:tc>
          <w:tcPr>
            <w:tcW w:w="0" w:type="auto"/>
          </w:tcPr>
          <w:p w14:paraId="00A2A2C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Never thought</w:t>
            </w:r>
          </w:p>
        </w:tc>
        <w:tc>
          <w:tcPr>
            <w:tcW w:w="0" w:type="auto"/>
          </w:tcPr>
          <w:p w14:paraId="3542006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9666 (71.6)</w:t>
            </w:r>
          </w:p>
        </w:tc>
        <w:tc>
          <w:tcPr>
            <w:tcW w:w="0" w:type="auto"/>
          </w:tcPr>
          <w:p w14:paraId="74B8684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1243 (58.0)</w:t>
            </w:r>
          </w:p>
        </w:tc>
        <w:tc>
          <w:tcPr>
            <w:tcW w:w="0" w:type="auto"/>
          </w:tcPr>
          <w:p w14:paraId="7995605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8423 (74.1)</w:t>
            </w:r>
          </w:p>
        </w:tc>
      </w:tr>
      <w:tr w:rsidR="005C3D03" w14:paraId="2B82D2D6" w14:textId="77777777" w:rsidTr="005C3D03">
        <w:tc>
          <w:tcPr>
            <w:tcW w:w="0" w:type="auto"/>
          </w:tcPr>
          <w:p w14:paraId="6831A76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Intended to but didn't</w:t>
            </w:r>
          </w:p>
        </w:tc>
        <w:tc>
          <w:tcPr>
            <w:tcW w:w="0" w:type="auto"/>
          </w:tcPr>
          <w:p w14:paraId="37FB2C8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2162 (16.0)</w:t>
            </w:r>
          </w:p>
        </w:tc>
        <w:tc>
          <w:tcPr>
            <w:tcW w:w="0" w:type="auto"/>
          </w:tcPr>
          <w:p w14:paraId="0726CE74"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480 (22.4)</w:t>
            </w:r>
          </w:p>
        </w:tc>
        <w:tc>
          <w:tcPr>
            <w:tcW w:w="0" w:type="auto"/>
          </w:tcPr>
          <w:p w14:paraId="008159FD"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1682 (14.8)</w:t>
            </w:r>
          </w:p>
        </w:tc>
      </w:tr>
      <w:tr w:rsidR="005C3D03" w14:paraId="446176FC" w14:textId="77777777" w:rsidTr="005C3D03">
        <w:tc>
          <w:tcPr>
            <w:tcW w:w="0" w:type="auto"/>
          </w:tcPr>
          <w:p w14:paraId="757F0EC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Have tried</w:t>
            </w:r>
          </w:p>
        </w:tc>
        <w:tc>
          <w:tcPr>
            <w:tcW w:w="0" w:type="auto"/>
          </w:tcPr>
          <w:p w14:paraId="172E716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1684 (12.5)</w:t>
            </w:r>
          </w:p>
        </w:tc>
        <w:tc>
          <w:tcPr>
            <w:tcW w:w="0" w:type="auto"/>
          </w:tcPr>
          <w:p w14:paraId="1CC3116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420 (19.6)</w:t>
            </w:r>
          </w:p>
        </w:tc>
        <w:tc>
          <w:tcPr>
            <w:tcW w:w="0" w:type="auto"/>
          </w:tcPr>
          <w:p w14:paraId="027A601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1264 (11.1)</w:t>
            </w:r>
          </w:p>
        </w:tc>
      </w:tr>
      <w:tr w:rsidR="005C3D03" w14:paraId="35DCEEF6" w14:textId="77777777" w:rsidTr="005C3D03">
        <w:tc>
          <w:tcPr>
            <w:tcW w:w="0" w:type="auto"/>
          </w:tcPr>
          <w:p w14:paraId="52AEAA7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Suicide, n (%)</w:t>
            </w:r>
          </w:p>
        </w:tc>
        <w:tc>
          <w:tcPr>
            <w:tcW w:w="0" w:type="auto"/>
          </w:tcPr>
          <w:p w14:paraId="56A97D2B" w14:textId="77777777" w:rsidR="005C3D03" w:rsidRDefault="005C3D03">
            <w:pPr>
              <w:widowControl/>
              <w:spacing w:line="480" w:lineRule="auto"/>
              <w:jc w:val="left"/>
              <w:rPr>
                <w:rFonts w:eastAsia="宋体" w:cs="Times New Roman"/>
                <w:color w:val="0F1115"/>
                <w:kern w:val="0"/>
                <w:sz w:val="23"/>
                <w:szCs w:val="23"/>
              </w:rPr>
            </w:pPr>
          </w:p>
        </w:tc>
        <w:tc>
          <w:tcPr>
            <w:tcW w:w="0" w:type="auto"/>
          </w:tcPr>
          <w:p w14:paraId="23C3038F" w14:textId="77777777" w:rsidR="005C3D03" w:rsidRDefault="005C3D03">
            <w:pPr>
              <w:widowControl/>
              <w:spacing w:line="480" w:lineRule="auto"/>
              <w:jc w:val="left"/>
              <w:rPr>
                <w:rFonts w:eastAsia="Times New Roman" w:cs="Times New Roman"/>
                <w:kern w:val="0"/>
                <w:sz w:val="20"/>
                <w:szCs w:val="20"/>
              </w:rPr>
            </w:pPr>
          </w:p>
        </w:tc>
        <w:tc>
          <w:tcPr>
            <w:tcW w:w="0" w:type="auto"/>
          </w:tcPr>
          <w:p w14:paraId="60AB8E8A" w14:textId="77777777" w:rsidR="005C3D03" w:rsidRDefault="005C3D03">
            <w:pPr>
              <w:widowControl/>
              <w:spacing w:line="480" w:lineRule="auto"/>
              <w:jc w:val="left"/>
              <w:rPr>
                <w:rFonts w:eastAsia="Times New Roman" w:cs="Times New Roman"/>
                <w:kern w:val="0"/>
                <w:sz w:val="20"/>
                <w:szCs w:val="20"/>
              </w:rPr>
            </w:pPr>
          </w:p>
        </w:tc>
      </w:tr>
      <w:tr w:rsidR="005C3D03" w14:paraId="29B4F06B" w14:textId="77777777" w:rsidTr="005C3D03">
        <w:tc>
          <w:tcPr>
            <w:tcW w:w="0" w:type="auto"/>
          </w:tcPr>
          <w:p w14:paraId="41D5212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Never thought</w:t>
            </w:r>
          </w:p>
        </w:tc>
        <w:tc>
          <w:tcPr>
            <w:tcW w:w="0" w:type="auto"/>
          </w:tcPr>
          <w:p w14:paraId="4C1D014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10116 (74.9)</w:t>
            </w:r>
          </w:p>
        </w:tc>
        <w:tc>
          <w:tcPr>
            <w:tcW w:w="0" w:type="auto"/>
          </w:tcPr>
          <w:p w14:paraId="2120606E"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1303 (60.8)</w:t>
            </w:r>
          </w:p>
        </w:tc>
        <w:tc>
          <w:tcPr>
            <w:tcW w:w="0" w:type="auto"/>
          </w:tcPr>
          <w:p w14:paraId="04EAC11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8813 (77.5)</w:t>
            </w:r>
          </w:p>
        </w:tc>
      </w:tr>
      <w:tr w:rsidR="005C3D03" w14:paraId="552D96B6" w14:textId="77777777" w:rsidTr="005C3D03">
        <w:tc>
          <w:tcPr>
            <w:tcW w:w="0" w:type="auto"/>
          </w:tcPr>
          <w:p w14:paraId="6D53CA9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Intended to but didn't</w:t>
            </w:r>
          </w:p>
        </w:tc>
        <w:tc>
          <w:tcPr>
            <w:tcW w:w="0" w:type="auto"/>
          </w:tcPr>
          <w:p w14:paraId="13F30CD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2912 (21.6)</w:t>
            </w:r>
          </w:p>
        </w:tc>
        <w:tc>
          <w:tcPr>
            <w:tcW w:w="0" w:type="auto"/>
          </w:tcPr>
          <w:p w14:paraId="20A412E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704 (32.9)</w:t>
            </w:r>
          </w:p>
        </w:tc>
        <w:tc>
          <w:tcPr>
            <w:tcW w:w="0" w:type="auto"/>
          </w:tcPr>
          <w:p w14:paraId="7A34F0C3"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2208 (19.4)</w:t>
            </w:r>
          </w:p>
        </w:tc>
      </w:tr>
      <w:tr w:rsidR="005C3D03" w14:paraId="5E667AE9" w14:textId="77777777" w:rsidTr="005C3D03">
        <w:tc>
          <w:tcPr>
            <w:tcW w:w="0" w:type="auto"/>
          </w:tcPr>
          <w:p w14:paraId="463D325D"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w:t>
            </w:r>
            <w:r>
              <w:rPr>
                <w:rFonts w:eastAsia="宋体" w:cs="Times New Roman"/>
                <w:color w:val="0F1115"/>
                <w:kern w:val="0"/>
                <w:sz w:val="23"/>
                <w:szCs w:val="23"/>
              </w:rPr>
              <w:t xml:space="preserve"> Have tried</w:t>
            </w:r>
          </w:p>
        </w:tc>
        <w:tc>
          <w:tcPr>
            <w:tcW w:w="0" w:type="auto"/>
          </w:tcPr>
          <w:p w14:paraId="0D4D9CC4"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484 (3.6)</w:t>
            </w:r>
          </w:p>
        </w:tc>
        <w:tc>
          <w:tcPr>
            <w:tcW w:w="0" w:type="auto"/>
          </w:tcPr>
          <w:p w14:paraId="71AE355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136 (6.3)</w:t>
            </w:r>
          </w:p>
        </w:tc>
        <w:tc>
          <w:tcPr>
            <w:tcW w:w="0" w:type="auto"/>
          </w:tcPr>
          <w:p w14:paraId="382D3D0E"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348 (3.1)</w:t>
            </w:r>
          </w:p>
        </w:tc>
      </w:tr>
      <w:tr w:rsidR="005C3D03" w14:paraId="0CAF8B2B" w14:textId="77777777" w:rsidTr="005C3D03">
        <w:tc>
          <w:tcPr>
            <w:tcW w:w="0" w:type="auto"/>
          </w:tcPr>
          <w:p w14:paraId="4D085DB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Eating attitudes test, median (IQR)</w:t>
            </w:r>
          </w:p>
        </w:tc>
        <w:tc>
          <w:tcPr>
            <w:tcW w:w="0" w:type="auto"/>
          </w:tcPr>
          <w:p w14:paraId="0F2CFBCE"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6.68 (1-9)</w:t>
            </w:r>
          </w:p>
        </w:tc>
        <w:tc>
          <w:tcPr>
            <w:tcW w:w="0" w:type="auto"/>
          </w:tcPr>
          <w:p w14:paraId="3A614A0F"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8.54 (2-12)</w:t>
            </w:r>
          </w:p>
        </w:tc>
        <w:tc>
          <w:tcPr>
            <w:tcW w:w="0" w:type="auto"/>
          </w:tcPr>
          <w:p w14:paraId="7916A5D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6.34 (1-9)</w:t>
            </w:r>
          </w:p>
        </w:tc>
      </w:tr>
      <w:tr w:rsidR="005C3D03" w14:paraId="70CC5B63" w14:textId="77777777" w:rsidTr="005C3D03">
        <w:tc>
          <w:tcPr>
            <w:tcW w:w="0" w:type="auto"/>
          </w:tcPr>
          <w:p w14:paraId="1EF8B75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Cognitive failures questionnaire, median (IQR)</w:t>
            </w:r>
          </w:p>
        </w:tc>
        <w:tc>
          <w:tcPr>
            <w:tcW w:w="0" w:type="auto"/>
          </w:tcPr>
          <w:p w14:paraId="463B7FB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58.54 (48-70)</w:t>
            </w:r>
          </w:p>
        </w:tc>
        <w:tc>
          <w:tcPr>
            <w:tcW w:w="0" w:type="auto"/>
          </w:tcPr>
          <w:p w14:paraId="59CB911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66.15 (55-76)</w:t>
            </w:r>
          </w:p>
        </w:tc>
        <w:tc>
          <w:tcPr>
            <w:tcW w:w="0" w:type="auto"/>
          </w:tcPr>
          <w:p w14:paraId="384EB11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57.11 (47-68)</w:t>
            </w:r>
          </w:p>
        </w:tc>
      </w:tr>
      <w:tr w:rsidR="005C3D03" w14:paraId="4E4FE643" w14:textId="77777777" w:rsidTr="005C3D03">
        <w:tc>
          <w:tcPr>
            <w:tcW w:w="0" w:type="auto"/>
          </w:tcPr>
          <w:p w14:paraId="2EF622B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Interaction anxiousness scale, median (IQR)</w:t>
            </w:r>
          </w:p>
        </w:tc>
        <w:tc>
          <w:tcPr>
            <w:tcW w:w="0" w:type="auto"/>
          </w:tcPr>
          <w:p w14:paraId="3BCDA91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43.20 (36-49)</w:t>
            </w:r>
          </w:p>
        </w:tc>
        <w:tc>
          <w:tcPr>
            <w:tcW w:w="0" w:type="auto"/>
          </w:tcPr>
          <w:p w14:paraId="7B0C5F24"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47.22 (40-54)</w:t>
            </w:r>
          </w:p>
        </w:tc>
        <w:tc>
          <w:tcPr>
            <w:tcW w:w="0" w:type="auto"/>
          </w:tcPr>
          <w:p w14:paraId="3746725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42.44 (36-48)</w:t>
            </w:r>
          </w:p>
        </w:tc>
      </w:tr>
      <w:tr w:rsidR="005C3D03" w14:paraId="3F3089F7" w14:textId="77777777" w:rsidTr="005C3D03">
        <w:tc>
          <w:tcPr>
            <w:tcW w:w="0" w:type="auto"/>
          </w:tcPr>
          <w:p w14:paraId="5D2C322E"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Impulsive behavior scale, median (IQR)</w:t>
            </w:r>
          </w:p>
        </w:tc>
        <w:tc>
          <w:tcPr>
            <w:tcW w:w="0" w:type="auto"/>
          </w:tcPr>
          <w:p w14:paraId="6561093C"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45.07 (41-49)</w:t>
            </w:r>
          </w:p>
        </w:tc>
        <w:tc>
          <w:tcPr>
            <w:tcW w:w="0" w:type="auto"/>
          </w:tcPr>
          <w:p w14:paraId="65D51F5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47.58 (44-52)</w:t>
            </w:r>
          </w:p>
        </w:tc>
        <w:tc>
          <w:tcPr>
            <w:tcW w:w="0" w:type="auto"/>
          </w:tcPr>
          <w:p w14:paraId="05D448D0"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44.59 (40-49)</w:t>
            </w:r>
          </w:p>
        </w:tc>
      </w:tr>
      <w:tr w:rsidR="005C3D03" w14:paraId="19202FFE" w14:textId="77777777" w:rsidTr="005C3D03">
        <w:tc>
          <w:tcPr>
            <w:tcW w:w="0" w:type="auto"/>
          </w:tcPr>
          <w:p w14:paraId="5ADBD8C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Behavioral Inhibition scale, median (IQR)</w:t>
            </w:r>
          </w:p>
        </w:tc>
        <w:tc>
          <w:tcPr>
            <w:tcW w:w="0" w:type="auto"/>
          </w:tcPr>
          <w:p w14:paraId="2DB659E7"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19.52 (18-21)</w:t>
            </w:r>
          </w:p>
        </w:tc>
        <w:tc>
          <w:tcPr>
            <w:tcW w:w="0" w:type="auto"/>
          </w:tcPr>
          <w:p w14:paraId="45B29DF1"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19.95 (19-21)</w:t>
            </w:r>
          </w:p>
        </w:tc>
        <w:tc>
          <w:tcPr>
            <w:tcW w:w="0" w:type="auto"/>
          </w:tcPr>
          <w:p w14:paraId="7F22371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19.45 (18-21)</w:t>
            </w:r>
          </w:p>
        </w:tc>
      </w:tr>
      <w:tr w:rsidR="005C3D03" w14:paraId="2F1A1BCE" w14:textId="77777777" w:rsidTr="005C3D03">
        <w:tc>
          <w:tcPr>
            <w:tcW w:w="0" w:type="auto"/>
          </w:tcPr>
          <w:p w14:paraId="3F836B5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Behavioral Activation scale, median (IQR)</w:t>
            </w:r>
          </w:p>
        </w:tc>
        <w:tc>
          <w:tcPr>
            <w:tcW w:w="0" w:type="auto"/>
          </w:tcPr>
          <w:p w14:paraId="04E8C62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36.98 (35-40)</w:t>
            </w:r>
          </w:p>
        </w:tc>
        <w:tc>
          <w:tcPr>
            <w:tcW w:w="0" w:type="auto"/>
          </w:tcPr>
          <w:p w14:paraId="156DBDF5"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37.73 (36-41)</w:t>
            </w:r>
          </w:p>
        </w:tc>
        <w:tc>
          <w:tcPr>
            <w:tcW w:w="0" w:type="auto"/>
          </w:tcPr>
          <w:p w14:paraId="343C203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36.84 (35-40)</w:t>
            </w:r>
          </w:p>
        </w:tc>
      </w:tr>
      <w:tr w:rsidR="005C3D03" w14:paraId="16232219" w14:textId="77777777" w:rsidTr="005C3D03">
        <w:tc>
          <w:tcPr>
            <w:tcW w:w="0" w:type="auto"/>
          </w:tcPr>
          <w:p w14:paraId="2D7B7B06"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Resilience scale, median (IQR)</w:t>
            </w:r>
          </w:p>
        </w:tc>
        <w:tc>
          <w:tcPr>
            <w:tcW w:w="0" w:type="auto"/>
          </w:tcPr>
          <w:p w14:paraId="0EEB074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51.56 (42-61)</w:t>
            </w:r>
          </w:p>
        </w:tc>
        <w:tc>
          <w:tcPr>
            <w:tcW w:w="0" w:type="auto"/>
          </w:tcPr>
          <w:p w14:paraId="28FF77AB"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48.01 (39-55)</w:t>
            </w:r>
          </w:p>
        </w:tc>
        <w:tc>
          <w:tcPr>
            <w:tcW w:w="0" w:type="auto"/>
          </w:tcPr>
          <w:p w14:paraId="36474A42"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52.22 (43-62)</w:t>
            </w:r>
          </w:p>
        </w:tc>
      </w:tr>
      <w:tr w:rsidR="005C3D03" w14:paraId="64C09E25" w14:textId="77777777" w:rsidTr="005C3D03">
        <w:tc>
          <w:tcPr>
            <w:tcW w:w="0" w:type="auto"/>
            <w:tcBorders>
              <w:bottom w:val="single" w:sz="12" w:space="0" w:color="auto"/>
            </w:tcBorders>
          </w:tcPr>
          <w:p w14:paraId="2686DBBA"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b/>
                <w:bCs/>
                <w:color w:val="0F1115"/>
                <w:kern w:val="0"/>
                <w:sz w:val="23"/>
                <w:szCs w:val="23"/>
              </w:rPr>
              <w:t xml:space="preserve">Adverse Childhood Experiences, </w:t>
            </w:r>
            <w:r>
              <w:rPr>
                <w:rFonts w:eastAsia="宋体" w:cs="Times New Roman"/>
                <w:b/>
                <w:bCs/>
                <w:color w:val="0F1115"/>
                <w:kern w:val="0"/>
                <w:sz w:val="23"/>
                <w:szCs w:val="23"/>
              </w:rPr>
              <w:lastRenderedPageBreak/>
              <w:t>median (IQR)</w:t>
            </w:r>
          </w:p>
        </w:tc>
        <w:tc>
          <w:tcPr>
            <w:tcW w:w="0" w:type="auto"/>
            <w:tcBorders>
              <w:bottom w:val="single" w:sz="12" w:space="0" w:color="auto"/>
            </w:tcBorders>
          </w:tcPr>
          <w:p w14:paraId="4E96F049"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lastRenderedPageBreak/>
              <w:t>41.38 (40-44)</w:t>
            </w:r>
          </w:p>
        </w:tc>
        <w:tc>
          <w:tcPr>
            <w:tcW w:w="0" w:type="auto"/>
            <w:tcBorders>
              <w:bottom w:val="single" w:sz="12" w:space="0" w:color="auto"/>
            </w:tcBorders>
          </w:tcPr>
          <w:p w14:paraId="30859CA3"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t xml:space="preserve">40.27 </w:t>
            </w:r>
            <w:r>
              <w:rPr>
                <w:rFonts w:eastAsia="宋体" w:cs="Times New Roman"/>
                <w:color w:val="0F1115"/>
                <w:kern w:val="0"/>
                <w:sz w:val="23"/>
                <w:szCs w:val="23"/>
              </w:rPr>
              <w:lastRenderedPageBreak/>
              <w:t>(38-44)</w:t>
            </w:r>
          </w:p>
        </w:tc>
        <w:tc>
          <w:tcPr>
            <w:tcW w:w="0" w:type="auto"/>
            <w:tcBorders>
              <w:bottom w:val="single" w:sz="12" w:space="0" w:color="auto"/>
            </w:tcBorders>
          </w:tcPr>
          <w:p w14:paraId="477CCCD8" w14:textId="77777777" w:rsidR="005C3D03" w:rsidRDefault="006A0E05">
            <w:pPr>
              <w:widowControl/>
              <w:spacing w:line="480" w:lineRule="auto"/>
              <w:jc w:val="left"/>
              <w:rPr>
                <w:rFonts w:eastAsia="宋体" w:cs="Times New Roman"/>
                <w:color w:val="0F1115"/>
                <w:kern w:val="0"/>
                <w:sz w:val="23"/>
                <w:szCs w:val="23"/>
              </w:rPr>
            </w:pPr>
            <w:r>
              <w:rPr>
                <w:rFonts w:eastAsia="宋体" w:cs="Times New Roman"/>
                <w:color w:val="0F1115"/>
                <w:kern w:val="0"/>
                <w:sz w:val="23"/>
                <w:szCs w:val="23"/>
              </w:rPr>
              <w:lastRenderedPageBreak/>
              <w:t>41.60 (40-44)</w:t>
            </w:r>
          </w:p>
        </w:tc>
      </w:tr>
    </w:tbl>
    <w:p w14:paraId="44AF6051" w14:textId="77777777" w:rsidR="005C3D03" w:rsidRDefault="006A0E05">
      <w:pPr>
        <w:spacing w:line="480" w:lineRule="auto"/>
      </w:pPr>
      <w:r>
        <w:rPr>
          <w:rFonts w:hint="eastAsia"/>
        </w:rPr>
        <w:t>Note. IQR: interquartile range</w:t>
      </w:r>
    </w:p>
    <w:p w14:paraId="51E141AA" w14:textId="77777777" w:rsidR="005C3D03" w:rsidRDefault="006A0E05">
      <w:pPr>
        <w:spacing w:line="480" w:lineRule="auto"/>
      </w:pPr>
      <w:r>
        <w:br w:type="page"/>
      </w:r>
    </w:p>
    <w:p w14:paraId="3E150D18" w14:textId="77777777" w:rsidR="005C3D03" w:rsidRPr="001573F5" w:rsidRDefault="006A0E05" w:rsidP="001573F5">
      <w:pPr>
        <w:pStyle w:val="2"/>
        <w:spacing w:line="480" w:lineRule="auto"/>
        <w:rPr>
          <w:rFonts w:ascii="Times New Roman" w:eastAsia="黑体" w:hAnsi="Times New Roman" w:cs="Times New Roman"/>
          <w:bCs w:val="0"/>
          <w:szCs w:val="24"/>
        </w:rPr>
      </w:pPr>
      <w:r w:rsidRPr="001573F5">
        <w:rPr>
          <w:rFonts w:ascii="Times New Roman" w:eastAsia="黑体" w:hAnsi="Times New Roman" w:cs="Times New Roman" w:hint="eastAsia"/>
          <w:bCs w:val="0"/>
          <w:szCs w:val="24"/>
        </w:rPr>
        <w:lastRenderedPageBreak/>
        <w:t xml:space="preserve">Supplementary Material S3: </w:t>
      </w:r>
      <w:r w:rsidRPr="001573F5">
        <w:rPr>
          <w:rFonts w:ascii="Times New Roman" w:eastAsia="黑体" w:hAnsi="Times New Roman" w:cs="Times New Roman"/>
          <w:bCs w:val="0"/>
          <w:szCs w:val="24"/>
        </w:rPr>
        <w:t xml:space="preserve">Model </w:t>
      </w:r>
      <w:r w:rsidRPr="001573F5">
        <w:rPr>
          <w:rFonts w:ascii="Times New Roman" w:eastAsia="黑体" w:hAnsi="Times New Roman" w:cs="Times New Roman" w:hint="eastAsia"/>
          <w:bCs w:val="0"/>
          <w:szCs w:val="24"/>
        </w:rPr>
        <w:t>f</w:t>
      </w:r>
      <w:r w:rsidRPr="001573F5">
        <w:rPr>
          <w:rFonts w:ascii="Times New Roman" w:eastAsia="黑体" w:hAnsi="Times New Roman" w:cs="Times New Roman"/>
          <w:bCs w:val="0"/>
          <w:szCs w:val="24"/>
        </w:rPr>
        <w:t xml:space="preserve">it </w:t>
      </w:r>
      <w:r w:rsidRPr="001573F5">
        <w:rPr>
          <w:rFonts w:ascii="Times New Roman" w:eastAsia="黑体" w:hAnsi="Times New Roman" w:cs="Times New Roman" w:hint="eastAsia"/>
          <w:bCs w:val="0"/>
          <w:szCs w:val="24"/>
        </w:rPr>
        <w:t>i</w:t>
      </w:r>
      <w:r w:rsidRPr="001573F5">
        <w:rPr>
          <w:rFonts w:ascii="Times New Roman" w:eastAsia="黑体" w:hAnsi="Times New Roman" w:cs="Times New Roman"/>
          <w:bCs w:val="0"/>
          <w:szCs w:val="24"/>
        </w:rPr>
        <w:t xml:space="preserve">ndices for the </w:t>
      </w:r>
      <w:r w:rsidRPr="001573F5">
        <w:rPr>
          <w:rFonts w:ascii="Times New Roman" w:eastAsia="黑体" w:hAnsi="Times New Roman" w:cs="Times New Roman" w:hint="eastAsia"/>
          <w:bCs w:val="0"/>
          <w:szCs w:val="24"/>
        </w:rPr>
        <w:t>l</w:t>
      </w:r>
      <w:r w:rsidRPr="001573F5">
        <w:rPr>
          <w:rFonts w:ascii="Times New Roman" w:eastAsia="黑体" w:hAnsi="Times New Roman" w:cs="Times New Roman"/>
          <w:bCs w:val="0"/>
          <w:szCs w:val="24"/>
        </w:rPr>
        <w:t xml:space="preserve">atent </w:t>
      </w:r>
      <w:r w:rsidRPr="001573F5">
        <w:rPr>
          <w:rFonts w:ascii="Times New Roman" w:eastAsia="黑体" w:hAnsi="Times New Roman" w:cs="Times New Roman" w:hint="eastAsia"/>
          <w:bCs w:val="0"/>
          <w:szCs w:val="24"/>
        </w:rPr>
        <w:t>p</w:t>
      </w:r>
      <w:r w:rsidRPr="001573F5">
        <w:rPr>
          <w:rFonts w:ascii="Times New Roman" w:eastAsia="黑体" w:hAnsi="Times New Roman" w:cs="Times New Roman"/>
          <w:bCs w:val="0"/>
          <w:szCs w:val="24"/>
        </w:rPr>
        <w:t xml:space="preserve">rofile </w:t>
      </w:r>
      <w:r w:rsidRPr="001573F5">
        <w:rPr>
          <w:rFonts w:ascii="Times New Roman" w:eastAsia="黑体" w:hAnsi="Times New Roman" w:cs="Times New Roman" w:hint="eastAsia"/>
          <w:bCs w:val="0"/>
          <w:szCs w:val="24"/>
        </w:rPr>
        <w:t>a</w:t>
      </w:r>
      <w:r w:rsidRPr="001573F5">
        <w:rPr>
          <w:rFonts w:ascii="Times New Roman" w:eastAsia="黑体" w:hAnsi="Times New Roman" w:cs="Times New Roman"/>
          <w:bCs w:val="0"/>
          <w:szCs w:val="24"/>
        </w:rPr>
        <w:t>nalysis</w:t>
      </w:r>
    </w:p>
    <w:p w14:paraId="30E6E0F3" w14:textId="6A73D71C" w:rsidR="005C3D03" w:rsidRDefault="006A0E05">
      <w:pPr>
        <w:spacing w:line="480" w:lineRule="auto"/>
      </w:pPr>
      <w:r>
        <w:rPr>
          <w:rFonts w:hint="eastAsia"/>
        </w:rPr>
        <w:t xml:space="preserve">Supplementary Table </w:t>
      </w:r>
      <w:r w:rsidR="001F4A34">
        <w:t>2</w:t>
      </w:r>
      <w:r>
        <w:rPr>
          <w:rFonts w:hint="eastAsia"/>
        </w:rPr>
        <w:t xml:space="preserve">: </w:t>
      </w:r>
      <w:r>
        <w:t xml:space="preserve">Model </w:t>
      </w:r>
      <w:r>
        <w:rPr>
          <w:rFonts w:hint="eastAsia"/>
        </w:rPr>
        <w:t>f</w:t>
      </w:r>
      <w:r>
        <w:t xml:space="preserve">it </w:t>
      </w:r>
      <w:r>
        <w:rPr>
          <w:rFonts w:hint="eastAsia"/>
        </w:rPr>
        <w:t>i</w:t>
      </w:r>
      <w:r>
        <w:t xml:space="preserve">ndices for </w:t>
      </w:r>
      <w:r>
        <w:rPr>
          <w:rFonts w:hint="eastAsia"/>
        </w:rPr>
        <w:t>l</w:t>
      </w:r>
      <w:r>
        <w:t xml:space="preserve">atent </w:t>
      </w:r>
      <w:r>
        <w:rPr>
          <w:rFonts w:hint="eastAsia"/>
        </w:rPr>
        <w:t>p</w:t>
      </w:r>
      <w:r>
        <w:t xml:space="preserve">rofile </w:t>
      </w:r>
      <w:r>
        <w:rPr>
          <w:rFonts w:hint="eastAsia"/>
        </w:rPr>
        <w:t>a</w:t>
      </w:r>
      <w:r>
        <w:t xml:space="preserve">nalysis of IGD </w:t>
      </w:r>
      <w:r>
        <w:rPr>
          <w:rFonts w:hint="eastAsia"/>
        </w:rPr>
        <w:t>r</w:t>
      </w:r>
      <w:r>
        <w:t xml:space="preserve">isk </w:t>
      </w:r>
      <w:r>
        <w:rPr>
          <w:rFonts w:hint="eastAsia"/>
        </w:rPr>
        <w:t>g</w:t>
      </w:r>
      <w:r>
        <w:t>roups</w:t>
      </w:r>
    </w:p>
    <w:tbl>
      <w:tblPr>
        <w:tblStyle w:val="a8"/>
        <w:tblW w:w="10383" w:type="dxa"/>
        <w:jc w:val="center"/>
        <w:tblLayout w:type="fixed"/>
        <w:tblLook w:val="04A0" w:firstRow="1" w:lastRow="0" w:firstColumn="1" w:lastColumn="0" w:noHBand="0" w:noVBand="1"/>
      </w:tblPr>
      <w:tblGrid>
        <w:gridCol w:w="2076"/>
        <w:gridCol w:w="2076"/>
        <w:gridCol w:w="2077"/>
        <w:gridCol w:w="2077"/>
        <w:gridCol w:w="2077"/>
      </w:tblGrid>
      <w:tr w:rsidR="005C3D03" w14:paraId="2597EC7D" w14:textId="77777777">
        <w:trPr>
          <w:jc w:val="center"/>
        </w:trPr>
        <w:tc>
          <w:tcPr>
            <w:tcW w:w="2076" w:type="dxa"/>
            <w:vMerge w:val="restart"/>
            <w:tcBorders>
              <w:top w:val="single" w:sz="12" w:space="0" w:color="000000"/>
              <w:left w:val="nil"/>
              <w:bottom w:val="single" w:sz="4" w:space="0" w:color="000000"/>
              <w:right w:val="nil"/>
            </w:tcBorders>
            <w:shd w:val="clear" w:color="auto" w:fill="FFFFFF"/>
            <w:vAlign w:val="center"/>
          </w:tcPr>
          <w:p w14:paraId="6780DE79" w14:textId="77777777" w:rsidR="005C3D03" w:rsidRDefault="006A0E05">
            <w:pPr>
              <w:spacing w:line="480" w:lineRule="auto"/>
              <w:jc w:val="center"/>
              <w:rPr>
                <w:rFonts w:ascii="Cambria" w:eastAsia="宋体" w:hAnsi="Cambria" w:cs="Cambria"/>
                <w:color w:val="000000"/>
                <w:szCs w:val="22"/>
                <w:shd w:val="clear" w:color="auto" w:fill="FFFFFF"/>
              </w:rPr>
            </w:pPr>
            <w:r>
              <w:rPr>
                <w:rFonts w:hint="eastAsia"/>
              </w:rPr>
              <w:t>Fit index</w:t>
            </w:r>
          </w:p>
        </w:tc>
        <w:tc>
          <w:tcPr>
            <w:tcW w:w="8307" w:type="dxa"/>
            <w:gridSpan w:val="4"/>
            <w:tcBorders>
              <w:top w:val="single" w:sz="12" w:space="0" w:color="000000"/>
              <w:left w:val="nil"/>
              <w:bottom w:val="single" w:sz="4" w:space="0" w:color="000000"/>
              <w:right w:val="nil"/>
            </w:tcBorders>
            <w:shd w:val="clear" w:color="auto" w:fill="FFFFFF"/>
            <w:vAlign w:val="center"/>
          </w:tcPr>
          <w:p w14:paraId="07717608"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Number of Latent Profiles</w:t>
            </w:r>
          </w:p>
        </w:tc>
      </w:tr>
      <w:tr w:rsidR="005C3D03" w14:paraId="6039187A" w14:textId="77777777">
        <w:trPr>
          <w:jc w:val="center"/>
        </w:trPr>
        <w:tc>
          <w:tcPr>
            <w:tcW w:w="2076" w:type="dxa"/>
            <w:vMerge/>
            <w:tcBorders>
              <w:top w:val="single" w:sz="4" w:space="0" w:color="000000"/>
              <w:left w:val="nil"/>
              <w:bottom w:val="single" w:sz="12" w:space="0" w:color="000000"/>
              <w:right w:val="nil"/>
            </w:tcBorders>
            <w:shd w:val="clear" w:color="auto" w:fill="FFFFFF"/>
            <w:vAlign w:val="center"/>
          </w:tcPr>
          <w:p w14:paraId="79E2BB20" w14:textId="77777777" w:rsidR="005C3D03" w:rsidRDefault="005C3D03">
            <w:pPr>
              <w:widowControl/>
              <w:spacing w:before="225" w:afterAutospacing="1" w:line="480" w:lineRule="auto"/>
              <w:jc w:val="center"/>
              <w:rPr>
                <w:rFonts w:ascii="Cambria" w:eastAsia="宋体" w:hAnsi="Cambria" w:cs="Cambria"/>
                <w:color w:val="000000"/>
                <w:sz w:val="22"/>
                <w:szCs w:val="22"/>
                <w:shd w:val="clear" w:color="auto" w:fill="FFFFFF"/>
                <w:lang w:eastAsia="zh"/>
              </w:rPr>
            </w:pPr>
          </w:p>
        </w:tc>
        <w:tc>
          <w:tcPr>
            <w:tcW w:w="2076" w:type="dxa"/>
            <w:tcBorders>
              <w:top w:val="single" w:sz="4" w:space="0" w:color="000000"/>
              <w:left w:val="nil"/>
              <w:bottom w:val="single" w:sz="12" w:space="0" w:color="000000"/>
              <w:right w:val="nil"/>
            </w:tcBorders>
            <w:shd w:val="clear" w:color="auto" w:fill="FFFFFF"/>
            <w:vAlign w:val="center"/>
          </w:tcPr>
          <w:p w14:paraId="71A5EA6E"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2</w:t>
            </w:r>
          </w:p>
        </w:tc>
        <w:tc>
          <w:tcPr>
            <w:tcW w:w="2077" w:type="dxa"/>
            <w:tcBorders>
              <w:top w:val="single" w:sz="4" w:space="0" w:color="000000"/>
              <w:left w:val="nil"/>
              <w:bottom w:val="single" w:sz="12" w:space="0" w:color="000000"/>
              <w:right w:val="nil"/>
            </w:tcBorders>
            <w:shd w:val="clear" w:color="auto" w:fill="FFFFFF"/>
            <w:vAlign w:val="center"/>
          </w:tcPr>
          <w:p w14:paraId="7D58EBF1"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3</w:t>
            </w:r>
          </w:p>
        </w:tc>
        <w:tc>
          <w:tcPr>
            <w:tcW w:w="2077" w:type="dxa"/>
            <w:tcBorders>
              <w:top w:val="single" w:sz="4" w:space="0" w:color="000000"/>
              <w:left w:val="nil"/>
              <w:bottom w:val="single" w:sz="12" w:space="0" w:color="000000"/>
              <w:right w:val="nil"/>
            </w:tcBorders>
            <w:shd w:val="clear" w:color="auto" w:fill="FFFFFF"/>
            <w:vAlign w:val="center"/>
          </w:tcPr>
          <w:p w14:paraId="3D86AE9C"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4</w:t>
            </w:r>
          </w:p>
        </w:tc>
        <w:tc>
          <w:tcPr>
            <w:tcW w:w="2077" w:type="dxa"/>
            <w:tcBorders>
              <w:top w:val="single" w:sz="4" w:space="0" w:color="000000"/>
              <w:left w:val="nil"/>
              <w:bottom w:val="single" w:sz="12" w:space="0" w:color="000000"/>
              <w:right w:val="nil"/>
            </w:tcBorders>
            <w:shd w:val="clear" w:color="auto" w:fill="FFFFFF"/>
            <w:vAlign w:val="center"/>
          </w:tcPr>
          <w:p w14:paraId="15E2EE6F"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5</w:t>
            </w:r>
          </w:p>
        </w:tc>
      </w:tr>
      <w:tr w:rsidR="005C3D03" w14:paraId="737B052E" w14:textId="77777777">
        <w:trPr>
          <w:jc w:val="center"/>
        </w:trPr>
        <w:tc>
          <w:tcPr>
            <w:tcW w:w="2076" w:type="dxa"/>
            <w:tcBorders>
              <w:top w:val="single" w:sz="12" w:space="0" w:color="000000"/>
              <w:left w:val="nil"/>
              <w:bottom w:val="nil"/>
              <w:right w:val="nil"/>
            </w:tcBorders>
            <w:shd w:val="clear" w:color="auto" w:fill="FFFFFF"/>
            <w:vAlign w:val="center"/>
          </w:tcPr>
          <w:p w14:paraId="7BBD8C2F"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BIC</w:t>
            </w:r>
          </w:p>
        </w:tc>
        <w:tc>
          <w:tcPr>
            <w:tcW w:w="2076" w:type="dxa"/>
            <w:tcBorders>
              <w:top w:val="single" w:sz="12" w:space="0" w:color="000000"/>
              <w:left w:val="nil"/>
              <w:bottom w:val="nil"/>
              <w:right w:val="nil"/>
            </w:tcBorders>
            <w:shd w:val="clear" w:color="auto" w:fill="FFFFFF"/>
            <w:vAlign w:val="center"/>
          </w:tcPr>
          <w:p w14:paraId="0DA29538"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119495.4</w:t>
            </w:r>
          </w:p>
        </w:tc>
        <w:tc>
          <w:tcPr>
            <w:tcW w:w="2077" w:type="dxa"/>
            <w:tcBorders>
              <w:top w:val="single" w:sz="12" w:space="0" w:color="000000"/>
              <w:left w:val="nil"/>
              <w:bottom w:val="nil"/>
              <w:right w:val="nil"/>
            </w:tcBorders>
            <w:shd w:val="clear" w:color="auto" w:fill="FFFFFF"/>
            <w:vAlign w:val="center"/>
          </w:tcPr>
          <w:p w14:paraId="58D116FE"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116586.1</w:t>
            </w:r>
          </w:p>
        </w:tc>
        <w:tc>
          <w:tcPr>
            <w:tcW w:w="2077" w:type="dxa"/>
            <w:tcBorders>
              <w:top w:val="single" w:sz="12" w:space="0" w:color="000000"/>
              <w:left w:val="nil"/>
              <w:bottom w:val="nil"/>
              <w:right w:val="nil"/>
            </w:tcBorders>
            <w:shd w:val="clear" w:color="auto" w:fill="FFFFFF"/>
            <w:vAlign w:val="center"/>
          </w:tcPr>
          <w:p w14:paraId="5154F7B2"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115962.5</w:t>
            </w:r>
          </w:p>
        </w:tc>
        <w:tc>
          <w:tcPr>
            <w:tcW w:w="2077" w:type="dxa"/>
            <w:tcBorders>
              <w:top w:val="single" w:sz="12" w:space="0" w:color="000000"/>
              <w:left w:val="nil"/>
              <w:bottom w:val="nil"/>
              <w:right w:val="nil"/>
            </w:tcBorders>
            <w:shd w:val="clear" w:color="auto" w:fill="FFFFFF"/>
            <w:vAlign w:val="center"/>
          </w:tcPr>
          <w:p w14:paraId="12C71AC1"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115580.2</w:t>
            </w:r>
          </w:p>
        </w:tc>
      </w:tr>
      <w:tr w:rsidR="005C3D03" w14:paraId="5E1460D2" w14:textId="77777777">
        <w:trPr>
          <w:jc w:val="center"/>
        </w:trPr>
        <w:tc>
          <w:tcPr>
            <w:tcW w:w="2076" w:type="dxa"/>
            <w:tcBorders>
              <w:top w:val="nil"/>
              <w:left w:val="nil"/>
              <w:bottom w:val="nil"/>
              <w:right w:val="nil"/>
            </w:tcBorders>
            <w:shd w:val="clear" w:color="auto" w:fill="FFFFFF"/>
            <w:vAlign w:val="center"/>
          </w:tcPr>
          <w:p w14:paraId="3201F753"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ICL</w:t>
            </w:r>
          </w:p>
        </w:tc>
        <w:tc>
          <w:tcPr>
            <w:tcW w:w="2076" w:type="dxa"/>
            <w:tcBorders>
              <w:top w:val="nil"/>
              <w:left w:val="nil"/>
              <w:bottom w:val="nil"/>
              <w:right w:val="nil"/>
            </w:tcBorders>
            <w:shd w:val="clear" w:color="auto" w:fill="FFFFFF"/>
            <w:vAlign w:val="center"/>
          </w:tcPr>
          <w:p w14:paraId="5C817C02"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119597.3</w:t>
            </w:r>
          </w:p>
        </w:tc>
        <w:tc>
          <w:tcPr>
            <w:tcW w:w="2077" w:type="dxa"/>
            <w:tcBorders>
              <w:top w:val="nil"/>
              <w:left w:val="nil"/>
              <w:bottom w:val="nil"/>
              <w:right w:val="nil"/>
            </w:tcBorders>
            <w:shd w:val="clear" w:color="auto" w:fill="FFFFFF"/>
            <w:vAlign w:val="center"/>
          </w:tcPr>
          <w:p w14:paraId="2026EA7E"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117444.5</w:t>
            </w:r>
          </w:p>
        </w:tc>
        <w:tc>
          <w:tcPr>
            <w:tcW w:w="2077" w:type="dxa"/>
            <w:tcBorders>
              <w:top w:val="nil"/>
              <w:left w:val="nil"/>
              <w:bottom w:val="nil"/>
              <w:right w:val="nil"/>
            </w:tcBorders>
            <w:shd w:val="clear" w:color="auto" w:fill="FFFFFF"/>
            <w:vAlign w:val="center"/>
          </w:tcPr>
          <w:p w14:paraId="4B9D2491"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116667.9</w:t>
            </w:r>
          </w:p>
        </w:tc>
        <w:tc>
          <w:tcPr>
            <w:tcW w:w="2077" w:type="dxa"/>
            <w:tcBorders>
              <w:top w:val="nil"/>
              <w:left w:val="nil"/>
              <w:bottom w:val="nil"/>
              <w:right w:val="nil"/>
            </w:tcBorders>
            <w:shd w:val="clear" w:color="auto" w:fill="FFFFFF"/>
            <w:vAlign w:val="center"/>
          </w:tcPr>
          <w:p w14:paraId="5CCF04A1"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116534.1</w:t>
            </w:r>
          </w:p>
        </w:tc>
      </w:tr>
      <w:tr w:rsidR="005C3D03" w14:paraId="62218629" w14:textId="77777777">
        <w:trPr>
          <w:jc w:val="center"/>
        </w:trPr>
        <w:tc>
          <w:tcPr>
            <w:tcW w:w="2076" w:type="dxa"/>
            <w:tcBorders>
              <w:top w:val="nil"/>
              <w:left w:val="nil"/>
              <w:bottom w:val="nil"/>
              <w:right w:val="nil"/>
            </w:tcBorders>
            <w:shd w:val="clear" w:color="auto" w:fill="FFFFFF"/>
            <w:vAlign w:val="center"/>
          </w:tcPr>
          <w:p w14:paraId="743CB8A6"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AIC</w:t>
            </w:r>
          </w:p>
        </w:tc>
        <w:tc>
          <w:tcPr>
            <w:tcW w:w="2076" w:type="dxa"/>
            <w:tcBorders>
              <w:top w:val="nil"/>
              <w:left w:val="nil"/>
              <w:bottom w:val="nil"/>
              <w:right w:val="nil"/>
            </w:tcBorders>
            <w:shd w:val="clear" w:color="auto" w:fill="FFFFFF"/>
            <w:vAlign w:val="center"/>
          </w:tcPr>
          <w:p w14:paraId="2E01A955"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115720.3</w:t>
            </w:r>
          </w:p>
        </w:tc>
        <w:tc>
          <w:tcPr>
            <w:tcW w:w="2077" w:type="dxa"/>
            <w:tcBorders>
              <w:top w:val="nil"/>
              <w:left w:val="nil"/>
              <w:bottom w:val="nil"/>
              <w:right w:val="nil"/>
            </w:tcBorders>
            <w:shd w:val="clear" w:color="auto" w:fill="FFFFFF"/>
            <w:vAlign w:val="center"/>
          </w:tcPr>
          <w:p w14:paraId="77F18BE3"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111506.6</w:t>
            </w:r>
          </w:p>
        </w:tc>
        <w:tc>
          <w:tcPr>
            <w:tcW w:w="2077" w:type="dxa"/>
            <w:tcBorders>
              <w:top w:val="nil"/>
              <w:left w:val="nil"/>
              <w:bottom w:val="nil"/>
              <w:right w:val="nil"/>
            </w:tcBorders>
            <w:shd w:val="clear" w:color="auto" w:fill="FFFFFF"/>
            <w:vAlign w:val="center"/>
          </w:tcPr>
          <w:p w14:paraId="531E3811"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109.155.8</w:t>
            </w:r>
          </w:p>
        </w:tc>
        <w:tc>
          <w:tcPr>
            <w:tcW w:w="2077" w:type="dxa"/>
            <w:tcBorders>
              <w:top w:val="nil"/>
              <w:left w:val="nil"/>
              <w:bottom w:val="nil"/>
              <w:right w:val="nil"/>
            </w:tcBorders>
            <w:shd w:val="clear" w:color="auto" w:fill="FFFFFF"/>
            <w:vAlign w:val="center"/>
          </w:tcPr>
          <w:p w14:paraId="4DBDDD73"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107143.1</w:t>
            </w:r>
          </w:p>
        </w:tc>
      </w:tr>
      <w:tr w:rsidR="005C3D03" w14:paraId="2AAF0D4F" w14:textId="77777777">
        <w:trPr>
          <w:jc w:val="center"/>
        </w:trPr>
        <w:tc>
          <w:tcPr>
            <w:tcW w:w="2076" w:type="dxa"/>
            <w:tcBorders>
              <w:top w:val="nil"/>
              <w:left w:val="nil"/>
              <w:bottom w:val="single" w:sz="12" w:space="0" w:color="000000"/>
              <w:right w:val="nil"/>
            </w:tcBorders>
            <w:shd w:val="clear" w:color="auto" w:fill="FFFFFF"/>
            <w:vAlign w:val="center"/>
          </w:tcPr>
          <w:p w14:paraId="5006969A"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LMRT</w:t>
            </w:r>
          </w:p>
        </w:tc>
        <w:tc>
          <w:tcPr>
            <w:tcW w:w="2076" w:type="dxa"/>
            <w:tcBorders>
              <w:top w:val="nil"/>
              <w:left w:val="nil"/>
              <w:bottom w:val="single" w:sz="12" w:space="0" w:color="000000"/>
              <w:right w:val="nil"/>
            </w:tcBorders>
            <w:shd w:val="clear" w:color="auto" w:fill="FFFFFF"/>
            <w:vAlign w:val="center"/>
          </w:tcPr>
          <w:p w14:paraId="171DBE46"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0.001</w:t>
            </w:r>
          </w:p>
        </w:tc>
        <w:tc>
          <w:tcPr>
            <w:tcW w:w="2077" w:type="dxa"/>
            <w:tcBorders>
              <w:top w:val="nil"/>
              <w:left w:val="nil"/>
              <w:bottom w:val="single" w:sz="12" w:space="0" w:color="000000"/>
              <w:right w:val="nil"/>
            </w:tcBorders>
            <w:shd w:val="clear" w:color="auto" w:fill="FFFFFF"/>
            <w:vAlign w:val="center"/>
          </w:tcPr>
          <w:p w14:paraId="0DE025B9"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0.001</w:t>
            </w:r>
          </w:p>
        </w:tc>
        <w:tc>
          <w:tcPr>
            <w:tcW w:w="2077" w:type="dxa"/>
            <w:tcBorders>
              <w:top w:val="nil"/>
              <w:left w:val="nil"/>
              <w:bottom w:val="single" w:sz="12" w:space="0" w:color="000000"/>
              <w:right w:val="nil"/>
            </w:tcBorders>
            <w:shd w:val="clear" w:color="auto" w:fill="FFFFFF"/>
            <w:vAlign w:val="center"/>
          </w:tcPr>
          <w:p w14:paraId="6E15C38E"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0.001</w:t>
            </w:r>
          </w:p>
        </w:tc>
        <w:tc>
          <w:tcPr>
            <w:tcW w:w="2077" w:type="dxa"/>
            <w:tcBorders>
              <w:top w:val="nil"/>
              <w:left w:val="nil"/>
              <w:bottom w:val="single" w:sz="12" w:space="0" w:color="000000"/>
              <w:right w:val="nil"/>
            </w:tcBorders>
            <w:shd w:val="clear" w:color="auto" w:fill="FFFFFF"/>
            <w:vAlign w:val="center"/>
          </w:tcPr>
          <w:p w14:paraId="0894E1C9" w14:textId="77777777" w:rsidR="005C3D03" w:rsidRDefault="006A0E05">
            <w:pPr>
              <w:spacing w:line="480" w:lineRule="auto"/>
              <w:jc w:val="center"/>
              <w:rPr>
                <w:rFonts w:ascii="Cambria" w:eastAsia="宋体" w:hAnsi="Cambria" w:cs="Cambria"/>
                <w:color w:val="000000"/>
                <w:szCs w:val="22"/>
                <w:shd w:val="clear" w:color="auto" w:fill="FFFFFF"/>
                <w:lang w:eastAsia="zh"/>
              </w:rPr>
            </w:pPr>
            <w:r>
              <w:rPr>
                <w:rFonts w:hint="eastAsia"/>
                <w:lang w:eastAsia="zh"/>
              </w:rPr>
              <w:t>0.001</w:t>
            </w:r>
          </w:p>
        </w:tc>
      </w:tr>
    </w:tbl>
    <w:p w14:paraId="2542F0F6" w14:textId="77777777" w:rsidR="005C3D03" w:rsidRDefault="006A0E05">
      <w:pPr>
        <w:spacing w:line="480" w:lineRule="auto"/>
        <w:jc w:val="center"/>
        <w:rPr>
          <w:lang w:eastAsia="zh"/>
        </w:rPr>
      </w:pPr>
      <w:r>
        <w:rPr>
          <w:rFonts w:hint="eastAsia"/>
          <w:lang w:eastAsia="zh"/>
        </w:rPr>
        <w:t>Note. BIC: Bayesian Information Criterion; ICL: Integrated Completed Likelihood; AIC: Akaike Information Criterion; LMRT: Lo-</w:t>
      </w:r>
      <w:proofErr w:type="spellStart"/>
      <w:r>
        <w:rPr>
          <w:rFonts w:hint="eastAsia"/>
          <w:lang w:eastAsia="zh"/>
        </w:rPr>
        <w:t>Mendell</w:t>
      </w:r>
      <w:proofErr w:type="spellEnd"/>
      <w:r>
        <w:rPr>
          <w:rFonts w:hint="eastAsia"/>
          <w:lang w:eastAsia="zh"/>
        </w:rPr>
        <w:t>-Rubin Likelihood Ratio Test.</w:t>
      </w:r>
    </w:p>
    <w:p w14:paraId="5968410A" w14:textId="77777777" w:rsidR="005C3D03" w:rsidRDefault="006A0E05">
      <w:pPr>
        <w:spacing w:line="480" w:lineRule="auto"/>
        <w:rPr>
          <w:lang w:eastAsia="zh"/>
        </w:rPr>
      </w:pPr>
      <w:r>
        <w:rPr>
          <w:rFonts w:hint="eastAsia"/>
          <w:lang w:eastAsia="zh"/>
        </w:rPr>
        <w:br w:type="page"/>
      </w:r>
    </w:p>
    <w:p w14:paraId="7FB35760" w14:textId="77777777" w:rsidR="005C3D03" w:rsidRPr="001573F5" w:rsidRDefault="006A0E05" w:rsidP="001573F5">
      <w:pPr>
        <w:pStyle w:val="2"/>
        <w:spacing w:line="480" w:lineRule="auto"/>
        <w:rPr>
          <w:rFonts w:ascii="Times New Roman" w:eastAsia="黑体" w:hAnsi="Times New Roman" w:cs="Times New Roman"/>
          <w:bCs w:val="0"/>
          <w:szCs w:val="24"/>
        </w:rPr>
      </w:pPr>
      <w:r w:rsidRPr="001573F5">
        <w:rPr>
          <w:rFonts w:ascii="Times New Roman" w:eastAsia="黑体" w:hAnsi="Times New Roman" w:cs="Times New Roman" w:hint="eastAsia"/>
          <w:bCs w:val="0"/>
          <w:szCs w:val="24"/>
        </w:rPr>
        <w:lastRenderedPageBreak/>
        <w:t>Supplementary Material S4: Discriminative Features for Profile Identification</w:t>
      </w:r>
    </w:p>
    <w:p w14:paraId="7219A81B" w14:textId="77777777" w:rsidR="005C3D03" w:rsidRDefault="005C3D03">
      <w:pPr>
        <w:spacing w:line="480" w:lineRule="auto"/>
        <w:rPr>
          <w:lang w:eastAsia="zh"/>
        </w:rPr>
      </w:pPr>
    </w:p>
    <w:p w14:paraId="2F8A4FD9" w14:textId="77777777" w:rsidR="005C3D03" w:rsidRDefault="006A0E05">
      <w:pPr>
        <w:spacing w:line="480" w:lineRule="auto"/>
        <w:rPr>
          <w:lang w:eastAsia="zh"/>
        </w:rPr>
      </w:pPr>
      <w:r>
        <w:rPr>
          <w:lang w:eastAsia="zh"/>
        </w:rPr>
        <w:t>To evaluate the clinical utility and separability of the four latent profiles, a random forest classification model was implemented using a stratified 70/30 training–test split. The</w:t>
      </w:r>
      <w:r>
        <w:rPr>
          <w:rFonts w:hint="eastAsia"/>
          <w:lang w:eastAsia="zh"/>
        </w:rPr>
        <w:t xml:space="preserve"> model's performance on the held-out test set was excellent, with an overall accuracy of 85.3%, a Kappa of 0.795, and all class-specific AUCs surpassing 0.95. </w:t>
      </w:r>
      <w:r>
        <w:rPr>
          <w:lang w:eastAsia="zh"/>
        </w:rPr>
        <w:t>These results indicate that the identified profiles are statistically robust and clinically distinguishable, supporting their action</w:t>
      </w:r>
      <w:r>
        <w:rPr>
          <w:rFonts w:hint="eastAsia"/>
          <w:lang w:eastAsia="zh"/>
        </w:rPr>
        <w:t xml:space="preserve"> </w:t>
      </w:r>
      <w:r>
        <w:rPr>
          <w:lang w:eastAsia="zh"/>
        </w:rPr>
        <w:t>ability for predictive and screening applications.</w:t>
      </w:r>
    </w:p>
    <w:p w14:paraId="740757F4" w14:textId="77777777" w:rsidR="005C3D03" w:rsidRDefault="005C3D03">
      <w:pPr>
        <w:spacing w:line="480" w:lineRule="auto"/>
        <w:rPr>
          <w:lang w:eastAsia="zh"/>
        </w:rPr>
      </w:pPr>
    </w:p>
    <w:p w14:paraId="33BEB58D" w14:textId="77777777" w:rsidR="005C3D03" w:rsidRDefault="006A0E05">
      <w:pPr>
        <w:spacing w:line="480" w:lineRule="auto"/>
        <w:rPr>
          <w:lang w:eastAsia="zh"/>
        </w:rPr>
      </w:pPr>
      <w:r>
        <w:rPr>
          <w:rFonts w:hint="eastAsia"/>
          <w:lang w:eastAsia="zh"/>
        </w:rPr>
        <w:t xml:space="preserve">To identify the key </w:t>
      </w:r>
      <w:r>
        <w:rPr>
          <w:lang w:eastAsia="zh"/>
        </w:rPr>
        <w:t>variables</w:t>
      </w:r>
      <w:r>
        <w:rPr>
          <w:rFonts w:hint="eastAsia"/>
          <w:lang w:eastAsia="zh"/>
        </w:rPr>
        <w:t xml:space="preserve"> distinguish</w:t>
      </w:r>
      <w:r>
        <w:rPr>
          <w:lang w:eastAsia="zh"/>
        </w:rPr>
        <w:t>ing the four</w:t>
      </w:r>
      <w:r>
        <w:rPr>
          <w:rFonts w:hint="eastAsia"/>
          <w:lang w:eastAsia="zh"/>
        </w:rPr>
        <w:t xml:space="preserve"> subgroup</w:t>
      </w:r>
      <w:r>
        <w:rPr>
          <w:lang w:eastAsia="zh"/>
        </w:rPr>
        <w:t>s</w:t>
      </w:r>
      <w:r>
        <w:rPr>
          <w:rFonts w:hint="eastAsia"/>
          <w:lang w:eastAsia="zh"/>
        </w:rPr>
        <w:t xml:space="preserve">, we computed the </w:t>
      </w:r>
      <w:proofErr w:type="spellStart"/>
      <w:r>
        <w:rPr>
          <w:rFonts w:hint="eastAsia"/>
          <w:lang w:eastAsia="zh"/>
        </w:rPr>
        <w:t>SHapley</w:t>
      </w:r>
      <w:proofErr w:type="spellEnd"/>
      <w:r>
        <w:rPr>
          <w:rFonts w:hint="eastAsia"/>
          <w:lang w:eastAsia="zh"/>
        </w:rPr>
        <w:t xml:space="preserve"> Additive </w:t>
      </w:r>
      <w:proofErr w:type="spellStart"/>
      <w:r>
        <w:rPr>
          <w:rFonts w:hint="eastAsia"/>
          <w:lang w:eastAsia="zh"/>
        </w:rPr>
        <w:t>exPlanations</w:t>
      </w:r>
      <w:proofErr w:type="spellEnd"/>
      <w:r>
        <w:rPr>
          <w:rFonts w:hint="eastAsia"/>
          <w:lang w:eastAsia="zh"/>
        </w:rPr>
        <w:t xml:space="preserve"> (SHAP) values based on a representative subset of 500 individuals sampled from the training set, thus aiming to pinpoint the most critical variables to aid in clinical assessment. The mean absolute SHAP values should be interpreted by focusing on their relative magnitudes across features, which reflect their comparative importance for classification.</w:t>
      </w:r>
    </w:p>
    <w:p w14:paraId="512DCDDE" w14:textId="5CA9748F" w:rsidR="005C3D03" w:rsidRDefault="007F7D6E">
      <w:pPr>
        <w:spacing w:line="480" w:lineRule="auto"/>
        <w:rPr>
          <w:lang w:eastAsia="zh"/>
        </w:rPr>
      </w:pPr>
      <w:r>
        <w:rPr>
          <w:noProof/>
        </w:rPr>
        <w:lastRenderedPageBreak/>
        <w:drawing>
          <wp:inline distT="0" distB="0" distL="0" distR="0" wp14:anchorId="6BE983D6" wp14:editId="7873AC8A">
            <wp:extent cx="5265420" cy="35128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5420" cy="3512820"/>
                    </a:xfrm>
                    <a:prstGeom prst="rect">
                      <a:avLst/>
                    </a:prstGeom>
                    <a:noFill/>
                    <a:ln>
                      <a:noFill/>
                    </a:ln>
                  </pic:spPr>
                </pic:pic>
              </a:graphicData>
            </a:graphic>
          </wp:inline>
        </w:drawing>
      </w:r>
    </w:p>
    <w:p w14:paraId="1AC10F19" w14:textId="023FAAFF" w:rsidR="005C3D03" w:rsidRDefault="006A0E05">
      <w:pPr>
        <w:spacing w:line="480" w:lineRule="auto"/>
        <w:rPr>
          <w:lang w:eastAsia="zh"/>
        </w:rPr>
      </w:pPr>
      <w:bookmarkStart w:id="3" w:name="OLE_LINK2"/>
      <w:bookmarkStart w:id="4" w:name="OLE_LINK4"/>
      <w:r>
        <w:t>Supplementary</w:t>
      </w:r>
      <w:bookmarkEnd w:id="3"/>
      <w:bookmarkEnd w:id="4"/>
      <w:r>
        <w:t xml:space="preserve"> Figure</w:t>
      </w:r>
      <w:r w:rsidR="001F4A34">
        <w:t xml:space="preserve"> </w:t>
      </w:r>
      <w:r>
        <w:rPr>
          <w:rFonts w:hint="eastAsia"/>
        </w:rPr>
        <w:t>1:</w:t>
      </w:r>
      <w:r>
        <w:t xml:space="preserve"> Heatmap of </w:t>
      </w:r>
      <w:r>
        <w:rPr>
          <w:rFonts w:hint="eastAsia"/>
        </w:rPr>
        <w:t>m</w:t>
      </w:r>
      <w:r>
        <w:t xml:space="preserve">ean </w:t>
      </w:r>
      <w:r>
        <w:rPr>
          <w:rFonts w:hint="eastAsia"/>
        </w:rPr>
        <w:t>a</w:t>
      </w:r>
      <w:r>
        <w:t xml:space="preserve">bsolute SHAP </w:t>
      </w:r>
      <w:r>
        <w:rPr>
          <w:rFonts w:hint="eastAsia"/>
        </w:rPr>
        <w:t>v</w:t>
      </w:r>
      <w:r>
        <w:t xml:space="preserve">alues for the </w:t>
      </w:r>
      <w:r>
        <w:rPr>
          <w:rFonts w:hint="eastAsia"/>
        </w:rPr>
        <w:t>t</w:t>
      </w:r>
      <w:r>
        <w:t xml:space="preserve">op 10 </w:t>
      </w:r>
      <w:r>
        <w:rPr>
          <w:rFonts w:hint="eastAsia"/>
        </w:rPr>
        <w:t>d</w:t>
      </w:r>
      <w:r>
        <w:t xml:space="preserve">iscriminative </w:t>
      </w:r>
      <w:r>
        <w:rPr>
          <w:rFonts w:hint="eastAsia"/>
        </w:rPr>
        <w:t>f</w:t>
      </w:r>
      <w:r>
        <w:t>eatures</w:t>
      </w:r>
    </w:p>
    <w:p w14:paraId="29815A92" w14:textId="40DB2259" w:rsidR="005C3D03" w:rsidRDefault="005C3D03">
      <w:pPr>
        <w:spacing w:line="480" w:lineRule="auto"/>
      </w:pPr>
    </w:p>
    <w:p w14:paraId="7AF2C939" w14:textId="3D7D759E" w:rsidR="005C3D03" w:rsidRDefault="007F7D6E">
      <w:pPr>
        <w:spacing w:line="480" w:lineRule="auto"/>
      </w:pPr>
      <w:r>
        <w:rPr>
          <w:noProof/>
        </w:rPr>
        <w:drawing>
          <wp:inline distT="0" distB="0" distL="0" distR="0" wp14:anchorId="21706C75" wp14:editId="0743576C">
            <wp:extent cx="5265420" cy="33604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5420" cy="3360420"/>
                    </a:xfrm>
                    <a:prstGeom prst="rect">
                      <a:avLst/>
                    </a:prstGeom>
                    <a:noFill/>
                    <a:ln>
                      <a:noFill/>
                    </a:ln>
                  </pic:spPr>
                </pic:pic>
              </a:graphicData>
            </a:graphic>
          </wp:inline>
        </w:drawing>
      </w:r>
    </w:p>
    <w:p w14:paraId="77019E6A" w14:textId="5F8FBC12" w:rsidR="005C3D03" w:rsidRDefault="006A0E05">
      <w:pPr>
        <w:spacing w:line="480" w:lineRule="auto"/>
        <w:rPr>
          <w:lang w:eastAsia="zh"/>
        </w:rPr>
      </w:pPr>
      <w:r>
        <w:t>Supplementar</w:t>
      </w:r>
      <w:r>
        <w:rPr>
          <w:rFonts w:hint="eastAsia"/>
          <w:lang w:eastAsia="zh"/>
        </w:rPr>
        <w:t>y Figure 2:</w:t>
      </w:r>
      <w:r>
        <w:rPr>
          <w:rFonts w:hint="eastAsia"/>
        </w:rPr>
        <w:t xml:space="preserve"> </w:t>
      </w:r>
      <w:proofErr w:type="spellStart"/>
      <w:r>
        <w:rPr>
          <w:rFonts w:hint="eastAsia"/>
          <w:lang w:eastAsia="zh"/>
        </w:rPr>
        <w:t>Beeswarm</w:t>
      </w:r>
      <w:proofErr w:type="spellEnd"/>
      <w:r>
        <w:rPr>
          <w:rFonts w:hint="eastAsia"/>
          <w:lang w:eastAsia="zh"/>
        </w:rPr>
        <w:t xml:space="preserve"> </w:t>
      </w:r>
      <w:r>
        <w:rPr>
          <w:rFonts w:hint="eastAsia"/>
        </w:rPr>
        <w:t>p</w:t>
      </w:r>
      <w:r>
        <w:rPr>
          <w:rFonts w:hint="eastAsia"/>
          <w:lang w:eastAsia="zh"/>
        </w:rPr>
        <w:t xml:space="preserve">lot of SHAP </w:t>
      </w:r>
      <w:r>
        <w:rPr>
          <w:rFonts w:hint="eastAsia"/>
        </w:rPr>
        <w:t>v</w:t>
      </w:r>
      <w:r>
        <w:rPr>
          <w:rFonts w:hint="eastAsia"/>
          <w:lang w:eastAsia="zh"/>
        </w:rPr>
        <w:t xml:space="preserve">alues for the </w:t>
      </w:r>
      <w:r>
        <w:rPr>
          <w:rFonts w:hint="eastAsia"/>
        </w:rPr>
        <w:t>t</w:t>
      </w:r>
      <w:r>
        <w:rPr>
          <w:rFonts w:hint="eastAsia"/>
          <w:lang w:eastAsia="zh"/>
        </w:rPr>
        <w:t xml:space="preserve">op 10 </w:t>
      </w:r>
      <w:r>
        <w:rPr>
          <w:rFonts w:hint="eastAsia"/>
        </w:rPr>
        <w:t>d</w:t>
      </w:r>
      <w:r>
        <w:rPr>
          <w:rFonts w:hint="eastAsia"/>
          <w:lang w:eastAsia="zh"/>
        </w:rPr>
        <w:t xml:space="preserve">iscriminative </w:t>
      </w:r>
      <w:r>
        <w:rPr>
          <w:rFonts w:hint="eastAsia"/>
        </w:rPr>
        <w:t>f</w:t>
      </w:r>
      <w:r>
        <w:rPr>
          <w:rFonts w:hint="eastAsia"/>
          <w:lang w:eastAsia="zh"/>
        </w:rPr>
        <w:t>eatures</w:t>
      </w:r>
    </w:p>
    <w:p w14:paraId="36273AF3" w14:textId="77777777" w:rsidR="005C3D03" w:rsidRDefault="006A0E05">
      <w:pPr>
        <w:spacing w:line="480" w:lineRule="auto"/>
        <w:rPr>
          <w:lang w:eastAsia="zh"/>
        </w:rPr>
      </w:pPr>
      <w:r>
        <w:rPr>
          <w:rFonts w:hint="eastAsia"/>
          <w:lang w:eastAsia="zh"/>
        </w:rPr>
        <w:lastRenderedPageBreak/>
        <w:t xml:space="preserve">Note. Based on </w:t>
      </w:r>
      <w:r>
        <w:rPr>
          <w:rFonts w:hint="eastAsia"/>
        </w:rPr>
        <w:t>t</w:t>
      </w:r>
      <w:r>
        <w:rPr>
          <w:rFonts w:hint="eastAsia"/>
          <w:lang w:eastAsia="zh"/>
        </w:rPr>
        <w:t xml:space="preserve">raining </w:t>
      </w:r>
      <w:r>
        <w:rPr>
          <w:rFonts w:hint="eastAsia"/>
        </w:rPr>
        <w:t>s</w:t>
      </w:r>
      <w:r>
        <w:rPr>
          <w:rFonts w:hint="eastAsia"/>
          <w:lang w:eastAsia="zh"/>
        </w:rPr>
        <w:t xml:space="preserve">et (n=1502), </w:t>
      </w:r>
      <w:r>
        <w:rPr>
          <w:rFonts w:hint="eastAsia"/>
        </w:rPr>
        <w:t>d</w:t>
      </w:r>
      <w:r>
        <w:rPr>
          <w:rFonts w:hint="eastAsia"/>
          <w:lang w:eastAsia="zh"/>
        </w:rPr>
        <w:t xml:space="preserve">isplaying the 10 </w:t>
      </w:r>
      <w:r>
        <w:rPr>
          <w:rFonts w:hint="eastAsia"/>
        </w:rPr>
        <w:t>m</w:t>
      </w:r>
      <w:r>
        <w:rPr>
          <w:rFonts w:hint="eastAsia"/>
          <w:lang w:eastAsia="zh"/>
        </w:rPr>
        <w:t xml:space="preserve">ost </w:t>
      </w:r>
      <w:r>
        <w:rPr>
          <w:rFonts w:hint="eastAsia"/>
        </w:rPr>
        <w:t>i</w:t>
      </w:r>
      <w:r>
        <w:rPr>
          <w:rFonts w:hint="eastAsia"/>
          <w:lang w:eastAsia="zh"/>
        </w:rPr>
        <w:t xml:space="preserve">mportant </w:t>
      </w:r>
      <w:r>
        <w:rPr>
          <w:rFonts w:hint="eastAsia"/>
        </w:rPr>
        <w:t>f</w:t>
      </w:r>
      <w:r>
        <w:rPr>
          <w:rFonts w:hint="eastAsia"/>
          <w:lang w:eastAsia="zh"/>
        </w:rPr>
        <w:t>eatures</w:t>
      </w:r>
    </w:p>
    <w:p w14:paraId="70EDEBF8" w14:textId="77777777" w:rsidR="005C3D03" w:rsidRDefault="005C3D03">
      <w:pPr>
        <w:spacing w:line="480" w:lineRule="auto"/>
      </w:pPr>
    </w:p>
    <w:p w14:paraId="77E0F53C" w14:textId="77777777" w:rsidR="005C3D03" w:rsidRDefault="005C3D03">
      <w:pPr>
        <w:spacing w:line="480" w:lineRule="auto"/>
      </w:pPr>
    </w:p>
    <w:p w14:paraId="5C8B2086" w14:textId="282EEAAA" w:rsidR="005C3D03" w:rsidRDefault="006A0E05">
      <w:pPr>
        <w:spacing w:line="480" w:lineRule="auto"/>
      </w:pPr>
      <w:r>
        <w:rPr>
          <w:rFonts w:hint="eastAsia"/>
        </w:rPr>
        <w:t>The SHAP analysis identified the top 10 features most critical for the random forest model to</w:t>
      </w:r>
      <w:r>
        <w:t xml:space="preserve"> discriminate between the four pre-defined risk profiles, as visualized in the heatmap (Supplementary Figure 1). Family dysfunction (ACE3) emerged as the most powerful discriminative feature across subgroups, possessing the highest mean SHAP value for classifying </w:t>
      </w:r>
      <w:r>
        <w:rPr>
          <w:rFonts w:hint="eastAsia"/>
        </w:rPr>
        <w:t>X1</w:t>
      </w:r>
      <w:r>
        <w:t xml:space="preserve"> (0.1</w:t>
      </w:r>
      <w:r>
        <w:rPr>
          <w:rFonts w:hint="eastAsia"/>
        </w:rPr>
        <w:t>93</w:t>
      </w:r>
      <w:r>
        <w:t xml:space="preserve">), </w:t>
      </w:r>
      <w:r>
        <w:rPr>
          <w:rFonts w:hint="eastAsia"/>
        </w:rPr>
        <w:t>X2</w:t>
      </w:r>
      <w:r>
        <w:t xml:space="preserve"> (0.</w:t>
      </w:r>
      <w:r>
        <w:rPr>
          <w:rFonts w:hint="eastAsia"/>
        </w:rPr>
        <w:t>11</w:t>
      </w:r>
      <w:r>
        <w:t xml:space="preserve">), and </w:t>
      </w:r>
      <w:r>
        <w:rPr>
          <w:rFonts w:hint="eastAsia"/>
        </w:rPr>
        <w:t>X</w:t>
      </w:r>
      <w:r>
        <w:t>3 (0.04</w:t>
      </w:r>
      <w:r>
        <w:rPr>
          <w:rFonts w:hint="eastAsia"/>
        </w:rPr>
        <w:t>9</w:t>
      </w:r>
      <w:r>
        <w:t>). This indicates that despite differing clinical presentations, the presence or absence of family dysfunction is a key marker the model uses to tell these subgroups apart.</w:t>
      </w:r>
    </w:p>
    <w:p w14:paraId="2B0C249B" w14:textId="77777777" w:rsidR="005C3D03" w:rsidRDefault="005C3D03">
      <w:pPr>
        <w:spacing w:line="480" w:lineRule="auto"/>
      </w:pPr>
    </w:p>
    <w:p w14:paraId="6921839C" w14:textId="77777777" w:rsidR="005C3D03" w:rsidRDefault="006A0E05">
      <w:pPr>
        <w:spacing w:line="480" w:lineRule="auto"/>
      </w:pPr>
      <w:r>
        <w:t xml:space="preserve">The SHAP analysis further delineated the distinct combinations of features that served as the most potent identifiers for each profile. For </w:t>
      </w:r>
      <w:r>
        <w:rPr>
          <w:rFonts w:hint="eastAsia"/>
        </w:rPr>
        <w:t>X1</w:t>
      </w:r>
      <w:r>
        <w:t xml:space="preserve"> ("</w:t>
      </w:r>
      <w:r>
        <w:rPr>
          <w:rFonts w:hint="eastAsia"/>
        </w:rPr>
        <w:t>Emotional</w:t>
      </w:r>
      <w:r>
        <w:t>–</w:t>
      </w:r>
      <w:r>
        <w:rPr>
          <w:rFonts w:hint="eastAsia"/>
        </w:rPr>
        <w:t>Cognitive dysfunction</w:t>
      </w:r>
      <w:r>
        <w:t xml:space="preserve">"), the model's classification was predominantly driven by adverse childhood experiences, specifically family dysfunction (ACE3), abuse/neglect (ACE1), and parent loss (ACE4). </w:t>
      </w:r>
      <w:r>
        <w:rPr>
          <w:rFonts w:hint="eastAsia"/>
        </w:rPr>
        <w:t>X2</w:t>
      </w:r>
      <w:r>
        <w:t xml:space="preserve"> ("Moderate-Risk with Prevalent Family Dysfunction") was best distinguished by a combination of family dysfunction (ACE3), suicidality, and extra-familial violence (ACE2). The classification of </w:t>
      </w:r>
      <w:r>
        <w:rPr>
          <w:rFonts w:hint="eastAsia"/>
        </w:rPr>
        <w:t>X3</w:t>
      </w:r>
      <w:r>
        <w:t xml:space="preserve"> ("Executive </w:t>
      </w:r>
      <w:proofErr w:type="spellStart"/>
      <w:r>
        <w:t>Dyscontrol</w:t>
      </w:r>
      <w:proofErr w:type="spellEnd"/>
      <w:r>
        <w:t xml:space="preserve">") relied most on family dysfunction (ACE3), extra-familial violence (ACE2), and fun-seeking (BAS3). Finally, the model identified </w:t>
      </w:r>
      <w:r>
        <w:rPr>
          <w:rFonts w:hint="eastAsia"/>
        </w:rPr>
        <w:t>X4</w:t>
      </w:r>
      <w:r>
        <w:t xml:space="preserve"> ("High-Adversity Compensatory") most strongly through the features of suicidality, abuse/neglect (ACE1), and extra-familial violence (ACE2).</w:t>
      </w:r>
    </w:p>
    <w:p w14:paraId="101DFD42" w14:textId="77777777" w:rsidR="005C3D03" w:rsidRDefault="005C3D03">
      <w:pPr>
        <w:spacing w:line="480" w:lineRule="auto"/>
      </w:pPr>
    </w:p>
    <w:p w14:paraId="0445010E" w14:textId="7F43AB66" w:rsidR="005C3D03" w:rsidRDefault="006A0E05">
      <w:pPr>
        <w:spacing w:line="480" w:lineRule="auto"/>
      </w:pPr>
      <w:r>
        <w:rPr>
          <w:rFonts w:hint="eastAsia"/>
        </w:rPr>
        <w:t xml:space="preserve">The </w:t>
      </w:r>
      <w:proofErr w:type="spellStart"/>
      <w:r>
        <w:rPr>
          <w:rFonts w:hint="eastAsia"/>
        </w:rPr>
        <w:t>beeswarm</w:t>
      </w:r>
      <w:proofErr w:type="spellEnd"/>
      <w:r>
        <w:rPr>
          <w:rFonts w:hint="eastAsia"/>
        </w:rPr>
        <w:t xml:space="preserve"> plot</w:t>
      </w:r>
      <w:r>
        <w:t xml:space="preserve"> (Supplementary Figure</w:t>
      </w:r>
      <w:r w:rsidR="001F4A34">
        <w:t xml:space="preserve"> </w:t>
      </w:r>
      <w:r>
        <w:rPr>
          <w:rFonts w:hint="eastAsia"/>
        </w:rPr>
        <w:t>2</w:t>
      </w:r>
      <w:r>
        <w:t>)</w:t>
      </w:r>
      <w:r>
        <w:rPr>
          <w:rFonts w:hint="eastAsia"/>
        </w:rPr>
        <w:t xml:space="preserve"> </w:t>
      </w:r>
      <w:r>
        <w:t>illustrates</w:t>
      </w:r>
      <w:r>
        <w:rPr>
          <w:rFonts w:hint="eastAsia"/>
        </w:rPr>
        <w:t xml:space="preserve"> the decision logic of the random forest classifier in distinguishing the four IGD subgroups. </w:t>
      </w:r>
      <w:r>
        <w:t xml:space="preserve">The clear lateral separation of color gradients—representing feature values—along the SHAP value axis demonstrates a strong, monotonic relationship between each </w:t>
      </w:r>
      <w:bookmarkStart w:id="5" w:name="OLE_LINK10"/>
      <w:bookmarkStart w:id="6" w:name="OLE_LINK11"/>
      <w:r>
        <w:t>feature’s</w:t>
      </w:r>
      <w:bookmarkEnd w:id="5"/>
      <w:bookmarkEnd w:id="6"/>
      <w:r>
        <w:t xml:space="preserve"> magnitude and its contribution to classification. This pattern aligns closely with the distinct configurations identified through latent profile analysis, reinforcing the internal consistency between the machine-learning and person-centered approaches.</w:t>
      </w:r>
    </w:p>
    <w:p w14:paraId="1EA446B1" w14:textId="77777777" w:rsidR="005C3D03" w:rsidRDefault="005C3D03">
      <w:pPr>
        <w:spacing w:line="480" w:lineRule="auto"/>
      </w:pPr>
    </w:p>
    <w:p w14:paraId="6BE894D2" w14:textId="77777777" w:rsidR="005C3D03" w:rsidRDefault="006A0E05">
      <w:pPr>
        <w:spacing w:line="480" w:lineRule="auto"/>
      </w:pPr>
      <w:r>
        <w:rPr>
          <w:rFonts w:hint="eastAsia"/>
        </w:rPr>
        <w:t xml:space="preserve">For instance, family dysfunction (ACE3), which was lowest in Profile X1 and higher in Profiles X2-4 according to the LPA, demonstrates a perfectly coherent pattern in the </w:t>
      </w:r>
      <w:proofErr w:type="spellStart"/>
      <w:r>
        <w:rPr>
          <w:rFonts w:hint="eastAsia"/>
        </w:rPr>
        <w:t>beeswarm</w:t>
      </w:r>
      <w:proofErr w:type="spellEnd"/>
      <w:r>
        <w:rPr>
          <w:rFonts w:hint="eastAsia"/>
        </w:rPr>
        <w:t xml:space="preserve"> plot. In X1, low values of ACE3 (blue points) are clustered on the right (positive SHAP values), pushing samples towards this classification. Conversely, in Profile X2, X3, and X4, high values of ACE3 (red points) are found on the right, confirming that elevated family dysfunction is a key driver for distinguishing these subgroups.</w:t>
      </w:r>
    </w:p>
    <w:p w14:paraId="3C261D83" w14:textId="77777777" w:rsidR="005C3D03" w:rsidRDefault="005C3D03">
      <w:pPr>
        <w:spacing w:line="480" w:lineRule="auto"/>
      </w:pPr>
    </w:p>
    <w:p w14:paraId="5DE061DB" w14:textId="77777777" w:rsidR="005C3D03" w:rsidRDefault="006A0E05">
      <w:pPr>
        <w:spacing w:line="480" w:lineRule="auto"/>
      </w:pPr>
      <w:r>
        <w:rPr>
          <w:rFonts w:hint="eastAsia"/>
        </w:rPr>
        <w:t>A more complex,</w:t>
      </w:r>
      <w:r>
        <w:t xml:space="preserve"> </w:t>
      </w:r>
      <w:r>
        <w:rPr>
          <w:rFonts w:hint="eastAsia"/>
        </w:rPr>
        <w:t>non-linear relationship</w:t>
      </w:r>
      <w:r>
        <w:t xml:space="preserve"> </w:t>
      </w:r>
      <w:r>
        <w:rPr>
          <w:rFonts w:hint="eastAsia"/>
        </w:rPr>
        <w:t>was identified for</w:t>
      </w:r>
      <w:r>
        <w:t xml:space="preserve"> </w:t>
      </w:r>
      <w:r>
        <w:rPr>
          <w:rFonts w:hint="eastAsia"/>
        </w:rPr>
        <w:t>fun-seeking (BAS3)</w:t>
      </w:r>
      <w:r>
        <w:t xml:space="preserve"> within Profile</w:t>
      </w:r>
      <w:r>
        <w:rPr>
          <w:rFonts w:hint="eastAsia"/>
        </w:rPr>
        <w:t xml:space="preserve"> X3. Here,</w:t>
      </w:r>
      <w:r>
        <w:t xml:space="preserve"> </w:t>
      </w:r>
      <w:r>
        <w:rPr>
          <w:rFonts w:hint="eastAsia"/>
        </w:rPr>
        <w:t>both high (red) and low (blue) values of BAS3</w:t>
      </w:r>
      <w:r>
        <w:t xml:space="preserve"> </w:t>
      </w:r>
      <w:r>
        <w:rPr>
          <w:rFonts w:hint="eastAsia"/>
        </w:rPr>
        <w:t>are associated with</w:t>
      </w:r>
      <w:r>
        <w:t xml:space="preserve"> </w:t>
      </w:r>
      <w:r>
        <w:rPr>
          <w:rFonts w:hint="eastAsia"/>
        </w:rPr>
        <w:t xml:space="preserve">positive SHAP values, pushing samples towards the "Executive </w:t>
      </w:r>
      <w:proofErr w:type="spellStart"/>
      <w:r>
        <w:rPr>
          <w:rFonts w:hint="eastAsia"/>
        </w:rPr>
        <w:t>Dyscontrol</w:t>
      </w:r>
      <w:proofErr w:type="spellEnd"/>
      <w:r>
        <w:rPr>
          <w:rFonts w:hint="eastAsia"/>
        </w:rPr>
        <w:t>" classification, while</w:t>
      </w:r>
      <w:r>
        <w:t xml:space="preserve"> </w:t>
      </w:r>
      <w:r>
        <w:rPr>
          <w:rFonts w:hint="eastAsia"/>
        </w:rPr>
        <w:t>medium values are associated with negative SHAP values, pulling samples away from this profile. This</w:t>
      </w:r>
      <w:r>
        <w:t xml:space="preserve"> </w:t>
      </w:r>
      <w:r>
        <w:rPr>
          <w:rFonts w:hint="eastAsia"/>
        </w:rPr>
        <w:t>U-shaped relationship</w:t>
      </w:r>
      <w:r>
        <w:t xml:space="preserve"> </w:t>
      </w:r>
      <w:r>
        <w:rPr>
          <w:rFonts w:hint="eastAsia"/>
        </w:rPr>
        <w:t xml:space="preserve">suggests that the </w:t>
      </w:r>
      <w:r>
        <w:rPr>
          <w:rFonts w:hint="eastAsia"/>
        </w:rPr>
        <w:lastRenderedPageBreak/>
        <w:t xml:space="preserve">"Executive </w:t>
      </w:r>
      <w:proofErr w:type="spellStart"/>
      <w:r>
        <w:rPr>
          <w:rFonts w:hint="eastAsia"/>
        </w:rPr>
        <w:t>Dyscontrol</w:t>
      </w:r>
      <w:proofErr w:type="spellEnd"/>
      <w:r>
        <w:rPr>
          <w:rFonts w:hint="eastAsia"/>
        </w:rPr>
        <w:t>" subgroup is characterized by a</w:t>
      </w:r>
      <w:r>
        <w:t xml:space="preserve"> </w:t>
      </w:r>
      <w:r>
        <w:rPr>
          <w:rFonts w:hint="eastAsia"/>
        </w:rPr>
        <w:t>polarization in fun-seeking tendencies. Individuals in this group may either be highly susceptible to seeking immediate reward through gaming or, conversely, may exhibit an abnormally low drive for pleasure, which could also manifest as a dysregulated behavior. This nuanced pattern was captured by the machine learning model but would be obscured in traditional linear analyses.</w:t>
      </w:r>
    </w:p>
    <w:p w14:paraId="6FCE73EF" w14:textId="77777777" w:rsidR="005C3D03" w:rsidRDefault="005C3D03">
      <w:pPr>
        <w:spacing w:line="480" w:lineRule="auto"/>
      </w:pPr>
    </w:p>
    <w:p w14:paraId="6EB3C9ED" w14:textId="77777777" w:rsidR="005C3D03" w:rsidRDefault="006A0E05">
      <w:pPr>
        <w:spacing w:line="480" w:lineRule="auto"/>
      </w:pPr>
      <w:r>
        <w:rPr>
          <w:rFonts w:hint="eastAsia"/>
        </w:rPr>
        <w:t xml:space="preserve">In summary, the </w:t>
      </w:r>
      <w:r>
        <w:t>integration</w:t>
      </w:r>
      <w:r>
        <w:rPr>
          <w:rFonts w:hint="eastAsia"/>
        </w:rPr>
        <w:t xml:space="preserve"> of random forest and SHAP analysis not only validated the robustness of the four-profile solution but also translated it into a clinically actionable framework. </w:t>
      </w:r>
      <w:r>
        <w:t>By identifying the most discriminative markers for each subgroup, this data-driven approach provides a foundation for more targeted and efficient clinical assessment of the heterogeneous presentations of Internet Gaming Disorder.</w:t>
      </w:r>
    </w:p>
    <w:p w14:paraId="3F48072F" w14:textId="77777777" w:rsidR="005C3D03" w:rsidRDefault="006A0E05">
      <w:pPr>
        <w:widowControl/>
        <w:spacing w:line="480" w:lineRule="auto"/>
        <w:jc w:val="left"/>
      </w:pPr>
      <w:r>
        <w:br w:type="page"/>
      </w:r>
    </w:p>
    <w:p w14:paraId="7CBD81A4" w14:textId="77777777" w:rsidR="005C3D03" w:rsidRPr="001573F5" w:rsidRDefault="006A0E05" w:rsidP="001573F5">
      <w:pPr>
        <w:pStyle w:val="2"/>
        <w:spacing w:line="480" w:lineRule="auto"/>
        <w:rPr>
          <w:rFonts w:ascii="Times New Roman" w:eastAsia="黑体" w:hAnsi="Times New Roman" w:cs="Times New Roman"/>
          <w:bCs w:val="0"/>
          <w:szCs w:val="24"/>
        </w:rPr>
      </w:pPr>
      <w:r w:rsidRPr="001573F5">
        <w:rPr>
          <w:rFonts w:ascii="Times New Roman" w:eastAsia="黑体" w:hAnsi="Times New Roman" w:cs="Times New Roman" w:hint="eastAsia"/>
          <w:bCs w:val="0"/>
          <w:szCs w:val="24"/>
        </w:rPr>
        <w:lastRenderedPageBreak/>
        <w:t>R</w:t>
      </w:r>
      <w:r w:rsidRPr="001573F5">
        <w:rPr>
          <w:rFonts w:ascii="Times New Roman" w:eastAsia="黑体" w:hAnsi="Times New Roman" w:cs="Times New Roman"/>
          <w:bCs w:val="0"/>
          <w:szCs w:val="24"/>
        </w:rPr>
        <w:t>eference</w:t>
      </w:r>
    </w:p>
    <w:p w14:paraId="0F5AA15F" w14:textId="77777777" w:rsidR="006A4929" w:rsidRPr="006A4929" w:rsidRDefault="006A0E05" w:rsidP="006A4929">
      <w:pPr>
        <w:pStyle w:val="ab"/>
        <w:rPr>
          <w:rFonts w:cs="Times New Roman"/>
        </w:rPr>
      </w:pPr>
      <w:r>
        <w:fldChar w:fldCharType="begin"/>
      </w:r>
      <w:r w:rsidR="006A4929">
        <w:instrText xml:space="preserve"> ADDIN ZOTERO_BIBL {"uncited":[],"omitted":[],"custom":[]} CSL_BIBLIOGRAPHY </w:instrText>
      </w:r>
      <w:r>
        <w:fldChar w:fldCharType="separate"/>
      </w:r>
      <w:r w:rsidR="006A4929" w:rsidRPr="006A4929">
        <w:rPr>
          <w:rFonts w:cs="Times New Roman"/>
        </w:rPr>
        <w:t xml:space="preserve">[1] </w:t>
      </w:r>
      <w:r w:rsidR="006A4929" w:rsidRPr="006A4929">
        <w:rPr>
          <w:rFonts w:cs="Times New Roman"/>
        </w:rPr>
        <w:tab/>
        <w:t xml:space="preserve">Chen I-H, </w:t>
      </w:r>
      <w:proofErr w:type="spellStart"/>
      <w:r w:rsidR="006A4929" w:rsidRPr="006A4929">
        <w:rPr>
          <w:rFonts w:cs="Times New Roman"/>
        </w:rPr>
        <w:t>Ahorsu</w:t>
      </w:r>
      <w:proofErr w:type="spellEnd"/>
      <w:r w:rsidR="006A4929" w:rsidRPr="006A4929">
        <w:rPr>
          <w:rFonts w:cs="Times New Roman"/>
        </w:rPr>
        <w:t xml:space="preserve"> DK, </w:t>
      </w:r>
      <w:proofErr w:type="spellStart"/>
      <w:r w:rsidR="006A4929" w:rsidRPr="006A4929">
        <w:rPr>
          <w:rFonts w:cs="Times New Roman"/>
        </w:rPr>
        <w:t>Pakpour</w:t>
      </w:r>
      <w:proofErr w:type="spellEnd"/>
      <w:r w:rsidR="006A4929" w:rsidRPr="006A4929">
        <w:rPr>
          <w:rFonts w:cs="Times New Roman"/>
        </w:rPr>
        <w:t xml:space="preserve"> AH, et al. Psychometric Properties of Three Simplified Chinese Online-Related Addictive Behavior Instruments Among Mainland Chinese Primary School Students. </w:t>
      </w:r>
      <w:r w:rsidR="006A4929" w:rsidRPr="006A4929">
        <w:rPr>
          <w:rFonts w:cs="Times New Roman"/>
          <w:i/>
          <w:iCs/>
        </w:rPr>
        <w:t>Front Psychiatry</w:t>
      </w:r>
      <w:r w:rsidR="006A4929" w:rsidRPr="006A4929">
        <w:rPr>
          <w:rFonts w:cs="Times New Roman"/>
        </w:rPr>
        <w:t xml:space="preserve"> 2020; 11: 875.</w:t>
      </w:r>
    </w:p>
    <w:p w14:paraId="22ED7349" w14:textId="77777777" w:rsidR="006A4929" w:rsidRPr="006A4929" w:rsidRDefault="006A4929" w:rsidP="006A4929">
      <w:pPr>
        <w:pStyle w:val="ab"/>
        <w:rPr>
          <w:rFonts w:cs="Times New Roman"/>
        </w:rPr>
      </w:pPr>
      <w:r w:rsidRPr="006A4929">
        <w:rPr>
          <w:rFonts w:cs="Times New Roman"/>
        </w:rPr>
        <w:t xml:space="preserve">[2] </w:t>
      </w:r>
      <w:r w:rsidRPr="006A4929">
        <w:rPr>
          <w:rFonts w:cs="Times New Roman"/>
        </w:rPr>
        <w:tab/>
        <w:t xml:space="preserve">King DL, Chamberlain SR, Carragher N, et al. Screening and assessment tools for gaming disorder: A comprehensive systematic review. </w:t>
      </w:r>
      <w:r w:rsidRPr="006A4929">
        <w:rPr>
          <w:rFonts w:cs="Times New Roman"/>
          <w:i/>
          <w:iCs/>
        </w:rPr>
        <w:t>Clin Psychol Rev</w:t>
      </w:r>
      <w:r w:rsidRPr="006A4929">
        <w:rPr>
          <w:rFonts w:cs="Times New Roman"/>
        </w:rPr>
        <w:t xml:space="preserve"> 2020; 77: 101831.</w:t>
      </w:r>
    </w:p>
    <w:p w14:paraId="0A6C6CB9" w14:textId="77777777" w:rsidR="006A4929" w:rsidRPr="006A4929" w:rsidRDefault="006A4929" w:rsidP="006A4929">
      <w:pPr>
        <w:pStyle w:val="ab"/>
        <w:rPr>
          <w:rFonts w:cs="Times New Roman"/>
        </w:rPr>
      </w:pPr>
      <w:r w:rsidRPr="006A4929">
        <w:rPr>
          <w:rFonts w:cs="Times New Roman"/>
        </w:rPr>
        <w:t xml:space="preserve">[3] </w:t>
      </w:r>
      <w:r w:rsidRPr="006A4929">
        <w:rPr>
          <w:rFonts w:cs="Times New Roman"/>
        </w:rPr>
        <w:tab/>
        <w:t xml:space="preserve">Lovibond PF, Lovibond SH. The structure of negative emotional states: Comparison of the Depression Anxiety Stress Scales (DASS) with the Beck Depression and Anxiety Inventories. </w:t>
      </w:r>
      <w:proofErr w:type="spellStart"/>
      <w:r w:rsidRPr="006A4929">
        <w:rPr>
          <w:rFonts w:cs="Times New Roman"/>
          <w:i/>
          <w:iCs/>
        </w:rPr>
        <w:t>Behav</w:t>
      </w:r>
      <w:proofErr w:type="spellEnd"/>
      <w:r w:rsidRPr="006A4929">
        <w:rPr>
          <w:rFonts w:cs="Times New Roman"/>
          <w:i/>
          <w:iCs/>
        </w:rPr>
        <w:t xml:space="preserve"> Res </w:t>
      </w:r>
      <w:proofErr w:type="spellStart"/>
      <w:r w:rsidRPr="006A4929">
        <w:rPr>
          <w:rFonts w:cs="Times New Roman"/>
          <w:i/>
          <w:iCs/>
        </w:rPr>
        <w:t>Ther</w:t>
      </w:r>
      <w:proofErr w:type="spellEnd"/>
      <w:r w:rsidRPr="006A4929">
        <w:rPr>
          <w:rFonts w:cs="Times New Roman"/>
        </w:rPr>
        <w:t xml:space="preserve"> 1995; 33: 335–343.</w:t>
      </w:r>
    </w:p>
    <w:p w14:paraId="7C93A755" w14:textId="77777777" w:rsidR="006A4929" w:rsidRPr="006A4929" w:rsidRDefault="006A4929" w:rsidP="006A4929">
      <w:pPr>
        <w:pStyle w:val="ab"/>
        <w:rPr>
          <w:rFonts w:cs="Times New Roman"/>
        </w:rPr>
      </w:pPr>
      <w:r w:rsidRPr="006A4929">
        <w:rPr>
          <w:rFonts w:cs="Times New Roman"/>
        </w:rPr>
        <w:t xml:space="preserve">[4] </w:t>
      </w:r>
      <w:r w:rsidRPr="006A4929">
        <w:rPr>
          <w:rFonts w:cs="Times New Roman"/>
        </w:rPr>
        <w:tab/>
        <w:t xml:space="preserve">Cao C-H, Liao X-L, Jiang X-Y, et al. Psychometric evaluation of the depression, anxiety, and stress scale-21 (DASS-21) among Chinese primary and middle school teachers. </w:t>
      </w:r>
      <w:r w:rsidRPr="006A4929">
        <w:rPr>
          <w:rFonts w:cs="Times New Roman"/>
          <w:i/>
          <w:iCs/>
        </w:rPr>
        <w:t>BMC Psychol</w:t>
      </w:r>
      <w:r w:rsidRPr="006A4929">
        <w:rPr>
          <w:rFonts w:cs="Times New Roman"/>
        </w:rPr>
        <w:t xml:space="preserve"> 2023; 11: 209.</w:t>
      </w:r>
    </w:p>
    <w:p w14:paraId="47875593" w14:textId="77777777" w:rsidR="006A4929" w:rsidRPr="006A4929" w:rsidRDefault="006A4929" w:rsidP="006A4929">
      <w:pPr>
        <w:pStyle w:val="ab"/>
        <w:rPr>
          <w:rFonts w:cs="Times New Roman"/>
        </w:rPr>
      </w:pPr>
      <w:r w:rsidRPr="006A4929">
        <w:rPr>
          <w:rFonts w:cs="Times New Roman"/>
        </w:rPr>
        <w:t xml:space="preserve">[5] </w:t>
      </w:r>
      <w:r w:rsidRPr="006A4929">
        <w:rPr>
          <w:rFonts w:cs="Times New Roman"/>
        </w:rPr>
        <w:tab/>
      </w:r>
      <w:proofErr w:type="spellStart"/>
      <w:r w:rsidRPr="006A4929">
        <w:rPr>
          <w:rFonts w:cs="Times New Roman"/>
        </w:rPr>
        <w:t>Pezirkianidis</w:t>
      </w:r>
      <w:proofErr w:type="spellEnd"/>
      <w:r w:rsidRPr="006A4929">
        <w:rPr>
          <w:rFonts w:cs="Times New Roman"/>
        </w:rPr>
        <w:t xml:space="preserve"> C, </w:t>
      </w:r>
      <w:proofErr w:type="spellStart"/>
      <w:r w:rsidRPr="006A4929">
        <w:rPr>
          <w:rFonts w:cs="Times New Roman"/>
        </w:rPr>
        <w:t>Karakasidou</w:t>
      </w:r>
      <w:proofErr w:type="spellEnd"/>
      <w:r w:rsidRPr="006A4929">
        <w:rPr>
          <w:rFonts w:cs="Times New Roman"/>
        </w:rPr>
        <w:t xml:space="preserve"> E, </w:t>
      </w:r>
      <w:proofErr w:type="spellStart"/>
      <w:r w:rsidRPr="006A4929">
        <w:rPr>
          <w:rFonts w:cs="Times New Roman"/>
        </w:rPr>
        <w:t>Lakioti</w:t>
      </w:r>
      <w:proofErr w:type="spellEnd"/>
      <w:r w:rsidRPr="006A4929">
        <w:rPr>
          <w:rFonts w:cs="Times New Roman"/>
        </w:rPr>
        <w:t xml:space="preserve"> A, et al. Psychometric Properties of the Depression, Anxiety, Stress Scales-21 (DASS-21) in a Greek Sample. </w:t>
      </w:r>
      <w:r w:rsidRPr="006A4929">
        <w:rPr>
          <w:rFonts w:cs="Times New Roman"/>
          <w:i/>
          <w:iCs/>
        </w:rPr>
        <w:t>Psychology</w:t>
      </w:r>
      <w:r w:rsidRPr="006A4929">
        <w:rPr>
          <w:rFonts w:cs="Times New Roman"/>
        </w:rPr>
        <w:t xml:space="preserve"> 2018; 09: 2933–2950.</w:t>
      </w:r>
    </w:p>
    <w:p w14:paraId="2DEABF3F" w14:textId="77777777" w:rsidR="006A4929" w:rsidRPr="006A4929" w:rsidRDefault="006A4929" w:rsidP="006A4929">
      <w:pPr>
        <w:pStyle w:val="ab"/>
        <w:rPr>
          <w:rFonts w:cs="Times New Roman"/>
        </w:rPr>
      </w:pPr>
      <w:r w:rsidRPr="006A4929">
        <w:rPr>
          <w:rFonts w:cs="Times New Roman"/>
        </w:rPr>
        <w:t xml:space="preserve">[6] </w:t>
      </w:r>
      <w:r w:rsidRPr="006A4929">
        <w:rPr>
          <w:rFonts w:cs="Times New Roman"/>
        </w:rPr>
        <w:tab/>
        <w:t xml:space="preserve">McLean CP, Kulkarni J, Sharp G. The 26-Item Eating Attitudes Test (EAT-26): Psychometric Properties and Factor Structure in Vegetarians and Vegans. </w:t>
      </w:r>
      <w:r w:rsidRPr="006A4929">
        <w:rPr>
          <w:rFonts w:cs="Times New Roman"/>
          <w:i/>
          <w:iCs/>
        </w:rPr>
        <w:t>Nutrients</w:t>
      </w:r>
      <w:r w:rsidRPr="006A4929">
        <w:rPr>
          <w:rFonts w:cs="Times New Roman"/>
        </w:rPr>
        <w:t xml:space="preserve"> 2023; 15: 297.</w:t>
      </w:r>
    </w:p>
    <w:p w14:paraId="21B79B5F" w14:textId="77777777" w:rsidR="006A4929" w:rsidRPr="006A4929" w:rsidRDefault="006A4929" w:rsidP="006A4929">
      <w:pPr>
        <w:pStyle w:val="ab"/>
        <w:rPr>
          <w:rFonts w:cs="Times New Roman"/>
        </w:rPr>
      </w:pPr>
      <w:r w:rsidRPr="006A4929">
        <w:rPr>
          <w:rFonts w:cs="Times New Roman"/>
        </w:rPr>
        <w:t xml:space="preserve">[7] </w:t>
      </w:r>
      <w:r w:rsidRPr="006A4929">
        <w:rPr>
          <w:rFonts w:cs="Times New Roman"/>
        </w:rPr>
        <w:tab/>
        <w:t xml:space="preserve">Kang Q, Chan RCK, Li X, et al. Psychometric Properties of the Chinese Version of the Eating Attitudes Test in Young Female Patients with Eating Disorders in Mainland China. </w:t>
      </w:r>
      <w:r w:rsidRPr="006A4929">
        <w:rPr>
          <w:rFonts w:cs="Times New Roman"/>
          <w:i/>
          <w:iCs/>
        </w:rPr>
        <w:t xml:space="preserve">Eur Eat </w:t>
      </w:r>
      <w:proofErr w:type="spellStart"/>
      <w:r w:rsidRPr="006A4929">
        <w:rPr>
          <w:rFonts w:cs="Times New Roman"/>
          <w:i/>
          <w:iCs/>
        </w:rPr>
        <w:t>Disord</w:t>
      </w:r>
      <w:proofErr w:type="spellEnd"/>
      <w:r w:rsidRPr="006A4929">
        <w:rPr>
          <w:rFonts w:cs="Times New Roman"/>
          <w:i/>
          <w:iCs/>
        </w:rPr>
        <w:t xml:space="preserve"> Rev</w:t>
      </w:r>
      <w:r w:rsidRPr="006A4929">
        <w:rPr>
          <w:rFonts w:cs="Times New Roman"/>
        </w:rPr>
        <w:t xml:space="preserve"> 2017; 25: 613–617.</w:t>
      </w:r>
    </w:p>
    <w:p w14:paraId="1BD049EE" w14:textId="77777777" w:rsidR="006A4929" w:rsidRPr="006A4929" w:rsidRDefault="006A4929" w:rsidP="006A4929">
      <w:pPr>
        <w:pStyle w:val="ab"/>
        <w:rPr>
          <w:rFonts w:cs="Times New Roman"/>
        </w:rPr>
      </w:pPr>
      <w:r w:rsidRPr="006A4929">
        <w:rPr>
          <w:rFonts w:cs="Times New Roman"/>
        </w:rPr>
        <w:t xml:space="preserve">[8] </w:t>
      </w:r>
      <w:r w:rsidRPr="006A4929">
        <w:rPr>
          <w:rFonts w:cs="Times New Roman"/>
        </w:rPr>
        <w:tab/>
        <w:t xml:space="preserve">Yu M, Chair SY, Chan CWH, et al. Testing the psychometric properties of the Chinese version of the Heart Failure Learning Needs Inventory. </w:t>
      </w:r>
      <w:r w:rsidRPr="006A4929">
        <w:rPr>
          <w:rFonts w:cs="Times New Roman"/>
          <w:i/>
          <w:iCs/>
        </w:rPr>
        <w:t>Heart Lung</w:t>
      </w:r>
      <w:r w:rsidRPr="006A4929">
        <w:rPr>
          <w:rFonts w:cs="Times New Roman"/>
        </w:rPr>
        <w:t xml:space="preserve"> 2010; 39: 262–274.</w:t>
      </w:r>
    </w:p>
    <w:p w14:paraId="20B0EEB4" w14:textId="77777777" w:rsidR="006A4929" w:rsidRPr="006A4929" w:rsidRDefault="006A4929" w:rsidP="006A4929">
      <w:pPr>
        <w:pStyle w:val="ab"/>
        <w:rPr>
          <w:rFonts w:cs="Times New Roman"/>
        </w:rPr>
      </w:pPr>
      <w:r w:rsidRPr="006A4929">
        <w:rPr>
          <w:rFonts w:cs="Times New Roman"/>
        </w:rPr>
        <w:t xml:space="preserve">[9] </w:t>
      </w:r>
      <w:r w:rsidRPr="006A4929">
        <w:rPr>
          <w:rFonts w:cs="Times New Roman"/>
        </w:rPr>
        <w:tab/>
        <w:t xml:space="preserve">Jia G, Dai H, Chu Y, et al. Psychometric evaluation of the Chinese version of social anxiety scale for social media users and cross-sectional investigation into this disorder among college students. </w:t>
      </w:r>
      <w:proofErr w:type="spellStart"/>
      <w:r w:rsidRPr="006A4929">
        <w:rPr>
          <w:rFonts w:cs="Times New Roman"/>
          <w:i/>
          <w:iCs/>
        </w:rPr>
        <w:t>Compr</w:t>
      </w:r>
      <w:proofErr w:type="spellEnd"/>
      <w:r w:rsidRPr="006A4929">
        <w:rPr>
          <w:rFonts w:cs="Times New Roman"/>
          <w:i/>
          <w:iCs/>
        </w:rPr>
        <w:t xml:space="preserve"> Psychiatry</w:t>
      </w:r>
      <w:r w:rsidRPr="006A4929">
        <w:rPr>
          <w:rFonts w:cs="Times New Roman"/>
        </w:rPr>
        <w:t xml:space="preserve"> 2022; 116: 152328.</w:t>
      </w:r>
    </w:p>
    <w:p w14:paraId="3EC22E8E" w14:textId="77777777" w:rsidR="006A4929" w:rsidRPr="006A4929" w:rsidRDefault="006A4929" w:rsidP="006A4929">
      <w:pPr>
        <w:pStyle w:val="ab"/>
        <w:rPr>
          <w:rFonts w:cs="Times New Roman"/>
        </w:rPr>
      </w:pPr>
      <w:r w:rsidRPr="006A4929">
        <w:rPr>
          <w:rFonts w:cs="Times New Roman"/>
        </w:rPr>
        <w:t xml:space="preserve">[10] </w:t>
      </w:r>
      <w:r w:rsidRPr="006A4929">
        <w:rPr>
          <w:rFonts w:cs="Times New Roman"/>
        </w:rPr>
        <w:tab/>
        <w:t xml:space="preserve">Zhang Y, </w:t>
      </w:r>
      <w:proofErr w:type="spellStart"/>
      <w:r w:rsidRPr="006A4929">
        <w:rPr>
          <w:rFonts w:cs="Times New Roman"/>
        </w:rPr>
        <w:t>Qiu</w:t>
      </w:r>
      <w:proofErr w:type="spellEnd"/>
      <w:r w:rsidRPr="006A4929">
        <w:rPr>
          <w:rFonts w:cs="Times New Roman"/>
        </w:rPr>
        <w:t xml:space="preserve"> X, Ren Q, et al. Psychometric Properties of the Chinese version of UPPS-P Impulsive Behavior Scale. </w:t>
      </w:r>
      <w:r w:rsidRPr="006A4929">
        <w:rPr>
          <w:rFonts w:cs="Times New Roman"/>
          <w:i/>
          <w:iCs/>
        </w:rPr>
        <w:t>Front Psychiatry</w:t>
      </w:r>
      <w:r w:rsidRPr="006A4929">
        <w:rPr>
          <w:rFonts w:cs="Times New Roman"/>
        </w:rPr>
        <w:t xml:space="preserve"> 2020; 11: 185.</w:t>
      </w:r>
    </w:p>
    <w:p w14:paraId="3A80DC25" w14:textId="77777777" w:rsidR="006A4929" w:rsidRPr="006A4929" w:rsidRDefault="006A4929" w:rsidP="006A4929">
      <w:pPr>
        <w:pStyle w:val="ab"/>
        <w:rPr>
          <w:rFonts w:cs="Times New Roman"/>
        </w:rPr>
      </w:pPr>
      <w:r w:rsidRPr="006A4929">
        <w:rPr>
          <w:rFonts w:cs="Times New Roman"/>
        </w:rPr>
        <w:t xml:space="preserve">[11] </w:t>
      </w:r>
      <w:r w:rsidRPr="006A4929">
        <w:rPr>
          <w:rFonts w:cs="Times New Roman"/>
        </w:rPr>
        <w:tab/>
        <w:t xml:space="preserve">Kale D, </w:t>
      </w:r>
      <w:proofErr w:type="spellStart"/>
      <w:r w:rsidRPr="006A4929">
        <w:rPr>
          <w:rFonts w:cs="Times New Roman"/>
        </w:rPr>
        <w:t>Stautz</w:t>
      </w:r>
      <w:proofErr w:type="spellEnd"/>
      <w:r w:rsidRPr="006A4929">
        <w:rPr>
          <w:rFonts w:cs="Times New Roman"/>
        </w:rPr>
        <w:t xml:space="preserve"> K, Cooper A. Impulsivity related personality traits and cigarette smoking in adults: A meta-analysis using the UPPS-P model of impulsivity and reward sensitivity. </w:t>
      </w:r>
      <w:r w:rsidRPr="006A4929">
        <w:rPr>
          <w:rFonts w:cs="Times New Roman"/>
          <w:i/>
          <w:iCs/>
        </w:rPr>
        <w:t>Drug Alcohol Depend</w:t>
      </w:r>
      <w:r w:rsidRPr="006A4929">
        <w:rPr>
          <w:rFonts w:cs="Times New Roman"/>
        </w:rPr>
        <w:t xml:space="preserve"> 2018; 185: 149–167.</w:t>
      </w:r>
    </w:p>
    <w:p w14:paraId="7C8A5A1E" w14:textId="77777777" w:rsidR="006A4929" w:rsidRPr="006A4929" w:rsidRDefault="006A4929" w:rsidP="006A4929">
      <w:pPr>
        <w:pStyle w:val="ab"/>
        <w:rPr>
          <w:rFonts w:cs="Times New Roman"/>
        </w:rPr>
      </w:pPr>
      <w:r w:rsidRPr="006A4929">
        <w:rPr>
          <w:rFonts w:cs="Times New Roman"/>
        </w:rPr>
        <w:t xml:space="preserve">[12] </w:t>
      </w:r>
      <w:r w:rsidRPr="006A4929">
        <w:rPr>
          <w:rFonts w:cs="Times New Roman"/>
        </w:rPr>
        <w:tab/>
        <w:t xml:space="preserve">Wang W, Liu H. The mediating role of behavioral systems in linking physical </w:t>
      </w:r>
      <w:r w:rsidRPr="006A4929">
        <w:rPr>
          <w:rFonts w:cs="Times New Roman"/>
        </w:rPr>
        <w:lastRenderedPageBreak/>
        <w:t xml:space="preserve">activity and anxiety symptoms in college students. </w:t>
      </w:r>
      <w:r w:rsidRPr="006A4929">
        <w:rPr>
          <w:rFonts w:cs="Times New Roman"/>
          <w:i/>
          <w:iCs/>
        </w:rPr>
        <w:t>Sci Rep</w:t>
      </w:r>
      <w:r w:rsidRPr="006A4929">
        <w:rPr>
          <w:rFonts w:cs="Times New Roman"/>
        </w:rPr>
        <w:t xml:space="preserve"> 2025; 15: 6724.</w:t>
      </w:r>
    </w:p>
    <w:p w14:paraId="62B03991" w14:textId="77777777" w:rsidR="006A4929" w:rsidRPr="006A4929" w:rsidRDefault="006A4929" w:rsidP="006A4929">
      <w:pPr>
        <w:pStyle w:val="ab"/>
        <w:rPr>
          <w:rFonts w:cs="Times New Roman"/>
        </w:rPr>
      </w:pPr>
      <w:r w:rsidRPr="006A4929">
        <w:rPr>
          <w:rFonts w:cs="Times New Roman"/>
        </w:rPr>
        <w:t xml:space="preserve">[13] </w:t>
      </w:r>
      <w:r w:rsidRPr="006A4929">
        <w:rPr>
          <w:rFonts w:cs="Times New Roman"/>
        </w:rPr>
        <w:tab/>
        <w:t xml:space="preserve">Tu Z, He J, Wang Z, et al. Psychometric properties of the 10-item Connor-Davidson Resilience Scale in Chinese military personnel. </w:t>
      </w:r>
      <w:r w:rsidRPr="006A4929">
        <w:rPr>
          <w:rFonts w:cs="Times New Roman"/>
          <w:i/>
          <w:iCs/>
        </w:rPr>
        <w:t>Front Psychol</w:t>
      </w:r>
      <w:r w:rsidRPr="006A4929">
        <w:rPr>
          <w:rFonts w:cs="Times New Roman"/>
        </w:rPr>
        <w:t xml:space="preserve"> 2023; 14: 1163382.</w:t>
      </w:r>
    </w:p>
    <w:p w14:paraId="1D9D5581" w14:textId="77777777" w:rsidR="006A4929" w:rsidRPr="006A4929" w:rsidRDefault="006A4929" w:rsidP="006A4929">
      <w:pPr>
        <w:pStyle w:val="ab"/>
        <w:rPr>
          <w:rFonts w:cs="Times New Roman"/>
        </w:rPr>
      </w:pPr>
      <w:r w:rsidRPr="006A4929">
        <w:rPr>
          <w:rFonts w:cs="Times New Roman"/>
        </w:rPr>
        <w:t xml:space="preserve">[14] </w:t>
      </w:r>
      <w:r w:rsidRPr="006A4929">
        <w:rPr>
          <w:rFonts w:cs="Times New Roman"/>
        </w:rPr>
        <w:tab/>
        <w:t xml:space="preserve">Mi XY, Hou SS, Fu ZY, et al. [Reliability and validity of the Chinese version of adverse childhood experiences international questionnaire in parents of preschool children]. </w:t>
      </w:r>
      <w:r w:rsidRPr="006A4929">
        <w:rPr>
          <w:rFonts w:cs="Times New Roman"/>
          <w:i/>
          <w:iCs/>
        </w:rPr>
        <w:t xml:space="preserve">Beijing Da </w:t>
      </w:r>
      <w:proofErr w:type="spellStart"/>
      <w:r w:rsidRPr="006A4929">
        <w:rPr>
          <w:rFonts w:cs="Times New Roman"/>
          <w:i/>
          <w:iCs/>
        </w:rPr>
        <w:t>Xue</w:t>
      </w:r>
      <w:proofErr w:type="spellEnd"/>
      <w:r w:rsidRPr="006A4929">
        <w:rPr>
          <w:rFonts w:cs="Times New Roman"/>
          <w:i/>
          <w:iCs/>
        </w:rPr>
        <w:t xml:space="preserve"> </w:t>
      </w:r>
      <w:proofErr w:type="spellStart"/>
      <w:r w:rsidRPr="006A4929">
        <w:rPr>
          <w:rFonts w:cs="Times New Roman"/>
          <w:i/>
          <w:iCs/>
        </w:rPr>
        <w:t>Xue</w:t>
      </w:r>
      <w:proofErr w:type="spellEnd"/>
      <w:r w:rsidRPr="006A4929">
        <w:rPr>
          <w:rFonts w:cs="Times New Roman"/>
          <w:i/>
          <w:iCs/>
        </w:rPr>
        <w:t xml:space="preserve"> Bao</w:t>
      </w:r>
      <w:r w:rsidRPr="006A4929">
        <w:rPr>
          <w:rFonts w:cs="Times New Roman"/>
        </w:rPr>
        <w:t xml:space="preserve"> 2023; 55: 408–414.</w:t>
      </w:r>
    </w:p>
    <w:p w14:paraId="37E609EF" w14:textId="77777777" w:rsidR="006A4929" w:rsidRPr="006A4929" w:rsidRDefault="006A4929" w:rsidP="006A4929">
      <w:pPr>
        <w:pStyle w:val="ab"/>
        <w:rPr>
          <w:rFonts w:cs="Times New Roman"/>
        </w:rPr>
      </w:pPr>
      <w:r w:rsidRPr="006A4929">
        <w:rPr>
          <w:rFonts w:cs="Times New Roman"/>
        </w:rPr>
        <w:t xml:space="preserve">[15] </w:t>
      </w:r>
      <w:r w:rsidRPr="006A4929">
        <w:rPr>
          <w:rFonts w:cs="Times New Roman"/>
        </w:rPr>
        <w:tab/>
        <w:t xml:space="preserve">Xu H, Li M, Cai J, et al. Comparison of ACE-IQ and CTQ-SF for child maltreatment assessment: Reliability, prevalence, and risk prediction. </w:t>
      </w:r>
      <w:r w:rsidRPr="006A4929">
        <w:rPr>
          <w:rFonts w:cs="Times New Roman"/>
          <w:i/>
          <w:iCs/>
        </w:rPr>
        <w:t xml:space="preserve">Child Abuse </w:t>
      </w:r>
      <w:proofErr w:type="spellStart"/>
      <w:r w:rsidRPr="006A4929">
        <w:rPr>
          <w:rFonts w:cs="Times New Roman"/>
          <w:i/>
          <w:iCs/>
        </w:rPr>
        <w:t>Negl</w:t>
      </w:r>
      <w:proofErr w:type="spellEnd"/>
      <w:r w:rsidRPr="006A4929">
        <w:rPr>
          <w:rFonts w:cs="Times New Roman"/>
        </w:rPr>
        <w:t xml:space="preserve"> 2023; 146: 106529.</w:t>
      </w:r>
    </w:p>
    <w:p w14:paraId="771CB99D" w14:textId="0F17E806" w:rsidR="005C3D03" w:rsidRDefault="006A0E05">
      <w:pPr>
        <w:spacing w:line="480" w:lineRule="auto"/>
      </w:pPr>
      <w:r>
        <w:fldChar w:fldCharType="end"/>
      </w:r>
    </w:p>
    <w:sectPr w:rsidR="005C3D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A07AF" w14:textId="77777777" w:rsidR="001F0881" w:rsidRDefault="001F0881" w:rsidP="007F7D6E">
      <w:r>
        <w:separator/>
      </w:r>
    </w:p>
  </w:endnote>
  <w:endnote w:type="continuationSeparator" w:id="0">
    <w:p w14:paraId="2B1C0889" w14:textId="77777777" w:rsidR="001F0881" w:rsidRDefault="001F0881" w:rsidP="007F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5BD19" w14:textId="77777777" w:rsidR="001F0881" w:rsidRDefault="001F0881" w:rsidP="007F7D6E">
      <w:r>
        <w:separator/>
      </w:r>
    </w:p>
  </w:footnote>
  <w:footnote w:type="continuationSeparator" w:id="0">
    <w:p w14:paraId="1BD0302A" w14:textId="77777777" w:rsidR="001F0881" w:rsidRDefault="001F0881" w:rsidP="007F7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22C7564"/>
    <w:rsid w:val="001573F5"/>
    <w:rsid w:val="001F0881"/>
    <w:rsid w:val="001F4A34"/>
    <w:rsid w:val="003C39A3"/>
    <w:rsid w:val="00500D67"/>
    <w:rsid w:val="005C3161"/>
    <w:rsid w:val="005C3D03"/>
    <w:rsid w:val="006713E6"/>
    <w:rsid w:val="006A0E05"/>
    <w:rsid w:val="006A4929"/>
    <w:rsid w:val="006B5112"/>
    <w:rsid w:val="007323E2"/>
    <w:rsid w:val="00791AD3"/>
    <w:rsid w:val="007F7D6E"/>
    <w:rsid w:val="00870B77"/>
    <w:rsid w:val="00C32E45"/>
    <w:rsid w:val="03E226B1"/>
    <w:rsid w:val="04A938A2"/>
    <w:rsid w:val="0B7C339C"/>
    <w:rsid w:val="107C4B94"/>
    <w:rsid w:val="1FC001AD"/>
    <w:rsid w:val="222C7564"/>
    <w:rsid w:val="22313724"/>
    <w:rsid w:val="22363719"/>
    <w:rsid w:val="22543688"/>
    <w:rsid w:val="4A222EFD"/>
    <w:rsid w:val="4D465454"/>
    <w:rsid w:val="5C98591B"/>
    <w:rsid w:val="7FA46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A60BA3"/>
  <w15:docId w15:val="{956D8490-9590-46E0-AF90-889C0D77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Theme="minorEastAsia" w:cstheme="minorBidi"/>
      <w:kern w:val="2"/>
      <w:sz w:val="24"/>
      <w:szCs w:val="2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Emphasis"/>
    <w:basedOn w:val="a0"/>
    <w:qFormat/>
    <w:rPr>
      <w:i/>
    </w:rPr>
  </w:style>
  <w:style w:type="table" w:customStyle="1" w:styleId="sanxian">
    <w:name w:val="sanxian"/>
    <w:uiPriority w:val="99"/>
    <w:qFormat/>
    <w:tblPr>
      <w:tblBorders>
        <w:top w:val="single" w:sz="12" w:space="0" w:color="auto"/>
        <w:bottom w:val="single" w:sz="12" w:space="0" w:color="auto"/>
      </w:tblBorders>
      <w:tblCellMar>
        <w:top w:w="0" w:type="dxa"/>
        <w:left w:w="0" w:type="dxa"/>
        <w:bottom w:w="0" w:type="dxa"/>
        <w:right w:w="0" w:type="dxa"/>
      </w:tblCellMar>
    </w:tblPr>
    <w:tblStylePr w:type="firstRow">
      <w:tblPr/>
      <w:tcPr>
        <w:tcBorders>
          <w:bottom w:val="single" w:sz="4" w:space="0" w:color="auto"/>
        </w:tcBorders>
      </w:tcPr>
    </w:tblStylePr>
  </w:style>
  <w:style w:type="character" w:customStyle="1" w:styleId="a6">
    <w:name w:val="页眉 字符"/>
    <w:basedOn w:val="a0"/>
    <w:link w:val="a5"/>
    <w:qFormat/>
    <w:rPr>
      <w:rFonts w:eastAsiaTheme="minorEastAsia" w:cstheme="minorBidi"/>
      <w:kern w:val="2"/>
      <w:sz w:val="18"/>
      <w:szCs w:val="18"/>
    </w:rPr>
  </w:style>
  <w:style w:type="character" w:customStyle="1" w:styleId="a4">
    <w:name w:val="页脚 字符"/>
    <w:basedOn w:val="a0"/>
    <w:link w:val="a3"/>
    <w:qFormat/>
    <w:rPr>
      <w:rFonts w:eastAsiaTheme="minorEastAsia" w:cstheme="minorBidi"/>
      <w:kern w:val="2"/>
      <w:sz w:val="18"/>
      <w:szCs w:val="18"/>
    </w:rPr>
  </w:style>
  <w:style w:type="paragraph" w:customStyle="1" w:styleId="1">
    <w:name w:val="书目1"/>
    <w:basedOn w:val="a"/>
    <w:next w:val="a"/>
    <w:uiPriority w:val="37"/>
    <w:unhideWhenUsed/>
    <w:qFormat/>
    <w:pPr>
      <w:spacing w:after="240"/>
      <w:ind w:left="720" w:hanging="720"/>
    </w:p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paragraph" w:styleId="ab">
    <w:name w:val="Bibliography"/>
    <w:basedOn w:val="a"/>
    <w:next w:val="a"/>
    <w:uiPriority w:val="37"/>
    <w:unhideWhenUsed/>
    <w:rsid w:val="006A4929"/>
    <w:pPr>
      <w:tabs>
        <w:tab w:val="left" w:pos="624"/>
      </w:tabs>
      <w:spacing w:after="240"/>
      <w:ind w:left="624"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6469</Words>
  <Characters>36879</Characters>
  <Application>Microsoft Office Word</Application>
  <DocSecurity>0</DocSecurity>
  <Lines>307</Lines>
  <Paragraphs>86</Paragraphs>
  <ScaleCrop>false</ScaleCrop>
  <Company/>
  <LinksUpToDate>false</LinksUpToDate>
  <CharactersWithSpaces>43262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景天三七</dc:creator>
  <cp:lastModifiedBy>Lenovo</cp:lastModifiedBy>
  <cp:revision>2</cp:revision>
  <dcterms:created xsi:type="dcterms:W3CDTF">2026-03-22T14:10:00Z</dcterms:created>
  <dcterms:modified xsi:type="dcterms:W3CDTF">2026-03-22T14:10:00Z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FCBB35136877473DAA54979066709D72_11</vt:lpwstr>
  </property>
  <property fmtid="{D5CDD505-2E9C-101B-9397-08002B2CF9AE}" pid="4" name="KSOTemplateDocerSaveRecord">
    <vt:lpwstr>eyJoZGlkIjoiN2ExNGNlNzMyN2RlNDdjOGFkMTIwNTMzYjA2NDZhMGUiLCJ1c2VySWQiOiIxMTI3MzcwMzI5In0=</vt:lpwstr>
  </property>
  <property fmtid="{D5CDD505-2E9C-101B-9397-08002B2CF9AE}" pid="5" name="ZOTERO_PREF_1">
    <vt:lpwstr>&lt;data data-version="3" zotero-version="6.0.36"&gt;&lt;session id="fxFVoysz"/&gt;&lt;style id="http://www.zotero.org/styles/sage-vancouver-brackets" hasBibliography="1" bibliographyStyleHasBeenSet="1"/&gt;&lt;prefs&gt;&lt;pref name="fieldType" value="Field"/&gt;&lt;pref name="automatic</vt:lpwstr>
  </property>
  <property fmtid="{D5CDD505-2E9C-101B-9397-08002B2CF9AE}" pid="6" name="ZOTERO_PREF_2">
    <vt:lpwstr>JournalAbbreviations" value="true"/&gt;&lt;/prefs&gt;&lt;/data&gt;</vt:lpwstr>
  </property>
</Properties>
</file>