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87E8D" w14:textId="77777777" w:rsidR="00C6523C" w:rsidRPr="000C13CC" w:rsidRDefault="00C6523C" w:rsidP="00C6523C">
      <w:pPr>
        <w:spacing w:line="480" w:lineRule="auto"/>
        <w:rPr>
          <w:rFonts w:ascii="Arial" w:eastAsia="Arial" w:hAnsi="Arial" w:cs="Arial"/>
          <w:sz w:val="22"/>
        </w:rPr>
      </w:pPr>
      <w:r w:rsidRPr="000C13CC">
        <w:rPr>
          <w:rFonts w:ascii="Arial" w:eastAsia="Arial" w:hAnsi="Arial" w:cs="Arial"/>
          <w:b/>
          <w:sz w:val="22"/>
        </w:rPr>
        <w:t>Supplementa</w:t>
      </w:r>
      <w:r>
        <w:rPr>
          <w:rFonts w:ascii="Arial" w:eastAsia="Arial" w:hAnsi="Arial" w:cs="Arial"/>
          <w:b/>
          <w:sz w:val="22"/>
        </w:rPr>
        <w:t>ry</w:t>
      </w:r>
      <w:r w:rsidRPr="000C13CC">
        <w:rPr>
          <w:rFonts w:ascii="Arial" w:eastAsia="Arial" w:hAnsi="Arial" w:cs="Arial"/>
          <w:b/>
          <w:sz w:val="22"/>
        </w:rPr>
        <w:t xml:space="preserve"> </w:t>
      </w:r>
      <w:r>
        <w:rPr>
          <w:rFonts w:ascii="Arial" w:eastAsia="Arial" w:hAnsi="Arial" w:cs="Arial"/>
          <w:b/>
          <w:sz w:val="22"/>
        </w:rPr>
        <w:t>F</w:t>
      </w:r>
      <w:r w:rsidRPr="000C13CC">
        <w:rPr>
          <w:rFonts w:ascii="Arial" w:eastAsia="Arial" w:hAnsi="Arial" w:cs="Arial"/>
          <w:b/>
          <w:sz w:val="22"/>
        </w:rPr>
        <w:t>ig</w:t>
      </w:r>
      <w:r>
        <w:rPr>
          <w:rFonts w:ascii="Arial" w:eastAsia="Arial" w:hAnsi="Arial" w:cs="Arial"/>
          <w:b/>
          <w:sz w:val="22"/>
        </w:rPr>
        <w:t>.</w:t>
      </w:r>
      <w:r w:rsidRPr="000C13CC">
        <w:rPr>
          <w:rFonts w:ascii="Arial" w:eastAsia="Arial" w:hAnsi="Arial" w:cs="Arial"/>
          <w:b/>
          <w:sz w:val="22"/>
        </w:rPr>
        <w:t xml:space="preserve"> 1</w:t>
      </w:r>
      <w:r w:rsidRPr="000C13CC">
        <w:rPr>
          <w:rFonts w:ascii="Arial" w:eastAsia="Arial" w:hAnsi="Arial" w:cs="Arial"/>
          <w:sz w:val="22"/>
        </w:rPr>
        <w:t xml:space="preserve"> </w:t>
      </w:r>
      <w:r>
        <w:rPr>
          <w:rFonts w:ascii="Arial" w:eastAsia="Arial" w:hAnsi="Arial" w:cs="Arial"/>
          <w:sz w:val="22"/>
        </w:rPr>
        <w:t>P</w:t>
      </w:r>
      <w:r w:rsidRPr="000C13CC">
        <w:rPr>
          <w:rFonts w:ascii="Arial" w:eastAsia="Arial" w:hAnsi="Arial" w:cs="Arial"/>
          <w:sz w:val="22"/>
        </w:rPr>
        <w:t>opulation pharmacokinetic–pharmacodynamic model fitting</w:t>
      </w:r>
    </w:p>
    <w:p w14:paraId="140BA019" w14:textId="77777777" w:rsidR="00C6523C" w:rsidRPr="000C13CC" w:rsidRDefault="00C6523C" w:rsidP="00C6523C">
      <w:pPr>
        <w:spacing w:line="480" w:lineRule="auto"/>
        <w:rPr>
          <w:rFonts w:ascii="Arial" w:eastAsia="Arial" w:hAnsi="Arial" w:cs="Arial"/>
          <w:sz w:val="22"/>
        </w:rPr>
      </w:pPr>
      <w:r w:rsidRPr="000C13CC">
        <w:rPr>
          <w:rFonts w:ascii="Arial" w:eastAsia="Arial" w:hAnsi="Arial" w:cs="Arial"/>
          <w:sz w:val="22"/>
        </w:rPr>
        <w:t>Basic goodness-of-fit plots for amrubicinol (a,c,e,g) and amrubicin (b,d,f,h) PK model. Basic goodness-of-fit plot for the PD model (i,j,k,l). (a,b,i) Observations (Dependent Variable; DV) versus population predictions at log scale (PRED log), (c,d,j) observations (DV) versus individual predictions at log scale (IPRED log), (e,f,k) individually weighted residuals (IWRES) versus individual predictions at log scale (IPRED log) (k; not log scale), and (g,h,l) conditional weighted residuals (CWRES) versus the independent variable (IVAR; time in a PK and PD fit). The solid black y = x and y = 0 lines represent the lines of identity and reference, respectively. The solid blue lines represent locally weighted scatterplot smoothing (LOWESS), and IWRES refers to the absolute value of the individual weighted residuals.</w:t>
      </w:r>
      <w:r>
        <w:rPr>
          <w:rFonts w:ascii="Arial" w:eastAsia="Arial" w:hAnsi="Arial" w:cs="Arial"/>
          <w:sz w:val="22"/>
        </w:rPr>
        <w:t xml:space="preserve"> PK, pharmacokinetics; PD, pharmacodynamics.</w:t>
      </w:r>
    </w:p>
    <w:p w14:paraId="1D098D64" w14:textId="77777777" w:rsidR="00C6523C" w:rsidRPr="000C13CC" w:rsidRDefault="00C6523C" w:rsidP="00C6523C">
      <w:pPr>
        <w:spacing w:line="480" w:lineRule="auto"/>
        <w:rPr>
          <w:rFonts w:ascii="Arial" w:eastAsia="Arial" w:hAnsi="Arial" w:cs="Arial"/>
          <w:sz w:val="22"/>
        </w:rPr>
      </w:pPr>
    </w:p>
    <w:p w14:paraId="1281F28C" w14:textId="77777777" w:rsidR="00C6523C" w:rsidRPr="000C13CC" w:rsidRDefault="00C6523C" w:rsidP="00C6523C">
      <w:pPr>
        <w:spacing w:line="480" w:lineRule="auto"/>
        <w:rPr>
          <w:rFonts w:ascii="Arial" w:eastAsia="Arial" w:hAnsi="Arial" w:cs="Arial"/>
          <w:sz w:val="22"/>
        </w:rPr>
      </w:pPr>
      <w:r w:rsidRPr="000C13CC">
        <w:rPr>
          <w:rFonts w:ascii="Arial" w:eastAsia="Arial" w:hAnsi="Arial" w:cs="Arial"/>
          <w:b/>
          <w:sz w:val="22"/>
        </w:rPr>
        <w:t>Supplementary Fig</w:t>
      </w:r>
      <w:r>
        <w:rPr>
          <w:rFonts w:ascii="Arial" w:eastAsia="Arial" w:hAnsi="Arial" w:cs="Arial"/>
          <w:b/>
          <w:sz w:val="22"/>
        </w:rPr>
        <w:t>.</w:t>
      </w:r>
      <w:r w:rsidRPr="000C13CC">
        <w:rPr>
          <w:rFonts w:ascii="Arial" w:eastAsia="Arial" w:hAnsi="Arial" w:cs="Arial"/>
          <w:b/>
          <w:sz w:val="22"/>
        </w:rPr>
        <w:t xml:space="preserve"> 2</w:t>
      </w:r>
      <w:r w:rsidRPr="000C13CC">
        <w:rPr>
          <w:rFonts w:ascii="Arial" w:eastAsia="Arial" w:hAnsi="Arial" w:cs="Arial"/>
          <w:sz w:val="22"/>
        </w:rPr>
        <w:t xml:space="preserve"> User interface and analysis output of the therapeutic drug monitoring (TDM) application for amrubicin</w:t>
      </w:r>
    </w:p>
    <w:p w14:paraId="1E42A7B3" w14:textId="77777777" w:rsidR="00C6523C" w:rsidRPr="000C13CC" w:rsidRDefault="00C6523C" w:rsidP="00C6523C">
      <w:pPr>
        <w:spacing w:line="480" w:lineRule="auto"/>
        <w:rPr>
          <w:rFonts w:ascii="Arial" w:eastAsia="Arial" w:hAnsi="Arial" w:cs="Arial"/>
          <w:sz w:val="22"/>
        </w:rPr>
      </w:pPr>
      <w:r w:rsidRPr="000C13CC">
        <w:rPr>
          <w:rFonts w:ascii="Arial" w:eastAsia="Arial" w:hAnsi="Arial" w:cs="Arial"/>
          <w:sz w:val="22"/>
        </w:rPr>
        <w:t>The web-based TDM application consists of the following tabs: Patient information, Drug information, Dosing information, Blood sampling time information, and Analysis. Panels (a)–(d) show input interfaces for patient background, drug information, dosing records, and blood sampling times, respectively. Panel (e) shows the Analysis tab.</w:t>
      </w:r>
      <w:r>
        <w:rPr>
          <w:rFonts w:ascii="Arial" w:eastAsia="Arial" w:hAnsi="Arial" w:cs="Arial"/>
          <w:sz w:val="22"/>
        </w:rPr>
        <w:t xml:space="preserve"> </w:t>
      </w:r>
      <w:r w:rsidRPr="000C13CC">
        <w:rPr>
          <w:rFonts w:ascii="Arial" w:eastAsia="Arial" w:hAnsi="Arial" w:cs="Arial"/>
          <w:sz w:val="22"/>
        </w:rPr>
        <w:t xml:space="preserve">In the Analysis </w:t>
      </w:r>
      <w:r w:rsidRPr="000C13CC">
        <w:rPr>
          <w:rFonts w:ascii="Arial" w:eastAsia="Arial" w:hAnsi="Arial" w:cs="Arial"/>
          <w:sz w:val="22"/>
        </w:rPr>
        <w:lastRenderedPageBreak/>
        <w:t xml:space="preserve">tab, the upper panels display the observed plasma concentration data (dots) and the model-based Bayesian simulation curves for amrubicin (AMR) and amrubicinol (AMROH) following amrubicin administration on days 1–3. The lower panel displays the observed absolute neutrophil count data (dots) before and after treatment and the simulated time course of the neutrophil count during the first treatment cycle. The shaded areas represent 80% confidence intervals derived from the parameter uncertainty propagated using the standard error of the Bayesian estimates. </w:t>
      </w:r>
    </w:p>
    <w:p w14:paraId="03F6109B" w14:textId="77777777" w:rsidR="00DE6AE2" w:rsidRDefault="00DE6AE2"/>
    <w:sectPr w:rsidR="00DE6AE2" w:rsidSect="00C6523C">
      <w:footerReference w:type="default" r:id="rId4"/>
      <w:pgSz w:w="11906" w:h="16838"/>
      <w:pgMar w:top="1985"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83266" w14:textId="77777777" w:rsidR="00C6523C" w:rsidRDefault="00C6523C">
    <w:pPr>
      <w:pStyle w:val="Footer"/>
      <w:jc w:val="center"/>
      <w:rPr>
        <w:rFonts w:ascii="Arial" w:eastAsia="Arial" w:hAnsi="Arial" w:cs="Arial"/>
      </w:rPr>
    </w:pPr>
    <w:r>
      <w:rPr>
        <w:rFonts w:ascii="Yu Mincho" w:eastAsia="Yu Mincho" w:hAnsi="Yu Mincho" w:cs="Yu Mincho"/>
      </w:rPr>
      <w:t xml:space="preserve"> </w:t>
    </w:r>
    <w:r>
      <w:rPr>
        <w:rFonts w:ascii="Arial" w:hAnsi="Arial" w:cs="Arial"/>
        <w:bCs/>
        <w:sz w:val="24"/>
        <w:szCs w:val="24"/>
      </w:rPr>
      <w:fldChar w:fldCharType="begin"/>
    </w:r>
    <w:r>
      <w:rPr>
        <w:rFonts w:ascii="Arial" w:hAnsi="Arial" w:cs="Arial"/>
        <w:bCs/>
      </w:rPr>
      <w:instrText>PAGE</w:instrText>
    </w:r>
    <w:r>
      <w:rPr>
        <w:rFonts w:ascii="Arial" w:hAnsi="Arial" w:cs="Arial"/>
        <w:bCs/>
        <w:sz w:val="24"/>
        <w:szCs w:val="24"/>
      </w:rPr>
      <w:fldChar w:fldCharType="separate"/>
    </w:r>
    <w:r>
      <w:rPr>
        <w:rFonts w:ascii="Arial" w:eastAsia="Arial" w:hAnsi="Arial" w:cs="Arial"/>
      </w:rPr>
      <w:t>2</w:t>
    </w:r>
    <w:r>
      <w:rPr>
        <w:rFonts w:ascii="Arial" w:eastAsia="Arial" w:hAnsi="Arial" w:cs="Arial"/>
      </w:rPr>
      <w:fldChar w:fldCharType="end"/>
    </w:r>
    <w:r>
      <w:rPr>
        <w:rFonts w:ascii="Arial" w:eastAsia="Arial" w:hAnsi="Arial" w:cs="Arial"/>
      </w:rPr>
      <w:t xml:space="preserve"> / </w:t>
    </w:r>
    <w:r>
      <w:rPr>
        <w:rFonts w:ascii="Arial" w:hAnsi="Arial" w:cs="Arial"/>
        <w:bCs/>
        <w:sz w:val="24"/>
        <w:szCs w:val="24"/>
      </w:rPr>
      <w:fldChar w:fldCharType="begin"/>
    </w:r>
    <w:r>
      <w:rPr>
        <w:rFonts w:ascii="Arial" w:hAnsi="Arial" w:cs="Arial"/>
        <w:bCs/>
      </w:rPr>
      <w:instrText>NUMPAGES</w:instrText>
    </w:r>
    <w:r>
      <w:rPr>
        <w:rFonts w:ascii="Arial" w:hAnsi="Arial" w:cs="Arial"/>
        <w:bCs/>
        <w:sz w:val="24"/>
        <w:szCs w:val="24"/>
      </w:rPr>
      <w:fldChar w:fldCharType="separate"/>
    </w:r>
    <w:r>
      <w:rPr>
        <w:rFonts w:ascii="Arial" w:eastAsia="Arial" w:hAnsi="Arial" w:cs="Arial"/>
      </w:rPr>
      <w:t>2</w:t>
    </w:r>
    <w:r>
      <w:rPr>
        <w:rFonts w:ascii="Arial" w:eastAsia="Arial" w:hAnsi="Arial" w:cs="Arial"/>
      </w:rPr>
      <w:fldChar w:fldCharType="end"/>
    </w:r>
  </w:p>
  <w:p w14:paraId="672271FB" w14:textId="77777777" w:rsidR="00C6523C" w:rsidRDefault="00C6523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23C"/>
    <w:rsid w:val="00195413"/>
    <w:rsid w:val="0039584F"/>
    <w:rsid w:val="003D0186"/>
    <w:rsid w:val="007278E4"/>
    <w:rsid w:val="00A3738C"/>
    <w:rsid w:val="00BC6C35"/>
    <w:rsid w:val="00C6523C"/>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526B3"/>
  <w15:chartTrackingRefBased/>
  <w15:docId w15:val="{6343BCDA-C9D5-4E6A-9A59-F6E717051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23C"/>
    <w:pPr>
      <w:widowControl w:val="0"/>
      <w:spacing w:after="0" w:line="240" w:lineRule="auto"/>
      <w:jc w:val="both"/>
    </w:pPr>
    <w:rPr>
      <w:rFonts w:eastAsiaTheme="minorEastAsia"/>
      <w:sz w:val="21"/>
      <w:szCs w:val="22"/>
      <w:lang w:eastAsia="ja-JP"/>
      <w14:ligatures w14:val="none"/>
    </w:rPr>
  </w:style>
  <w:style w:type="paragraph" w:styleId="Heading1">
    <w:name w:val="heading 1"/>
    <w:basedOn w:val="Normal"/>
    <w:next w:val="Normal"/>
    <w:link w:val="Heading1Char"/>
    <w:uiPriority w:val="9"/>
    <w:qFormat/>
    <w:rsid w:val="00C6523C"/>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C6523C"/>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C6523C"/>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C6523C"/>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C6523C"/>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C6523C"/>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C6523C"/>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C6523C"/>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C6523C"/>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52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52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52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52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52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52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52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52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523C"/>
    <w:rPr>
      <w:rFonts w:eastAsiaTheme="majorEastAsia" w:cstheme="majorBidi"/>
      <w:color w:val="272727" w:themeColor="text1" w:themeTint="D8"/>
    </w:rPr>
  </w:style>
  <w:style w:type="paragraph" w:styleId="Title">
    <w:name w:val="Title"/>
    <w:basedOn w:val="Normal"/>
    <w:next w:val="Normal"/>
    <w:link w:val="TitleChar"/>
    <w:uiPriority w:val="10"/>
    <w:qFormat/>
    <w:rsid w:val="00C6523C"/>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C652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523C"/>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C652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523C"/>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C6523C"/>
    <w:rPr>
      <w:i/>
      <w:iCs/>
      <w:color w:val="404040" w:themeColor="text1" w:themeTint="BF"/>
    </w:rPr>
  </w:style>
  <w:style w:type="paragraph" w:styleId="ListParagraph">
    <w:name w:val="List Paragraph"/>
    <w:basedOn w:val="Normal"/>
    <w:uiPriority w:val="34"/>
    <w:qFormat/>
    <w:rsid w:val="00C6523C"/>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C6523C"/>
    <w:rPr>
      <w:i/>
      <w:iCs/>
      <w:color w:val="0F4761" w:themeColor="accent1" w:themeShade="BF"/>
    </w:rPr>
  </w:style>
  <w:style w:type="paragraph" w:styleId="IntenseQuote">
    <w:name w:val="Intense Quote"/>
    <w:basedOn w:val="Normal"/>
    <w:next w:val="Normal"/>
    <w:link w:val="IntenseQuoteChar"/>
    <w:uiPriority w:val="30"/>
    <w:qFormat/>
    <w:rsid w:val="00C6523C"/>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C6523C"/>
    <w:rPr>
      <w:i/>
      <w:iCs/>
      <w:color w:val="0F4761" w:themeColor="accent1" w:themeShade="BF"/>
    </w:rPr>
  </w:style>
  <w:style w:type="character" w:styleId="IntenseReference">
    <w:name w:val="Intense Reference"/>
    <w:basedOn w:val="DefaultParagraphFont"/>
    <w:uiPriority w:val="32"/>
    <w:qFormat/>
    <w:rsid w:val="00C6523C"/>
    <w:rPr>
      <w:b/>
      <w:bCs/>
      <w:smallCaps/>
      <w:color w:val="0F4761" w:themeColor="accent1" w:themeShade="BF"/>
      <w:spacing w:val="5"/>
    </w:rPr>
  </w:style>
  <w:style w:type="paragraph" w:styleId="Footer">
    <w:name w:val="footer"/>
    <w:basedOn w:val="Normal"/>
    <w:link w:val="FooterChar"/>
    <w:rsid w:val="00C6523C"/>
    <w:pPr>
      <w:tabs>
        <w:tab w:val="center" w:pos="4252"/>
        <w:tab w:val="right" w:pos="8504"/>
      </w:tabs>
      <w:snapToGrid w:val="0"/>
    </w:pPr>
  </w:style>
  <w:style w:type="character" w:customStyle="1" w:styleId="FooterChar">
    <w:name w:val="Footer Char"/>
    <w:basedOn w:val="DefaultParagraphFont"/>
    <w:link w:val="Footer"/>
    <w:rsid w:val="00C6523C"/>
    <w:rPr>
      <w:rFonts w:eastAsiaTheme="minorEastAsia"/>
      <w:sz w:val="21"/>
      <w:szCs w:val="22"/>
      <w:lang w:eastAsia="ja-JP"/>
      <w14:ligatures w14:val="none"/>
    </w:rPr>
  </w:style>
  <w:style w:type="character" w:styleId="LineNumber">
    <w:name w:val="line number"/>
    <w:basedOn w:val="DefaultParagraphFont"/>
    <w:uiPriority w:val="99"/>
    <w:semiHidden/>
    <w:unhideWhenUsed/>
    <w:rsid w:val="00C65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260</Words>
  <Characters>1722</Characters>
  <Application>Microsoft Office Word</Application>
  <DocSecurity>0</DocSecurity>
  <Lines>28</Lines>
  <Paragraphs>8</Paragraphs>
  <ScaleCrop>false</ScaleCrop>
  <Company>Springer Nature</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2026-04-06T04:51:00Z</dcterms:created>
  <dcterms:modified xsi:type="dcterms:W3CDTF">2026-04-06T04:52:00Z</dcterms:modified>
</cp:coreProperties>
</file>