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6324C">
      <w:pPr>
        <w:jc w:val="center"/>
        <w:rPr>
          <w:rFonts w:hint="eastAsia"/>
          <w:b/>
          <w:bCs/>
          <w:sz w:val="32"/>
          <w:szCs w:val="32"/>
        </w:rPr>
      </w:pPr>
      <w:r>
        <w:rPr>
          <w:rFonts w:hint="eastAsia"/>
          <w:b/>
          <w:bCs/>
          <w:sz w:val="32"/>
          <w:szCs w:val="32"/>
        </w:rPr>
        <w:t>Protocol</w:t>
      </w:r>
    </w:p>
    <w:p w14:paraId="76E20E39">
      <w:pPr>
        <w:rPr>
          <w:rFonts w:hint="eastAsia"/>
          <w:b/>
          <w:bCs/>
        </w:rPr>
      </w:pPr>
      <w:r>
        <w:rPr>
          <w:rFonts w:hint="eastAsia"/>
          <w:b/>
          <w:bCs/>
        </w:rPr>
        <w:t>Title</w:t>
      </w:r>
    </w:p>
    <w:p w14:paraId="71395A68">
      <w:pPr>
        <w:rPr>
          <w:rFonts w:hint="eastAsia"/>
        </w:rPr>
      </w:pPr>
      <w:r>
        <w:rPr>
          <w:rFonts w:hint="eastAsia"/>
        </w:rPr>
        <w:t>Endoscopic ultrasound-guided sandwich method was used to detect esophageal and gastric varices Analysis of the efficacy of quasi-devascularization</w:t>
      </w:r>
    </w:p>
    <w:p w14:paraId="476A0C71">
      <w:pPr>
        <w:rPr>
          <w:rFonts w:hint="eastAsia"/>
        </w:rPr>
      </w:pPr>
      <w:r>
        <w:rPr>
          <w:rFonts w:hint="eastAsia"/>
        </w:rPr>
        <w:t>Authors</w:t>
      </w:r>
    </w:p>
    <w:p w14:paraId="7BE65C1F">
      <w:pPr>
        <w:rPr>
          <w:rFonts w:hint="eastAsia"/>
        </w:rPr>
      </w:pPr>
      <w:r>
        <w:rPr>
          <w:rFonts w:hint="eastAsia"/>
        </w:rPr>
        <w:t xml:space="preserve">Qingchao Zhao, Chao Liu*, Dongqiang Zhao, Yongshun Xue, Heshuai Wang, Wei Yu, Jiangtao Jia  </w:t>
      </w:r>
    </w:p>
    <w:p w14:paraId="2E3F6F8A">
      <w:pPr>
        <w:rPr>
          <w:rFonts w:hint="eastAsia"/>
        </w:rPr>
      </w:pPr>
      <w:r>
        <w:rPr>
          <w:rFonts w:hint="eastAsia"/>
        </w:rPr>
        <w:t xml:space="preserve">1Baoding No.2 Hospital of Hebei Province, Baoding, China  </w:t>
      </w:r>
    </w:p>
    <w:p w14:paraId="57EAC363">
      <w:pPr>
        <w:rPr>
          <w:rFonts w:hint="eastAsia"/>
        </w:rPr>
      </w:pPr>
      <w:r>
        <w:rPr>
          <w:rFonts w:hint="eastAsia"/>
        </w:rPr>
        <w:t xml:space="preserve">2The Second Hospital of Hebei Medical University, Shijiazhuang, China  </w:t>
      </w:r>
    </w:p>
    <w:p w14:paraId="7F64C67A">
      <w:pPr>
        <w:rPr>
          <w:rFonts w:hint="eastAsia"/>
        </w:rPr>
      </w:pPr>
      <w:r>
        <w:rPr>
          <w:rFonts w:hint="eastAsia"/>
        </w:rPr>
        <w:t>*Corresponding author: Chao Liu, Department of Gastroenterology, Baoding Second Hospital, Dongfeng West Road, Baoding City, Hebei Province, China. Email: 3861114308@qq.com; Tel: 15233729008</w:t>
      </w:r>
    </w:p>
    <w:p w14:paraId="72C745E4">
      <w:pPr>
        <w:rPr>
          <w:rFonts w:hint="eastAsia"/>
        </w:rPr>
      </w:pPr>
    </w:p>
    <w:p w14:paraId="2C458B72">
      <w:pPr>
        <w:rPr>
          <w:rFonts w:hint="eastAsia"/>
          <w:b/>
          <w:bCs/>
        </w:rPr>
      </w:pPr>
      <w:r>
        <w:rPr>
          <w:rFonts w:hint="eastAsia"/>
          <w:b/>
          <w:bCs/>
        </w:rPr>
        <w:t>Abstract</w:t>
      </w:r>
    </w:p>
    <w:p w14:paraId="7A6314D7">
      <w:pPr>
        <w:rPr>
          <w:rFonts w:hint="eastAsia"/>
        </w:rPr>
      </w:pPr>
      <w:r>
        <w:rPr>
          <w:rFonts w:hint="eastAsia"/>
        </w:rPr>
        <w:t xml:space="preserve">Background:Gastroesophageal varices (GOV1 and GOV2) are major complications of portal hypertension. Endoscopic ultrasound (EUS)-guided cyanoacrylate selective sealing (PCSS) may improve obliteration compared with conventional direct endoscopic injection of cyanoacrylate (DEI-CYA).  </w:t>
      </w:r>
    </w:p>
    <w:p w14:paraId="72D9332C">
      <w:pPr>
        <w:rPr>
          <w:rFonts w:hint="eastAsia"/>
        </w:rPr>
      </w:pPr>
      <w:r>
        <w:rPr>
          <w:rFonts w:hint="eastAsia"/>
        </w:rPr>
        <w:t xml:space="preserve">Methods: Ninety-seven patients with GOV1 or GOV2 varices were randomized to PCSS (n=50) or DEI-CYA (n=47). Primary outcome was variceal obliteration at 1 and 6 months. Secondary outcomes included rebleeding, recurrence, procedural cost, drug usage, and adverse events.  </w:t>
      </w:r>
    </w:p>
    <w:p w14:paraId="28F63F5D">
      <w:pPr>
        <w:rPr>
          <w:rFonts w:hint="eastAsia"/>
        </w:rPr>
      </w:pPr>
      <w:r>
        <w:rPr>
          <w:rFonts w:hint="eastAsia"/>
        </w:rPr>
        <w:t xml:space="preserve">Results: GV obliteration was 100% in both groups at 1 month. EV disappearance rates were higher in the PCSS group (90% vs 61.7%, P&lt;0.05) at 1 month and maintained at 6 months (90% vs 65.96%, P&lt;0.05). Rebleeding at 6 months was lower in PCSS (2 vs 12 patients, P&lt;0.05). Adverse events were comparable. Median procedural cost was higher for PCSS (6383.4 vs 4008.7 CNY).  </w:t>
      </w:r>
    </w:p>
    <w:p w14:paraId="0E1F65D1">
      <w:pPr>
        <w:rPr>
          <w:rFonts w:hint="eastAsia"/>
        </w:rPr>
      </w:pPr>
      <w:r>
        <w:rPr>
          <w:rFonts w:hint="eastAsia"/>
        </w:rPr>
        <w:t>Conclusions: EUS-guided PCSS achieves superior variceal obliteration and lower recurrence and rebleeding rates than DEI-CYA, with acceptable safety and higher cost.</w:t>
      </w:r>
    </w:p>
    <w:p w14:paraId="7B230E14">
      <w:pPr>
        <w:rPr>
          <w:rFonts w:hint="eastAsia"/>
        </w:rPr>
      </w:pPr>
    </w:p>
    <w:p w14:paraId="4EC59017">
      <w:pPr>
        <w:rPr>
          <w:rFonts w:hint="eastAsia"/>
          <w:b/>
          <w:bCs/>
        </w:rPr>
      </w:pPr>
      <w:r>
        <w:rPr>
          <w:rFonts w:hint="eastAsia"/>
          <w:b/>
          <w:bCs/>
        </w:rPr>
        <w:t>Keywords</w:t>
      </w:r>
    </w:p>
    <w:p w14:paraId="08E9FCCD">
      <w:pPr>
        <w:rPr>
          <w:rFonts w:hint="eastAsia"/>
        </w:rPr>
      </w:pPr>
      <w:r>
        <w:rPr>
          <w:rFonts w:hint="eastAsia"/>
        </w:rPr>
        <w:t>Gastroesophageal varices; Endoscopic ultrasonography; Cyanoacrylate; Polidocanol; Variceal obliteration; Rebleeding</w:t>
      </w:r>
    </w:p>
    <w:p w14:paraId="1826F4AA">
      <w:pPr>
        <w:rPr>
          <w:rFonts w:hint="eastAsia"/>
        </w:rPr>
      </w:pPr>
    </w:p>
    <w:p w14:paraId="15A8C968">
      <w:pPr>
        <w:rPr>
          <w:rFonts w:hint="eastAsia"/>
          <w:b/>
          <w:bCs/>
        </w:rPr>
      </w:pPr>
      <w:r>
        <w:rPr>
          <w:rFonts w:hint="eastAsia"/>
          <w:b/>
          <w:bCs/>
        </w:rPr>
        <w:t>Introduction</w:t>
      </w:r>
    </w:p>
    <w:p w14:paraId="6FB909A9">
      <w:pPr>
        <w:rPr>
          <w:rFonts w:hint="eastAsia"/>
        </w:rPr>
      </w:pPr>
      <w:r>
        <w:rPr>
          <w:rFonts w:hint="eastAsia"/>
        </w:rPr>
        <w:t>GOV1 and GOV2 varices are high-risk complications of portal hypertension and cirrhosis, often leading to life-threatening gastrointestinal bleeding. Traditional endoscopic tissue adhesive injections reduce rebleeding but have limitations in obliterating deep varices and feeding vessels. EUS-guided approaches enable precise identification and embolization of primary tributaries, including gastric coronary, right gastric, short gastric, and posterior gastric veins,a therapeutic strategy rarely reported previously.</w:t>
      </w:r>
      <w:r>
        <w:rPr>
          <w:rFonts w:hint="eastAsia"/>
          <w:lang w:val="en-US" w:eastAsia="zh-CN"/>
        </w:rPr>
        <w:t xml:space="preserve"> There is some evidence of EUS intervention for igv varices, but less data are available for GOV1 and GOV2 varices.</w:t>
      </w:r>
      <w:bookmarkStart w:id="0" w:name="_GoBack"/>
      <w:bookmarkEnd w:id="0"/>
    </w:p>
    <w:p w14:paraId="28C92CAD">
      <w:pPr>
        <w:rPr>
          <w:rFonts w:hint="eastAsia"/>
        </w:rPr>
      </w:pPr>
    </w:p>
    <w:p w14:paraId="734C35E5">
      <w:pPr>
        <w:rPr>
          <w:rFonts w:hint="eastAsia"/>
          <w:b/>
          <w:bCs/>
        </w:rPr>
      </w:pPr>
      <w:r>
        <w:rPr>
          <w:rFonts w:hint="eastAsia"/>
          <w:b/>
          <w:bCs/>
        </w:rPr>
        <w:t>Methods</w:t>
      </w:r>
    </w:p>
    <w:p w14:paraId="7A1F1128">
      <w:pPr>
        <w:rPr>
          <w:rFonts w:hint="eastAsia"/>
        </w:rPr>
      </w:pPr>
      <w:r>
        <w:rPr>
          <w:rFonts w:hint="eastAsia"/>
        </w:rPr>
        <w:t>Study Design</w:t>
      </w:r>
    </w:p>
    <w:p w14:paraId="0D74FA7D">
      <w:pPr>
        <w:rPr>
          <w:rFonts w:hint="eastAsia"/>
        </w:rPr>
      </w:pPr>
      <w:r>
        <w:rPr>
          <w:rFonts w:hint="eastAsia"/>
        </w:rPr>
        <w:t>Prospective, randomized controlled trial at a tertiary endoscopy center in Hebei, China. Enrollment: April 2025–April 202</w:t>
      </w:r>
      <w:r>
        <w:rPr>
          <w:rFonts w:hint="eastAsia"/>
          <w:lang w:val="en-US" w:eastAsia="zh-CN"/>
        </w:rPr>
        <w:t>6</w:t>
      </w:r>
      <w:r>
        <w:rPr>
          <w:rFonts w:hint="eastAsia"/>
        </w:rPr>
        <w:t>. Follow-up: 6 months. Randomization (1:1) via computer-generated numbers and allocation concealment with opaque envelopes. Blinding of outcome assessors and patients was maintained.</w:t>
      </w:r>
    </w:p>
    <w:p w14:paraId="28DF1F72">
      <w:pPr>
        <w:rPr>
          <w:rFonts w:hint="eastAsia"/>
        </w:rPr>
      </w:pPr>
    </w:p>
    <w:p w14:paraId="22C7351D">
      <w:pPr>
        <w:rPr>
          <w:rFonts w:hint="eastAsia"/>
          <w:b/>
          <w:bCs/>
        </w:rPr>
      </w:pPr>
      <w:r>
        <w:rPr>
          <w:rFonts w:hint="eastAsia"/>
          <w:b/>
          <w:bCs/>
        </w:rPr>
        <w:t>Participants</w:t>
      </w:r>
    </w:p>
    <w:p w14:paraId="2F0CE136">
      <w:pPr>
        <w:rPr>
          <w:rFonts w:hint="eastAsia"/>
        </w:rPr>
      </w:pPr>
      <w:r>
        <w:rPr>
          <w:rFonts w:hint="eastAsia"/>
        </w:rPr>
        <w:t xml:space="preserve">Inclusion: Adults ≥18 years with GOV1 or GOV2, history of variceal bleeding, eligible for endoscopic intervention, and consented.  </w:t>
      </w:r>
    </w:p>
    <w:p w14:paraId="5B2B899C">
      <w:pPr>
        <w:rPr>
          <w:rFonts w:hint="eastAsia"/>
        </w:rPr>
      </w:pPr>
      <w:r>
        <w:rPr>
          <w:rFonts w:hint="eastAsia"/>
        </w:rPr>
        <w:t>Exclusion: Malignancy, multi-organ failure, prior TIPS/BRTO, prior gastroesophageal surgery, pregnancy/lactation, shunt &gt;1.5 cm, platelet &lt;50,000/μL, INR ≥2.</w:t>
      </w:r>
    </w:p>
    <w:p w14:paraId="0B17BA89">
      <w:pPr>
        <w:rPr>
          <w:rFonts w:hint="eastAsia"/>
        </w:rPr>
      </w:pPr>
    </w:p>
    <w:p w14:paraId="16FB63C1">
      <w:pPr>
        <w:rPr>
          <w:rFonts w:hint="eastAsia"/>
          <w:b/>
          <w:bCs/>
        </w:rPr>
      </w:pPr>
      <w:r>
        <w:rPr>
          <w:rFonts w:hint="eastAsia"/>
          <w:b/>
          <w:bCs/>
        </w:rPr>
        <w:t>Interventions</w:t>
      </w:r>
    </w:p>
    <w:p w14:paraId="782FBCFF">
      <w:pPr>
        <w:rPr>
          <w:rFonts w:hint="eastAsia"/>
        </w:rPr>
      </w:pPr>
      <w:r>
        <w:rPr>
          <w:rFonts w:hint="eastAsia"/>
        </w:rPr>
        <w:t>PCSS</w:t>
      </w:r>
    </w:p>
    <w:p w14:paraId="09648890">
      <w:pPr>
        <w:rPr>
          <w:rFonts w:hint="eastAsia"/>
        </w:rPr>
      </w:pPr>
      <w:r>
        <w:rPr>
          <w:rFonts w:hint="eastAsia"/>
        </w:rPr>
        <w:t xml:space="preserve">- Preoperative CT and EUS mapping of feeding vessels  </w:t>
      </w:r>
    </w:p>
    <w:p w14:paraId="1A339DDE">
      <w:pPr>
        <w:rPr>
          <w:rFonts w:hint="eastAsia"/>
        </w:rPr>
      </w:pPr>
      <w:r>
        <w:rPr>
          <w:rFonts w:hint="eastAsia"/>
        </w:rPr>
        <w:t xml:space="preserve">- EUS-guided puncture with 19-gauge needle  </w:t>
      </w:r>
    </w:p>
    <w:p w14:paraId="6D8BD590">
      <w:pPr>
        <w:rPr>
          <w:rFonts w:hint="eastAsia"/>
        </w:rPr>
      </w:pPr>
      <w:r>
        <w:rPr>
          <w:rFonts w:hint="eastAsia"/>
        </w:rPr>
        <w:t xml:space="preserve">- Injection sequence: 3 mL lauromacrogol → 1 mL cyanoacrylate → 1–2 mL saline flush  </w:t>
      </w:r>
    </w:p>
    <w:p w14:paraId="2A93620D">
      <w:pPr>
        <w:rPr>
          <w:rFonts w:hint="eastAsia"/>
        </w:rPr>
      </w:pPr>
      <w:r>
        <w:rPr>
          <w:rFonts w:hint="eastAsia"/>
        </w:rPr>
        <w:t xml:space="preserve">- Embolization of deep and mucosal varices, supplemented by conventional endoscopic injections  </w:t>
      </w:r>
    </w:p>
    <w:p w14:paraId="1D9300A1">
      <w:pPr>
        <w:rPr>
          <w:rFonts w:hint="eastAsia"/>
        </w:rPr>
      </w:pPr>
      <w:r>
        <w:rPr>
          <w:rFonts w:hint="eastAsia"/>
        </w:rPr>
        <w:t>- Titanium clips for occluding fundal shunt inflow/outflow when needed</w:t>
      </w:r>
    </w:p>
    <w:p w14:paraId="508DDA29">
      <w:pPr>
        <w:rPr>
          <w:rFonts w:hint="eastAsia"/>
        </w:rPr>
      </w:pPr>
    </w:p>
    <w:p w14:paraId="75EE58F7">
      <w:pPr>
        <w:rPr>
          <w:rFonts w:hint="eastAsia"/>
        </w:rPr>
      </w:pPr>
      <w:r>
        <w:rPr>
          <w:rFonts w:hint="eastAsia"/>
        </w:rPr>
        <w:t>DEI-CYA</w:t>
      </w:r>
    </w:p>
    <w:p w14:paraId="5A5D2B46">
      <w:pPr>
        <w:rPr>
          <w:rFonts w:hint="eastAsia"/>
        </w:rPr>
      </w:pPr>
      <w:r>
        <w:rPr>
          <w:rFonts w:hint="eastAsia"/>
        </w:rPr>
        <w:t xml:space="preserve">- Direct endoscopic injection into varices following the same drug protocol  </w:t>
      </w:r>
    </w:p>
    <w:p w14:paraId="1FAED13E">
      <w:pPr>
        <w:rPr>
          <w:rFonts w:hint="eastAsia"/>
        </w:rPr>
      </w:pPr>
      <w:r>
        <w:rPr>
          <w:rFonts w:hint="eastAsia"/>
        </w:rPr>
        <w:t>- No EUS guidance used</w:t>
      </w:r>
    </w:p>
    <w:p w14:paraId="48DE797F">
      <w:pPr>
        <w:rPr>
          <w:rFonts w:hint="eastAsia"/>
        </w:rPr>
      </w:pPr>
    </w:p>
    <w:p w14:paraId="1B542094">
      <w:pPr>
        <w:rPr>
          <w:rFonts w:hint="eastAsia"/>
          <w:b/>
          <w:bCs/>
        </w:rPr>
      </w:pPr>
      <w:r>
        <w:rPr>
          <w:rFonts w:hint="eastAsia"/>
          <w:b/>
          <w:bCs/>
        </w:rPr>
        <w:t>Outcomes</w:t>
      </w:r>
    </w:p>
    <w:p w14:paraId="49408FB6">
      <w:pPr>
        <w:rPr>
          <w:rFonts w:hint="eastAsia"/>
        </w:rPr>
      </w:pPr>
      <w:r>
        <w:rPr>
          <w:rFonts w:hint="eastAsia"/>
        </w:rPr>
        <w:t xml:space="preserve">Primary: Variceal obliteration at 1 and 6 months (endoscopy/EUS)  </w:t>
      </w:r>
    </w:p>
    <w:p w14:paraId="174B203F">
      <w:pPr>
        <w:rPr>
          <w:rFonts w:hint="eastAsia"/>
        </w:rPr>
      </w:pPr>
      <w:r>
        <w:rPr>
          <w:rFonts w:hint="eastAsia"/>
        </w:rPr>
        <w:t>Secondary: Rebleeding, recurrence, adverse events, drug usage, procedural cost</w:t>
      </w:r>
    </w:p>
    <w:p w14:paraId="58314B57">
      <w:pPr>
        <w:rPr>
          <w:rFonts w:hint="eastAsia"/>
        </w:rPr>
      </w:pPr>
    </w:p>
    <w:p w14:paraId="46FBB557">
      <w:pPr>
        <w:rPr>
          <w:rFonts w:hint="eastAsia"/>
          <w:b/>
          <w:bCs/>
        </w:rPr>
      </w:pPr>
      <w:r>
        <w:rPr>
          <w:rFonts w:hint="eastAsia"/>
          <w:b/>
          <w:bCs/>
        </w:rPr>
        <w:t>Follow-up</w:t>
      </w:r>
    </w:p>
    <w:p w14:paraId="275A534F">
      <w:pPr>
        <w:rPr>
          <w:rFonts w:hint="eastAsia"/>
        </w:rPr>
      </w:pPr>
      <w:r>
        <w:rPr>
          <w:rFonts w:hint="eastAsia"/>
        </w:rPr>
        <w:t xml:space="preserve">- Immediate postoperative monitoring and 3-day antibiotic prophylaxis  </w:t>
      </w:r>
    </w:p>
    <w:p w14:paraId="544CBCEA">
      <w:pPr>
        <w:rPr>
          <w:rFonts w:hint="eastAsia"/>
        </w:rPr>
      </w:pPr>
      <w:r>
        <w:rPr>
          <w:rFonts w:hint="eastAsia"/>
        </w:rPr>
        <w:t xml:space="preserve">- Gastroscopy/EUS at 1 and 6 months  </w:t>
      </w:r>
    </w:p>
    <w:p w14:paraId="1BAB1064">
      <w:pPr>
        <w:rPr>
          <w:rFonts w:hint="eastAsia"/>
        </w:rPr>
      </w:pPr>
      <w:r>
        <w:rPr>
          <w:rFonts w:hint="eastAsia"/>
        </w:rPr>
        <w:t>- Assessment of rebleeding events and residual varices</w:t>
      </w:r>
    </w:p>
    <w:p w14:paraId="542765BF">
      <w:pPr>
        <w:rPr>
          <w:rFonts w:hint="eastAsia"/>
        </w:rPr>
      </w:pPr>
    </w:p>
    <w:p w14:paraId="26464A8F">
      <w:pPr>
        <w:rPr>
          <w:rFonts w:hint="eastAsia"/>
          <w:b/>
          <w:bCs/>
        </w:rPr>
      </w:pPr>
      <w:r>
        <w:rPr>
          <w:rFonts w:hint="eastAsia"/>
          <w:b/>
          <w:bCs/>
        </w:rPr>
        <w:t>Statistical Analysis</w:t>
      </w:r>
    </w:p>
    <w:p w14:paraId="18E39775">
      <w:pPr>
        <w:rPr>
          <w:rFonts w:hint="eastAsia"/>
        </w:rPr>
      </w:pPr>
      <w:r>
        <w:rPr>
          <w:rFonts w:hint="eastAsia"/>
        </w:rPr>
        <w:t xml:space="preserve">- Software: SPSS 28.0  </w:t>
      </w:r>
    </w:p>
    <w:p w14:paraId="4FE9EB2B">
      <w:pPr>
        <w:rPr>
          <w:rFonts w:hint="eastAsia"/>
        </w:rPr>
      </w:pPr>
      <w:r>
        <w:rPr>
          <w:rFonts w:hint="eastAsia"/>
        </w:rPr>
        <w:t xml:space="preserve">- Categorical variables: chi-square or Fisher’s exact test  </w:t>
      </w:r>
    </w:p>
    <w:p w14:paraId="77D55F52">
      <w:pPr>
        <w:rPr>
          <w:rFonts w:hint="eastAsia"/>
        </w:rPr>
      </w:pPr>
      <w:r>
        <w:rPr>
          <w:rFonts w:hint="eastAsia"/>
        </w:rPr>
        <w:t xml:space="preserve">- Continuous variables: t-test or Mann–Whitney U  </w:t>
      </w:r>
    </w:p>
    <w:p w14:paraId="649B861F">
      <w:pPr>
        <w:rPr>
          <w:rFonts w:hint="eastAsia"/>
        </w:rPr>
      </w:pPr>
      <w:r>
        <w:rPr>
          <w:rFonts w:hint="eastAsia"/>
        </w:rPr>
        <w:t>- Significance: P&lt;0.05</w:t>
      </w:r>
    </w:p>
    <w:p w14:paraId="4A004616">
      <w:pPr>
        <w:rPr>
          <w:rFonts w:hint="eastAsia"/>
        </w:rPr>
      </w:pPr>
    </w:p>
    <w:p w14:paraId="1650011E">
      <w:pPr>
        <w:rPr>
          <w:rFonts w:hint="eastAsia"/>
          <w:b/>
          <w:bCs/>
        </w:rPr>
      </w:pPr>
      <w:r>
        <w:rPr>
          <w:rFonts w:hint="eastAsia"/>
          <w:b/>
          <w:bCs/>
        </w:rPr>
        <w:t xml:space="preserve"> Results</w:t>
      </w:r>
    </w:p>
    <w:p w14:paraId="02818B44">
      <w:pPr>
        <w:rPr>
          <w:rFonts w:hint="eastAsia"/>
        </w:rPr>
      </w:pPr>
      <w:r>
        <w:rPr>
          <w:rFonts w:hint="eastAsia"/>
        </w:rPr>
        <w:t xml:space="preserve">- Ninety-seven patients analyzed (PCSS n=50, DEI-CYA n=47)  </w:t>
      </w:r>
    </w:p>
    <w:p w14:paraId="05EF1BE6">
      <w:pPr>
        <w:rPr>
          <w:rFonts w:hint="eastAsia"/>
        </w:rPr>
      </w:pPr>
      <w:r>
        <w:rPr>
          <w:rFonts w:hint="eastAsia"/>
        </w:rPr>
        <w:t xml:space="preserve">- Baseline characteristics comparable  </w:t>
      </w:r>
    </w:p>
    <w:p w14:paraId="420A000C">
      <w:pPr>
        <w:rPr>
          <w:rFonts w:hint="eastAsia"/>
        </w:rPr>
      </w:pPr>
      <w:r>
        <w:rPr>
          <w:rFonts w:hint="eastAsia"/>
        </w:rPr>
        <w:t xml:space="preserve">- GV obliteration: 100% at 1 month for both groups  </w:t>
      </w:r>
    </w:p>
    <w:p w14:paraId="04373DB4">
      <w:pPr>
        <w:rPr>
          <w:rFonts w:hint="eastAsia"/>
        </w:rPr>
      </w:pPr>
      <w:r>
        <w:rPr>
          <w:rFonts w:hint="eastAsia"/>
        </w:rPr>
        <w:t xml:space="preserve">- EV disappearance at 1 month: 90% (PCSS) vs 61.7% (DEI-CYA), P&lt;0.05  </w:t>
      </w:r>
    </w:p>
    <w:p w14:paraId="71FA25D4">
      <w:pPr>
        <w:rPr>
          <w:rFonts w:hint="eastAsia"/>
        </w:rPr>
      </w:pPr>
      <w:r>
        <w:rPr>
          <w:rFonts w:hint="eastAsia"/>
        </w:rPr>
        <w:t xml:space="preserve">- EV disappearance at 6 months: 90% (PCSS) vs 65.96% (DEI-CYA), P&lt;0.05  </w:t>
      </w:r>
    </w:p>
    <w:p w14:paraId="1126AD57">
      <w:pPr>
        <w:rPr>
          <w:rFonts w:hint="eastAsia"/>
        </w:rPr>
      </w:pPr>
      <w:r>
        <w:rPr>
          <w:rFonts w:hint="eastAsia"/>
        </w:rPr>
        <w:t xml:space="preserve">- Rebleeding at 6 months: 2 (PCSS) vs 12 (DEI-CYA), P&lt;0.05  </w:t>
      </w:r>
    </w:p>
    <w:p w14:paraId="0A8727DE">
      <w:pPr>
        <w:rPr>
          <w:rFonts w:hint="eastAsia"/>
        </w:rPr>
      </w:pPr>
      <w:r>
        <w:rPr>
          <w:rFonts w:hint="eastAsia"/>
        </w:rPr>
        <w:t xml:space="preserve">- Adverse events minor and comparable between groups  </w:t>
      </w:r>
    </w:p>
    <w:p w14:paraId="0DDC7914">
      <w:pPr>
        <w:rPr>
          <w:rFonts w:hint="eastAsia"/>
        </w:rPr>
      </w:pPr>
      <w:r>
        <w:rPr>
          <w:rFonts w:hint="eastAsia"/>
        </w:rPr>
        <w:t>- Median procedural cost: 6383.4 CNY (PCSS) vs 4008.7 CNY (DEI-CYA)</w:t>
      </w:r>
    </w:p>
    <w:p w14:paraId="2A7922F8">
      <w:pPr>
        <w:rPr>
          <w:rFonts w:hint="eastAsia"/>
        </w:rPr>
      </w:pPr>
    </w:p>
    <w:p w14:paraId="3C5FB8B6">
      <w:pPr>
        <w:rPr>
          <w:rFonts w:hint="eastAsia"/>
          <w:b/>
          <w:bCs/>
        </w:rPr>
      </w:pPr>
      <w:r>
        <w:rPr>
          <w:rFonts w:hint="eastAsia"/>
          <w:b/>
          <w:bCs/>
        </w:rPr>
        <w:t>Discussion</w:t>
      </w:r>
    </w:p>
    <w:p w14:paraId="46152790">
      <w:pPr>
        <w:rPr>
          <w:rFonts w:hint="eastAsia"/>
        </w:rPr>
      </w:pPr>
      <w:r>
        <w:rPr>
          <w:rFonts w:hint="eastAsia"/>
        </w:rPr>
        <w:t>PCSS demonstrates higher efficacy in variceal obliteration and lower recurrence/rebleeding rates than DEI-CYA. EUS-guided targeting of primary feeding vessels likely accounts for superior outcomes. Complication rates were low and similar between groups. The procedure is associated with slightly higher cost due to EUS equipment and puncture needles. Limitations include small sample size, and short follow-up.</w:t>
      </w:r>
    </w:p>
    <w:p w14:paraId="48320A2E">
      <w:pPr>
        <w:rPr>
          <w:rFonts w:hint="eastAsia"/>
        </w:rPr>
      </w:pPr>
    </w:p>
    <w:p w14:paraId="0FF9F39A">
      <w:pPr>
        <w:rPr>
          <w:rFonts w:hint="eastAsia"/>
        </w:rPr>
      </w:pPr>
    </w:p>
    <w:p w14:paraId="235D573D">
      <w:pPr>
        <w:rPr>
          <w:rFonts w:hint="eastAsia"/>
          <w:b/>
          <w:bCs/>
        </w:rPr>
      </w:pPr>
      <w:r>
        <w:rPr>
          <w:rFonts w:hint="eastAsia"/>
          <w:b/>
          <w:bCs/>
        </w:rPr>
        <w:t>Conclusion</w:t>
      </w:r>
    </w:p>
    <w:p w14:paraId="0C35A3D8">
      <w:pPr>
        <w:rPr>
          <w:rFonts w:hint="eastAsia"/>
        </w:rPr>
      </w:pPr>
      <w:r>
        <w:rPr>
          <w:rFonts w:hint="eastAsia"/>
        </w:rPr>
        <w:t>EUS-guided PCSS is a safe, effective, and more efficacious alternative to DEI-CYA for GOV1 and GOV2 varices, achieving higher variceal obliteration and lower rebleeding with acceptable safety and higher cost. Further multicenter trials are warranted.</w:t>
      </w:r>
    </w:p>
    <w:p w14:paraId="0CE07CB2">
      <w:pPr>
        <w:rPr>
          <w:rFonts w:hint="eastAsia"/>
        </w:rPr>
      </w:pPr>
    </w:p>
    <w:p w14:paraId="50CEF649">
      <w:pPr>
        <w:rPr>
          <w:rFonts w:hint="eastAsia"/>
          <w:b/>
          <w:bCs/>
        </w:rPr>
      </w:pPr>
      <w:r>
        <w:rPr>
          <w:rFonts w:hint="eastAsia"/>
          <w:b/>
          <w:bCs/>
        </w:rPr>
        <w:t>Acknowledgments</w:t>
      </w:r>
    </w:p>
    <w:p w14:paraId="18F79AF1">
      <w:pPr>
        <w:rPr>
          <w:rFonts w:hint="eastAsia"/>
        </w:rPr>
      </w:pPr>
      <w:r>
        <w:rPr>
          <w:rFonts w:hint="eastAsia"/>
        </w:rPr>
        <w:t>The authors thank the endoscopy team at Baoding No.2 Hospital for procedural support.</w:t>
      </w:r>
    </w:p>
    <w:p w14:paraId="689E6F5E">
      <w:pPr>
        <w:rPr>
          <w:rFonts w:hint="eastAsia"/>
        </w:rPr>
      </w:pPr>
    </w:p>
    <w:p w14:paraId="6BC70692">
      <w:pPr>
        <w:rPr>
          <w:rFonts w:hint="eastAsia"/>
          <w:b/>
          <w:bCs/>
        </w:rPr>
      </w:pPr>
      <w:r>
        <w:rPr>
          <w:rFonts w:hint="eastAsia"/>
          <w:b/>
          <w:bCs/>
        </w:rPr>
        <w:t>Funding</w:t>
      </w:r>
    </w:p>
    <w:p w14:paraId="35B486F9">
      <w:pPr>
        <w:rPr>
          <w:rFonts w:hint="eastAsia"/>
        </w:rPr>
      </w:pPr>
      <w:r>
        <w:rPr>
          <w:rFonts w:hint="eastAsia"/>
        </w:rPr>
        <w:t>This research was supported by the Medical Science and Technology Project of the Health Commission of Hebei Province.</w:t>
      </w:r>
    </w:p>
    <w:p w14:paraId="4844A39D">
      <w:pPr>
        <w:rPr>
          <w:rFonts w:hint="eastAsia"/>
        </w:rPr>
      </w:pPr>
    </w:p>
    <w:p w14:paraId="09874697">
      <w:pPr>
        <w:rPr>
          <w:rFonts w:hint="eastAsia"/>
          <w:b/>
          <w:bCs/>
        </w:rPr>
      </w:pPr>
      <w:r>
        <w:rPr>
          <w:rFonts w:hint="eastAsia"/>
          <w:b/>
          <w:bCs/>
        </w:rPr>
        <w:t>Conflicts of Interest</w:t>
      </w:r>
    </w:p>
    <w:p w14:paraId="4F6A7EA2">
      <w:r>
        <w:rPr>
          <w:rFonts w:hint="eastAsia"/>
        </w:rPr>
        <w:t>The authors declare no conflicts of interest.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72590"/>
    <w:rsid w:val="3BD72590"/>
    <w:rsid w:val="73665A9F"/>
    <w:rsid w:val="7A417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750</Words>
  <Characters>4725</Characters>
  <Lines>0</Lines>
  <Paragraphs>0</Paragraphs>
  <TotalTime>2</TotalTime>
  <ScaleCrop>false</ScaleCrop>
  <LinksUpToDate>false</LinksUpToDate>
  <CharactersWithSpaces>5452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2026-05-16T10:37:00Z</dcterms:created>
  <dc:creator>贺帅</dc:creator>
  <cp:lastModifiedBy>贺帅</cp:lastModifiedBy>
  <dcterms:modified xsi:type="dcterms:W3CDTF">2026-05-16T11:53:42Z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62DA56D5E7014810A86DD95C43A7A872_11</vt:lpwstr>
  </property>
  <property fmtid="{D5CDD505-2E9C-101B-9397-08002B2CF9AE}" pid="4" name="KSOTemplateDocerSaveRecord">
    <vt:lpwstr>eyJoZGlkIjoiZWFlYmQ5OWYyOThhMTA4Y2YwMTI3ZDgyYmFiMGJhOTAiLCJ1c2VySWQiOiIyODcwOTI4NDEifQ==</vt:lpwstr>
  </property>
</Properties>
</file>