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FE8C">
      <w:pPr>
        <w:pStyle w:val="2"/>
        <w:keepNext/>
        <w:spacing w:before="200" w:after="80" w:line="240" w:lineRule="auto"/>
      </w:pPr>
      <w:r>
        <w:rPr>
          <w:rFonts w:ascii="Times New Roman" w:hAnsi="Times New Roman" w:eastAsia="宋体"/>
          <w:sz w:val="22"/>
        </w:rPr>
        <w:t>Appendix</w:t>
      </w:r>
    </w:p>
    <w:p w14:paraId="53860699">
      <w:pPr>
        <w:spacing w:before="0" w:after="100" w:line="276" w:lineRule="auto"/>
      </w:pPr>
      <w:r>
        <w:rPr>
          <w:rFonts w:ascii="Times New Roman" w:hAnsi="Times New Roman" w:eastAsia="宋体"/>
          <w:b w:val="0"/>
          <w:i w:val="0"/>
          <w:sz w:val="21"/>
        </w:rPr>
        <w:t>The appendix summarises supplementary analyses on missing data, APC specification, IC inclusion weighting, weighted IC trajectories, trajectory robustness, and subgroup APC results.</w:t>
      </w:r>
    </w:p>
    <w:p w14:paraId="386D532F">
      <w:pPr>
        <w:pStyle w:val="7"/>
        <w:keepNext/>
        <w:spacing w:before="120" w:after="60" w:line="240" w:lineRule="auto"/>
        <w:jc w:val="left"/>
      </w:pPr>
      <w:bookmarkStart w:id="0" w:name="_GoBack"/>
      <w:r>
        <w:rPr>
          <w:rFonts w:ascii="Times New Roman" w:hAnsi="Times New Roman" w:eastAsia="宋体"/>
          <w:b/>
          <w:sz w:val="22"/>
        </w:rPr>
        <w:t>Appendix Table</w:t>
      </w:r>
      <w:bookmarkEnd w:id="0"/>
      <w:r>
        <w:rPr>
          <w:rFonts w:ascii="Times New Roman" w:hAnsi="Times New Roman" w:eastAsia="宋体"/>
          <w:b/>
          <w:sz w:val="22"/>
        </w:rPr>
        <w:t xml:space="preserve"> S1. Missing-data profile, Little’s MCAR test, and sensitivity strategy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 w14:paraId="6156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6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1BBC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Item</w:t>
            </w:r>
          </w:p>
        </w:tc>
        <w:tc>
          <w:tcPr>
            <w:tcW w:w="655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E01F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Value</w:t>
            </w:r>
          </w:p>
        </w:tc>
      </w:tr>
      <w:tr w14:paraId="2FA4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AE77D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Any missing FI component within retained waves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C6BA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13.8% of person-waves; item-level range 0.4%-3.6%</w:t>
            </w:r>
          </w:p>
        </w:tc>
      </w:tr>
      <w:tr w14:paraId="3157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E8B32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Any missing CES-D-10 item within retained waves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A9E5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8.9% of person-waves; item-level range 0.6%-2.4%</w:t>
            </w:r>
          </w:p>
        </w:tc>
      </w:tr>
      <w:tr w14:paraId="3863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4CF3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Any missing core covariate in analytic variables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3085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4.7% of baseline participants</w:t>
            </w:r>
          </w:p>
        </w:tc>
      </w:tr>
      <w:tr w14:paraId="3D3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53E8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Little's MCAR test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77A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Chi-square 462.3, df 128, P&lt;0.001</w:t>
            </w:r>
          </w:p>
        </w:tc>
      </w:tr>
      <w:tr w14:paraId="7FD2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198A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Main analysis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D045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Complete outcome-covariate records; FI scored on observed deficits when at least 80% of items were present; CES-D-10 prorated when one or two items were missing</w:t>
            </w:r>
          </w:p>
        </w:tc>
      </w:tr>
      <w:tr w14:paraId="5C89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2444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Sensitivity analysis</w:t>
            </w:r>
          </w:p>
        </w:tc>
        <w:tc>
          <w:tcPr>
            <w:tcW w:w="655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02885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Twenty-cycle multiple imputation by chained equations, inverse-probability-of-censoring weighting, and wave-exclusion analyses; substantive conclusions unchanged</w:t>
            </w:r>
          </w:p>
        </w:tc>
      </w:tr>
    </w:tbl>
    <w:p w14:paraId="181BDDAB">
      <w:pPr>
        <w:spacing w:before="0" w:after="40" w:line="240" w:lineRule="auto"/>
      </w:pPr>
    </w:p>
    <w:p w14:paraId="7F6074C9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MCAR, missing completely at random. The significant Little's test indicated that a strict MCAR assumption was implausible, which motivated the imputation and weighting sensitivity analyses.</w:t>
      </w:r>
    </w:p>
    <w:p w14:paraId="4BBC317D">
      <w:pPr>
        <w:pStyle w:val="7"/>
        <w:keepNext/>
        <w:spacing w:before="120" w:after="60" w:line="240" w:lineRule="auto"/>
        <w:jc w:val="left"/>
      </w:pPr>
      <w:r>
        <w:rPr>
          <w:rFonts w:ascii="Times New Roman" w:hAnsi="Times New Roman" w:eastAsia="宋体"/>
          <w:b/>
          <w:sz w:val="22"/>
        </w:rPr>
        <w:t>Appendix Table S2. APC assumption checks, exclude-2020 sensitivity, and attrition diagnostics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438"/>
        <w:gridCol w:w="2438"/>
        <w:gridCol w:w="2438"/>
      </w:tblGrid>
      <w:tr w14:paraId="5CA0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6CC6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Analysis</w:t>
            </w:r>
          </w:p>
        </w:tc>
        <w:tc>
          <w:tcPr>
            <w:tcW w:w="151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6A64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FI</w:t>
            </w:r>
          </w:p>
        </w:tc>
        <w:tc>
          <w:tcPr>
            <w:tcW w:w="151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93A7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CES-D-10</w:t>
            </w:r>
          </w:p>
        </w:tc>
        <w:tc>
          <w:tcPr>
            <w:tcW w:w="4176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871A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Interpretation</w:t>
            </w:r>
          </w:p>
        </w:tc>
      </w:tr>
      <w:tr w14:paraId="2217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B7135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Likelihood-ratio test for age × period terms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3AE5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Chi-square 7.84, P=0.165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50AE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Chi-square 8.94, P=0.111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EA27E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No strong evidence that the age slope differed materially across periods</w:t>
            </w:r>
          </w:p>
        </w:tc>
      </w:tr>
      <w:tr w14:paraId="7AA9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60497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Likelihood-ratio test for age × cohort terms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F9F2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Chi-square 8.69, P=0.191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C28A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Chi-square 6.52, P=0.368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49A8A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No strong evidence that the age slope differed materially across cohorts</w:t>
            </w:r>
          </w:p>
        </w:tc>
      </w:tr>
      <w:tr w14:paraId="567C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97FF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Age effect after excluding 2020 wave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EC70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β 0.0047 (95% CI 0.0040 to 0.0054)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AE1C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β 0.081 (95% CI 0.056 to 0.106)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89E7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Core age gradients remained stable</w:t>
            </w:r>
          </w:p>
        </w:tc>
      </w:tr>
      <w:tr w14:paraId="7857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8F71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2020 period deviation after IPCW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27719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0.0121 (95% CI 0.0046 to 0.0196)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ADCE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1.28 (95% CI 0.74 to 1.82)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CF3BA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Attrition weighting did not remove the 2020 deviation</w:t>
            </w:r>
          </w:p>
        </w:tc>
      </w:tr>
      <w:tr w14:paraId="69EE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05530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Baseline age among those missing by 2020 vs retained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C42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67.6 vs 65.8 years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7EDB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67.6 vs 65.8 years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234BF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Those lost before 2020 were older</w:t>
            </w:r>
          </w:p>
        </w:tc>
      </w:tr>
      <w:tr w14:paraId="688F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F8F0A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Baseline FI among those missing by 2020 vs retained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4D7F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0.125 vs 0.104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61AE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0.125 vs 0.104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9959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Attrition was health-selective</w:t>
            </w:r>
          </w:p>
        </w:tc>
      </w:tr>
      <w:tr w14:paraId="5EE9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09CF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Baseline CES-D-10 among those missing by 2020 vs retained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2CA3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8.86 vs 7.93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138F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8.86 vs 7.93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8ADB6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Attrition likely attenuated rather than generated adverse period estimates</w:t>
            </w:r>
          </w:p>
        </w:tc>
      </w:tr>
    </w:tbl>
    <w:p w14:paraId="4BF7B9D5">
      <w:pPr>
        <w:spacing w:before="0" w:after="40" w:line="240" w:lineRule="auto"/>
      </w:pPr>
    </w:p>
    <w:p w14:paraId="565F0E30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IPCW, inverse-probability-of-censoring weighting. These checks supported retaining the main HAPC specification while interpreting period and cohort terms descriptively.</w:t>
      </w:r>
    </w:p>
    <w:p w14:paraId="68705936">
      <w:pPr>
        <w:pStyle w:val="7"/>
        <w:keepNext/>
        <w:spacing w:before="120" w:after="60" w:line="240" w:lineRule="auto"/>
        <w:jc w:val="left"/>
      </w:pPr>
      <w:r>
        <w:rPr>
          <w:rFonts w:ascii="Times New Roman" w:hAnsi="Times New Roman" w:eastAsia="宋体"/>
          <w:b/>
          <w:sz w:val="22"/>
        </w:rPr>
        <w:t>Appendix Table S3. Balance before and after inverse-probability weighting for IC inclusion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393"/>
        <w:gridCol w:w="1393"/>
        <w:gridCol w:w="1393"/>
        <w:gridCol w:w="1393"/>
        <w:gridCol w:w="1393"/>
      </w:tblGrid>
      <w:tr w14:paraId="5BA1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68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1F15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Weighting status</w:t>
            </w:r>
          </w:p>
        </w:tc>
        <w:tc>
          <w:tcPr>
            <w:tcW w:w="1037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4289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Age SMD</w:t>
            </w:r>
          </w:p>
        </w:tc>
        <w:tc>
          <w:tcPr>
            <w:tcW w:w="936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32D7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FI SMD</w:t>
            </w:r>
          </w:p>
        </w:tc>
        <w:tc>
          <w:tcPr>
            <w:tcW w:w="1181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0B47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CES-D-10 SMD</w:t>
            </w:r>
          </w:p>
        </w:tc>
        <w:tc>
          <w:tcPr>
            <w:tcW w:w="1296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D4E9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Chronic disease SMD</w:t>
            </w:r>
          </w:p>
        </w:tc>
        <w:tc>
          <w:tcPr>
            <w:tcW w:w="1368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C0A1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Self-rated health SMD</w:t>
            </w:r>
          </w:p>
        </w:tc>
        <w:tc>
          <w:tcPr>
            <w:tcW w:w="194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D21E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19"/>
              </w:rPr>
              <w:t>Interpretation</w:t>
            </w:r>
          </w:p>
        </w:tc>
      </w:tr>
      <w:tr w14:paraId="3A3F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493C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Before weighting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0C43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BE79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0.18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F8BB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7AF1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37EE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0.12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DC302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IC subset was younger and healthier</w:t>
            </w:r>
          </w:p>
        </w:tc>
      </w:tr>
      <w:tr w14:paraId="26C1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9BDE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After weighting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730A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FEF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0.04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A430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0.03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43F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0.04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6B2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0.05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CE9A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19"/>
              </w:rPr>
              <w:t>All standardised mean differences &lt;0.10</w:t>
            </w:r>
          </w:p>
        </w:tc>
      </w:tr>
    </w:tbl>
    <w:p w14:paraId="6C5D6C76">
      <w:pPr>
        <w:spacing w:before="0" w:after="40" w:line="240" w:lineRule="auto"/>
      </w:pPr>
    </w:p>
    <w:p w14:paraId="1B11D9C9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The inclusion model incorporated age, sex, marital status, residence, education, baseline FI, baseline CES-D-10, chronic disease count, self-rated health, ADL/IADL limitation, and indicators of later attrition or death.</w:t>
      </w:r>
    </w:p>
    <w:p w14:paraId="72C04860">
      <w:pPr>
        <w:pStyle w:val="7"/>
        <w:keepNext/>
        <w:spacing w:before="120" w:after="60" w:line="240" w:lineRule="auto"/>
        <w:jc w:val="left"/>
      </w:pPr>
      <w:r>
        <w:rPr>
          <w:rFonts w:ascii="Times New Roman" w:hAnsi="Times New Roman" w:eastAsia="宋体"/>
          <w:b/>
          <w:sz w:val="22"/>
        </w:rPr>
        <w:t>Appendix Table S4. Factor-score weighted IC sensitivity and weighted IC trajectories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50"/>
        <w:gridCol w:w="1950"/>
        <w:gridCol w:w="1950"/>
        <w:gridCol w:w="1950"/>
      </w:tblGrid>
      <w:tr w14:paraId="117E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4A23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Model / class</w:t>
            </w:r>
          </w:p>
        </w:tc>
        <w:tc>
          <w:tcPr>
            <w:tcW w:w="1656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F64C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Class n (%) or estimate</w:t>
            </w:r>
          </w:p>
        </w:tc>
        <w:tc>
          <w:tcPr>
            <w:tcW w:w="1440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F36C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Key parameter</w:t>
            </w:r>
          </w:p>
        </w:tc>
        <w:tc>
          <w:tcPr>
            <w:tcW w:w="194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F4E28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95% CI / note</w:t>
            </w:r>
          </w:p>
        </w:tc>
        <w:tc>
          <w:tcPr>
            <w:tcW w:w="230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F764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Interpretation</w:t>
            </w:r>
          </w:p>
        </w:tc>
      </w:tr>
      <w:tr w14:paraId="40C6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4017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Weighted IC score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E072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9DD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Age β -0.071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84DC9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-0.081 to -0.061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2ED5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Factor-score weighting preserved the age gradient</w:t>
            </w:r>
          </w:p>
        </w:tc>
      </w:tr>
      <w:tr w14:paraId="372C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825F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Weighted IC LCGA: high-stable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F059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1,518 (46.2)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1A2C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Slope -0.15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551A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-0.21 to -0.10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7BF7D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Class size and slope were close to the unweighted solution</w:t>
            </w:r>
          </w:p>
        </w:tc>
      </w:tr>
      <w:tr w14:paraId="1ED0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60E5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Weighted IC LCGA: moderate-declining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AD16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1,261 (38.4)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DE45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Slope -0.25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F22F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-0.32 to -0.18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DEC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Intermediate class remained stable</w:t>
            </w:r>
          </w:p>
        </w:tc>
      </w:tr>
      <w:tr w14:paraId="2147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B378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Weighted IC LCGA: low-declining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6E64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505 (15.4)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DE00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Slope -0.42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FECF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-0.58 to -0.26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EBB33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High-risk IC class proportion changed minimally</w:t>
            </w:r>
          </w:p>
        </w:tc>
      </w:tr>
      <w:tr w14:paraId="6698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83A3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Low education predicting weighted low-declining IC class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094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OR 1.72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7E46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95% CI 1.29 to 2.30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6403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44E5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Education remained a robust predictor after weighting</w:t>
            </w:r>
          </w:p>
        </w:tc>
      </w:tr>
      <w:tr w14:paraId="76DF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265C0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Multimorbidity predicting weighted low-declining IC class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0FA6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OR 1.36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4067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95% CI 1.18 to 1.57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758E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FD1CF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Chronic disease burden remained a robust predictor after weighting</w:t>
            </w:r>
          </w:p>
        </w:tc>
      </w:tr>
    </w:tbl>
    <w:p w14:paraId="128E92BB">
      <w:pPr>
        <w:spacing w:before="0" w:after="40" w:line="240" w:lineRule="auto"/>
      </w:pPr>
    </w:p>
    <w:p w14:paraId="1934B956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The weighted trajectory solution supported the same three-class structure and broadly the same predictor profile as the unweighted IC analysis.</w:t>
      </w:r>
    </w:p>
    <w:p w14:paraId="55496FA6">
      <w:pPr>
        <w:pStyle w:val="7"/>
        <w:keepNext/>
        <w:spacing w:before="120" w:after="60" w:line="240" w:lineRule="auto"/>
        <w:jc w:val="left"/>
      </w:pPr>
      <w:r>
        <w:rPr>
          <w:rFonts w:ascii="Times New Roman" w:hAnsi="Times New Roman" w:eastAsia="宋体"/>
          <w:b/>
          <w:sz w:val="22"/>
        </w:rPr>
        <w:t>Appendix Table S5. Additional LCGA robustness analyses and death-related sensitivity checks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50"/>
        <w:gridCol w:w="1950"/>
        <w:gridCol w:w="1950"/>
        <w:gridCol w:w="1950"/>
      </w:tblGrid>
      <w:tr w14:paraId="155D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0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B2DD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Analysis</w:t>
            </w:r>
          </w:p>
        </w:tc>
        <w:tc>
          <w:tcPr>
            <w:tcW w:w="151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825D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FI</w:t>
            </w:r>
          </w:p>
        </w:tc>
        <w:tc>
          <w:tcPr>
            <w:tcW w:w="1656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6AD4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CES-D-10</w:t>
            </w:r>
          </w:p>
        </w:tc>
        <w:tc>
          <w:tcPr>
            <w:tcW w:w="1368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097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IC</w:t>
            </w:r>
          </w:p>
        </w:tc>
        <w:tc>
          <w:tcPr>
            <w:tcW w:w="223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DAE3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Interpretation</w:t>
            </w:r>
          </w:p>
        </w:tc>
      </w:tr>
      <w:tr w14:paraId="019D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5AA7C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Quadratic LCGA BIC vs linear LCGA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2A5E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39,081.6 vs 39,087.2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B45E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Not primary outcome type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D3609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23,371.8 vs 23,375.9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0B2FE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Slight BIC improvement but no clinically distinct extra class</w:t>
            </w:r>
          </w:p>
        </w:tc>
      </w:tr>
      <w:tr w14:paraId="6C30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67DBD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Quadratic term significance in selected class model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ADC2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Only high-increasing class P=0.041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93BA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2E37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Only low-declining class P=0.048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1FE5B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Non-linearity was mild and did not alter class ordering</w:t>
            </w:r>
          </w:p>
        </w:tc>
      </w:tr>
      <w:tr w14:paraId="2A54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04E0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Negative-binomial growth mixture for CES-D-10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AB45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B424D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Class proportions 49.9 / 35.9 / 14.2%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8015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—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2C490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Count-model sensitivity reproduced the same three-class pattern</w:t>
            </w:r>
          </w:p>
        </w:tc>
      </w:tr>
      <w:tr w14:paraId="44F5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4710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Known deaths through 2020 in baseline cohort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48C8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223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FF48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223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88BA9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96 in IC subset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0326F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Deaths were concentrated in worse baseline health groups</w:t>
            </w:r>
          </w:p>
        </w:tc>
      </w:tr>
      <w:tr w14:paraId="594C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E27F1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Share of decedents assigned to high-risk trajectory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29B9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FI 18.9%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5EE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CES-D-10 21.4%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089A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IC 24.0%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34E08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Ignoring death likely underestimates the burden of high-risk classes</w:t>
            </w:r>
          </w:p>
        </w:tc>
      </w:tr>
      <w:tr w14:paraId="4592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344A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Terminal-event sensitivity (high-risk class proportion)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2B80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10.1% vs 9.3%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F2D23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14.7% vs 14.0%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D982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15.9% vs 15.3%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69B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Main conclusions were unchanged but adverse classes increased slightly</w:t>
            </w:r>
          </w:p>
        </w:tc>
      </w:tr>
    </w:tbl>
    <w:p w14:paraId="352B67CC">
      <w:pPr>
        <w:spacing w:before="0" w:after="40" w:line="240" w:lineRule="auto"/>
      </w:pPr>
    </w:p>
    <w:p w14:paraId="63FF9B00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The death sensitivity analysis treated death as an adverse terminal event in post-classification weighting rather than fitting a fully joint latent class-survival model.</w:t>
      </w:r>
    </w:p>
    <w:p w14:paraId="5BA1E7E9">
      <w:pPr>
        <w:pStyle w:val="7"/>
        <w:keepNext/>
        <w:spacing w:before="120" w:after="60" w:line="240" w:lineRule="auto"/>
        <w:jc w:val="left"/>
      </w:pPr>
      <w:r>
        <w:rPr>
          <w:rFonts w:ascii="Times New Roman" w:hAnsi="Times New Roman" w:eastAsia="宋体"/>
          <w:b/>
          <w:sz w:val="22"/>
        </w:rPr>
        <w:t>Appendix Table S6. Urban-rural and regional subgroup APC analyses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50"/>
        <w:gridCol w:w="1950"/>
        <w:gridCol w:w="1950"/>
        <w:gridCol w:w="1950"/>
      </w:tblGrid>
      <w:tr w14:paraId="5880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84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8947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Subgroup</w:t>
            </w:r>
          </w:p>
        </w:tc>
        <w:tc>
          <w:tcPr>
            <w:tcW w:w="1440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E322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FI age β</w:t>
            </w:r>
          </w:p>
        </w:tc>
        <w:tc>
          <w:tcPr>
            <w:tcW w:w="1512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943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CES-D-10 age β</w:t>
            </w:r>
          </w:p>
        </w:tc>
        <w:tc>
          <w:tcPr>
            <w:tcW w:w="1800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F5639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CES-D-10 2020 period deviation</w:t>
            </w:r>
          </w:p>
        </w:tc>
        <w:tc>
          <w:tcPr>
            <w:tcW w:w="2880" w:type="dxa"/>
            <w:tcBorders>
              <w:top w:val="single" w:color="000000" w:sz="10" w:space="0"/>
              <w:left w:val="nil"/>
              <w:bottom w:val="single" w:color="000000" w:sz="8" w:space="0"/>
              <w:right w:val="nil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063E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i w:val="0"/>
                <w:sz w:val="20"/>
              </w:rPr>
              <w:t>Interpretation</w:t>
            </w:r>
          </w:p>
        </w:tc>
      </w:tr>
      <w:tr w14:paraId="5473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D71C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Urban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B2AA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0.0044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B19E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F52E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0.83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26017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Age remained dominant, with a smaller 2020 depressive-symptom deviation</w:t>
            </w:r>
          </w:p>
        </w:tc>
      </w:tr>
      <w:tr w14:paraId="76FD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7777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Rural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7E0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0.0051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A47F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AF62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1.39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D0181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Age gradients and 2020 contextual elevation were somewhat stronger</w:t>
            </w:r>
          </w:p>
        </w:tc>
      </w:tr>
      <w:tr w14:paraId="3EF8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7233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Eastern region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B10C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0.0043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BF7F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1382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0.88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D7DC4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Adverse period deviation was present but smaller</w:t>
            </w:r>
          </w:p>
        </w:tc>
      </w:tr>
      <w:tr w14:paraId="32D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D3DC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Central region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4317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0.0048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0078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8BBC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1.17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41B3A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Intermediate contextual deviation</w:t>
            </w:r>
          </w:p>
        </w:tc>
      </w:tr>
      <w:tr w14:paraId="7D01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4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38F6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Western region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4DC9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0.0052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3E9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0.097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AFA1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1.42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0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42EFA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i w:val="0"/>
                <w:sz w:val="20"/>
              </w:rPr>
              <w:t>The strongest contextual deviation was observed in the west</w:t>
            </w:r>
          </w:p>
        </w:tc>
      </w:tr>
    </w:tbl>
    <w:p w14:paraId="0DD7FC24">
      <w:pPr>
        <w:spacing w:before="0" w:after="40" w:line="240" w:lineRule="auto"/>
      </w:pPr>
    </w:p>
    <w:p w14:paraId="2E4BB092">
      <w:pPr>
        <w:pStyle w:val="15"/>
        <w:spacing w:before="40" w:after="160" w:line="240" w:lineRule="auto"/>
      </w:pPr>
      <w:r>
        <w:rPr>
          <w:rFonts w:ascii="Times New Roman" w:hAnsi="Times New Roman" w:eastAsia="宋体"/>
          <w:sz w:val="19"/>
        </w:rPr>
        <w:t>Note: Region-specific models were adjusted for the same covariates as the primary models. Interaction contrasts were modest and did not overturn the main interpretation that ageing remained the dominant temporal process.</w:t>
      </w:r>
    </w:p>
    <w:p w14:paraId="420A2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6726"/>
    <w:rsid w:val="09F978E8"/>
    <w:rsid w:val="12A460C1"/>
    <w:rsid w:val="14FD2EFF"/>
    <w:rsid w:val="191D00C0"/>
    <w:rsid w:val="1AC76726"/>
    <w:rsid w:val="1B257A6F"/>
    <w:rsid w:val="1E777908"/>
    <w:rsid w:val="20146212"/>
    <w:rsid w:val="20E21F80"/>
    <w:rsid w:val="210A78C1"/>
    <w:rsid w:val="226755FF"/>
    <w:rsid w:val="2B2B0B8D"/>
    <w:rsid w:val="2B513A1E"/>
    <w:rsid w:val="2ED17FB6"/>
    <w:rsid w:val="2EE96931"/>
    <w:rsid w:val="33445128"/>
    <w:rsid w:val="34627AFE"/>
    <w:rsid w:val="35CA5DCC"/>
    <w:rsid w:val="442126D3"/>
    <w:rsid w:val="45A91255"/>
    <w:rsid w:val="4813223A"/>
    <w:rsid w:val="4D472ED5"/>
    <w:rsid w:val="4EB04A26"/>
    <w:rsid w:val="53FC2BBB"/>
    <w:rsid w:val="5C510905"/>
    <w:rsid w:val="67A21D44"/>
    <w:rsid w:val="67C26A89"/>
    <w:rsid w:val="692C1198"/>
    <w:rsid w:val="6AA370CA"/>
    <w:rsid w:val="6DA55EBD"/>
    <w:rsid w:val="6E675BAD"/>
    <w:rsid w:val="6EBA64A6"/>
    <w:rsid w:val="70352925"/>
    <w:rsid w:val="71266FB1"/>
    <w:rsid w:val="795B69AA"/>
    <w:rsid w:val="7AC34C78"/>
    <w:rsid w:val="7B9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both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2"/>
    <w:next w:val="2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1"/>
    </w:pPr>
    <w:rPr>
      <w:rFonts w:ascii="Times New Roman" w:hAnsi="Times New Roman" w:eastAsia="黑体"/>
      <w:sz w:val="32"/>
      <w:szCs w:val="44"/>
    </w:rPr>
  </w:style>
  <w:style w:type="paragraph" w:styleId="4">
    <w:name w:val="heading 3"/>
    <w:basedOn w:val="2"/>
    <w:next w:val="2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ascii="Times New Roman" w:hAnsi="Times New Roman" w:eastAsia="黑体" w:cs="宋体"/>
      <w:kern w:val="0"/>
      <w:sz w:val="32"/>
      <w:szCs w:val="27"/>
      <w:lang w:bidi="ar"/>
    </w:rPr>
  </w:style>
  <w:style w:type="paragraph" w:styleId="5">
    <w:name w:val="heading 4"/>
    <w:basedOn w:val="2"/>
    <w:next w:val="2"/>
    <w:semiHidden/>
    <w:unhideWhenUsed/>
    <w:qFormat/>
    <w:uiPriority w:val="0"/>
    <w:pPr>
      <w:outlineLvl w:val="3"/>
    </w:pPr>
    <w:rPr>
      <w:rFonts w:ascii="Times New Roman" w:hAnsi="Times New Roman" w:eastAsia="宋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0" w:firstLineChars="0"/>
      <w:outlineLvl w:val="4"/>
    </w:pPr>
    <w:rPr>
      <w:rFonts w:ascii="Times New Roman" w:hAnsi="Times New Roman" w:eastAsia="宋体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rFonts w:ascii="Times New Roman" w:hAnsi="Times New Roman"/>
      <w:b/>
      <w:bCs/>
      <w:color w:val="4874CB" w:themeColor="accent1"/>
      <w:sz w:val="19"/>
      <w:szCs w:val="18"/>
      <w14:textFill>
        <w14:solidFill>
          <w14:schemeClr w14:val="accent1"/>
        </w14:solidFill>
      </w14:textFill>
    </w:rPr>
  </w:style>
  <w:style w:type="paragraph" w:styleId="8">
    <w:name w:val="toc 3"/>
    <w:basedOn w:val="1"/>
    <w:next w:val="1"/>
    <w:qFormat/>
    <w:uiPriority w:val="0"/>
    <w:pPr>
      <w:ind w:left="480" w:leftChars="200" w:firstLine="0" w:firstLineChars="0"/>
      <w:jc w:val="left"/>
    </w:pPr>
    <w:rPr>
      <w:rFonts w:ascii="Times New Roman" w:hAnsi="Times New Roman" w:eastAsia="宋体"/>
      <w:sz w:val="28"/>
      <w:szCs w:val="28"/>
    </w:rPr>
  </w:style>
  <w:style w:type="paragraph" w:styleId="9">
    <w:name w:val="toc 1"/>
    <w:basedOn w:val="1"/>
    <w:next w:val="1"/>
    <w:qFormat/>
    <w:uiPriority w:val="0"/>
    <w:pPr>
      <w:tabs>
        <w:tab w:val="left" w:leader="middleDot" w:pos="8494"/>
      </w:tabs>
      <w:ind w:firstLine="0" w:firstLineChars="0"/>
      <w:jc w:val="left"/>
    </w:pPr>
    <w:rPr>
      <w:rFonts w:ascii="Times New Roman" w:hAnsi="Times New Roman" w:eastAsia="宋体"/>
      <w:b/>
      <w:sz w:val="28"/>
      <w:szCs w:val="28"/>
    </w:rPr>
  </w:style>
  <w:style w:type="paragraph" w:styleId="10">
    <w:name w:val="toc 4"/>
    <w:basedOn w:val="1"/>
    <w:next w:val="1"/>
    <w:qFormat/>
    <w:uiPriority w:val="0"/>
    <w:pPr>
      <w:ind w:left="1440" w:leftChars="600" w:firstLine="0" w:firstLineChars="0"/>
    </w:pPr>
    <w:rPr>
      <w:rFonts w:ascii="Times New Roman" w:hAnsi="Times New Roman" w:eastAsia="宋体"/>
      <w:sz w:val="28"/>
      <w:szCs w:val="28"/>
    </w:rPr>
  </w:style>
  <w:style w:type="paragraph" w:styleId="11">
    <w:name w:val="toc 2"/>
    <w:basedOn w:val="1"/>
    <w:next w:val="1"/>
    <w:qFormat/>
    <w:uiPriority w:val="0"/>
    <w:pPr>
      <w:ind w:left="240" w:leftChars="100" w:firstLine="0" w:firstLineChars="0"/>
      <w:jc w:val="left"/>
    </w:pPr>
    <w:rPr>
      <w:rFonts w:ascii="Times New Roman" w:hAnsi="Times New Roman" w:eastAsia="宋体"/>
      <w:sz w:val="28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NoteText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i/>
      <w:sz w:val="17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2026-03-22T05:26:00Z</dcterms:created>
  <dc:creator>高铭成</dc:creator>
  <cp:lastModifiedBy>高铭成</cp:lastModifiedBy>
  <dcterms:modified xsi:type="dcterms:W3CDTF">2026-03-22T05:27:54Z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45D23404FA55464BA5988833F02C423C_11</vt:lpwstr>
  </property>
  <property fmtid="{D5CDD505-2E9C-101B-9397-08002B2CF9AE}" pid="4" name="KSOTemplateDocerSaveRecord">
    <vt:lpwstr>eyJoZGlkIjoiZGI2ZGVkMjExM2U4YjZhZDhjMDdhZTUzM2Y1OTM4NWMiLCJ1c2VySWQiOiI0MDMwMjQxNDkifQ==</vt:lpwstr>
  </property>
</Properties>
</file>