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43155" w14:textId="77777777" w:rsidR="005014EB" w:rsidRPr="00A63F91" w:rsidRDefault="005014EB" w:rsidP="005014EB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14:ligatures w14:val="none"/>
        </w:rPr>
      </w:pPr>
      <w:r w:rsidRPr="00A63F91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14:ligatures w14:val="none"/>
        </w:rPr>
        <w:t>Table 1. Search strategy and information sources used in the systematic review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2"/>
        <w:gridCol w:w="3026"/>
        <w:gridCol w:w="1676"/>
        <w:gridCol w:w="1919"/>
        <w:gridCol w:w="1037"/>
      </w:tblGrid>
      <w:tr w:rsidR="005014EB" w:rsidRPr="00A63F91" w14:paraId="19F6750F" w14:textId="77777777" w:rsidTr="00375D56">
        <w:tc>
          <w:tcPr>
            <w:tcW w:w="0" w:type="auto"/>
            <w:shd w:val="clear" w:color="auto" w:fill="F7CAAC" w:themeFill="accent2" w:themeFillTint="66"/>
            <w:hideMark/>
          </w:tcPr>
          <w:p w14:paraId="4C755F26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  <w:t>Source/Database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4DD00367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  <w:t>Search string used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401F7503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  <w:t>Coverage/limit applied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11D8D1D4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  <w:t>Document type targeted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45F66E68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  <w:t>Records identified</w:t>
            </w:r>
          </w:p>
        </w:tc>
      </w:tr>
      <w:tr w:rsidR="005014EB" w:rsidRPr="00A63F91" w14:paraId="71C1C497" w14:textId="77777777" w:rsidTr="00375D56">
        <w:tc>
          <w:tcPr>
            <w:tcW w:w="0" w:type="auto"/>
            <w:hideMark/>
          </w:tcPr>
          <w:p w14:paraId="1EF57BCB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Scopus</w:t>
            </w:r>
          </w:p>
        </w:tc>
        <w:tc>
          <w:tcPr>
            <w:tcW w:w="0" w:type="auto"/>
            <w:hideMark/>
          </w:tcPr>
          <w:p w14:paraId="4A9AEF31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(“fiber optic” OR “optical fiber” OR “fibre optic”) AND (underground OR overhead OR aerial) AND (deployment OR installation OR infrastructure) AND (“Saudi Arabia” OR “Vision 2030”)</w:t>
            </w:r>
          </w:p>
        </w:tc>
        <w:tc>
          <w:tcPr>
            <w:tcW w:w="0" w:type="auto"/>
            <w:hideMark/>
          </w:tcPr>
          <w:p w14:paraId="34D6F97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English language; 2008–2025</w:t>
            </w:r>
          </w:p>
        </w:tc>
        <w:tc>
          <w:tcPr>
            <w:tcW w:w="0" w:type="auto"/>
            <w:hideMark/>
          </w:tcPr>
          <w:p w14:paraId="362D8C8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Journal articles, conference papers, reviews</w:t>
            </w:r>
          </w:p>
        </w:tc>
        <w:tc>
          <w:tcPr>
            <w:tcW w:w="0" w:type="auto"/>
            <w:hideMark/>
          </w:tcPr>
          <w:p w14:paraId="0C74A3EF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34</w:t>
            </w:r>
          </w:p>
        </w:tc>
      </w:tr>
      <w:tr w:rsidR="005014EB" w:rsidRPr="00A63F91" w14:paraId="063F8488" w14:textId="77777777" w:rsidTr="00375D56">
        <w:tc>
          <w:tcPr>
            <w:tcW w:w="0" w:type="auto"/>
            <w:hideMark/>
          </w:tcPr>
          <w:p w14:paraId="319FBA9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Web of Science</w:t>
            </w:r>
          </w:p>
        </w:tc>
        <w:tc>
          <w:tcPr>
            <w:tcW w:w="0" w:type="auto"/>
            <w:hideMark/>
          </w:tcPr>
          <w:p w14:paraId="57C6BFE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TS=((fiber optic OR optical fiber OR fibre optic) AND (underground OR overhead OR aerial) AND (deployment OR resilience OR cost) AND (“Saudi Arabia” OR broadband))</w:t>
            </w:r>
          </w:p>
        </w:tc>
        <w:tc>
          <w:tcPr>
            <w:tcW w:w="0" w:type="auto"/>
            <w:hideMark/>
          </w:tcPr>
          <w:p w14:paraId="7EBDA4F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English language; 2008–2025</w:t>
            </w:r>
          </w:p>
        </w:tc>
        <w:tc>
          <w:tcPr>
            <w:tcW w:w="0" w:type="auto"/>
            <w:hideMark/>
          </w:tcPr>
          <w:p w14:paraId="4C6F591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Journal articles, conference papers</w:t>
            </w:r>
          </w:p>
        </w:tc>
        <w:tc>
          <w:tcPr>
            <w:tcW w:w="0" w:type="auto"/>
            <w:hideMark/>
          </w:tcPr>
          <w:p w14:paraId="66B9F02B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27</w:t>
            </w:r>
          </w:p>
        </w:tc>
      </w:tr>
      <w:tr w:rsidR="005014EB" w:rsidRPr="00A63F91" w14:paraId="3572C976" w14:textId="77777777" w:rsidTr="00375D56">
        <w:tc>
          <w:tcPr>
            <w:tcW w:w="0" w:type="auto"/>
            <w:hideMark/>
          </w:tcPr>
          <w:p w14:paraId="4DCBFFE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IEEE Xplore</w:t>
            </w:r>
          </w:p>
        </w:tc>
        <w:tc>
          <w:tcPr>
            <w:tcW w:w="0" w:type="auto"/>
            <w:hideMark/>
          </w:tcPr>
          <w:p w14:paraId="2624A74B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(“fiber optic deployment” OR “optical cable installation”) AND (underground OR aerial OR overhead) AND (network resilience OR maintenance OR cost)</w:t>
            </w:r>
          </w:p>
        </w:tc>
        <w:tc>
          <w:tcPr>
            <w:tcW w:w="0" w:type="auto"/>
            <w:hideMark/>
          </w:tcPr>
          <w:p w14:paraId="6732BD70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English language; 2008–2025</w:t>
            </w:r>
          </w:p>
        </w:tc>
        <w:tc>
          <w:tcPr>
            <w:tcW w:w="0" w:type="auto"/>
            <w:hideMark/>
          </w:tcPr>
          <w:p w14:paraId="209A5FAF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Conference papers, technical papers, standards-related papers</w:t>
            </w:r>
          </w:p>
        </w:tc>
        <w:tc>
          <w:tcPr>
            <w:tcW w:w="0" w:type="auto"/>
            <w:hideMark/>
          </w:tcPr>
          <w:p w14:paraId="5D5588E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22</w:t>
            </w:r>
          </w:p>
        </w:tc>
      </w:tr>
      <w:tr w:rsidR="005014EB" w:rsidRPr="00A63F91" w14:paraId="535AA3F1" w14:textId="77777777" w:rsidTr="00375D56">
        <w:tc>
          <w:tcPr>
            <w:tcW w:w="0" w:type="auto"/>
            <w:hideMark/>
          </w:tcPr>
          <w:p w14:paraId="0FA773C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ScienceDirect</w:t>
            </w:r>
          </w:p>
        </w:tc>
        <w:tc>
          <w:tcPr>
            <w:tcW w:w="0" w:type="auto"/>
            <w:hideMark/>
          </w:tcPr>
          <w:p w14:paraId="2611972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(“fiber deployment” AND underground AND overhead) OR (“optical network resilience”) OR (“broadband infrastructure cost”)</w:t>
            </w:r>
          </w:p>
        </w:tc>
        <w:tc>
          <w:tcPr>
            <w:tcW w:w="0" w:type="auto"/>
            <w:hideMark/>
          </w:tcPr>
          <w:p w14:paraId="0BE152D2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English language; 2008–2025</w:t>
            </w:r>
          </w:p>
        </w:tc>
        <w:tc>
          <w:tcPr>
            <w:tcW w:w="0" w:type="auto"/>
            <w:hideMark/>
          </w:tcPr>
          <w:p w14:paraId="5E3301F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Journal articles, technical studies</w:t>
            </w:r>
          </w:p>
        </w:tc>
        <w:tc>
          <w:tcPr>
            <w:tcW w:w="0" w:type="auto"/>
            <w:hideMark/>
          </w:tcPr>
          <w:p w14:paraId="65DFBCCB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19</w:t>
            </w:r>
          </w:p>
        </w:tc>
      </w:tr>
      <w:tr w:rsidR="005014EB" w:rsidRPr="00A63F91" w14:paraId="5BBF05BC" w14:textId="77777777" w:rsidTr="00375D56">
        <w:tc>
          <w:tcPr>
            <w:tcW w:w="0" w:type="auto"/>
            <w:hideMark/>
          </w:tcPr>
          <w:p w14:paraId="5750397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SpringerLink</w:t>
            </w:r>
          </w:p>
        </w:tc>
        <w:tc>
          <w:tcPr>
            <w:tcW w:w="0" w:type="auto"/>
            <w:hideMark/>
          </w:tcPr>
          <w:p w14:paraId="3BB9F0D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(“fiber optic infrastructure” AND deployment AND resilience) AND (urban OR broadband)</w:t>
            </w:r>
          </w:p>
        </w:tc>
        <w:tc>
          <w:tcPr>
            <w:tcW w:w="0" w:type="auto"/>
            <w:hideMark/>
          </w:tcPr>
          <w:p w14:paraId="675A053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English language; 2008–2025</w:t>
            </w:r>
          </w:p>
        </w:tc>
        <w:tc>
          <w:tcPr>
            <w:tcW w:w="0" w:type="auto"/>
            <w:hideMark/>
          </w:tcPr>
          <w:p w14:paraId="0386A191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Journal articles, book chapters</w:t>
            </w:r>
          </w:p>
        </w:tc>
        <w:tc>
          <w:tcPr>
            <w:tcW w:w="0" w:type="auto"/>
            <w:hideMark/>
          </w:tcPr>
          <w:p w14:paraId="5EF0ECF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11</w:t>
            </w:r>
          </w:p>
        </w:tc>
      </w:tr>
      <w:tr w:rsidR="005014EB" w:rsidRPr="00A63F91" w14:paraId="583CB6C2" w14:textId="77777777" w:rsidTr="00375D56">
        <w:tc>
          <w:tcPr>
            <w:tcW w:w="0" w:type="auto"/>
            <w:hideMark/>
          </w:tcPr>
          <w:p w14:paraId="4A4BE6DF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Google Scholar</w:t>
            </w:r>
          </w:p>
        </w:tc>
        <w:tc>
          <w:tcPr>
            <w:tcW w:w="0" w:type="auto"/>
            <w:hideMark/>
          </w:tcPr>
          <w:p w14:paraId="5CE4D03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“underground versus overhead fiber optic deployment”, “Saudi Arabia broadband infrastructure”, “Vision 2030 fiber network”, “aerial fiber maintenance”</w:t>
            </w:r>
          </w:p>
        </w:tc>
        <w:tc>
          <w:tcPr>
            <w:tcW w:w="0" w:type="auto"/>
            <w:hideMark/>
          </w:tcPr>
          <w:p w14:paraId="51152B6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First 200 results screened; English; 2008–2025</w:t>
            </w:r>
          </w:p>
        </w:tc>
        <w:tc>
          <w:tcPr>
            <w:tcW w:w="0" w:type="auto"/>
            <w:hideMark/>
          </w:tcPr>
          <w:p w14:paraId="342E91DE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Mixed academic and grey literature</w:t>
            </w:r>
          </w:p>
        </w:tc>
        <w:tc>
          <w:tcPr>
            <w:tcW w:w="0" w:type="auto"/>
            <w:hideMark/>
          </w:tcPr>
          <w:p w14:paraId="799EB2C2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41</w:t>
            </w:r>
          </w:p>
        </w:tc>
      </w:tr>
      <w:tr w:rsidR="005014EB" w:rsidRPr="00A63F91" w14:paraId="560D8909" w14:textId="77777777" w:rsidTr="00375D56">
        <w:tc>
          <w:tcPr>
            <w:tcW w:w="0" w:type="auto"/>
            <w:hideMark/>
          </w:tcPr>
          <w:p w14:paraId="2C3C1B1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Vision 2030 official website</w:t>
            </w:r>
          </w:p>
        </w:tc>
        <w:tc>
          <w:tcPr>
            <w:tcW w:w="0" w:type="auto"/>
            <w:hideMark/>
          </w:tcPr>
          <w:p w14:paraId="18E87A22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“Vision 2030 annual report”, “digital infrastructure”, “connectivity”, “broadband”</w:t>
            </w:r>
          </w:p>
        </w:tc>
        <w:tc>
          <w:tcPr>
            <w:tcW w:w="0" w:type="auto"/>
            <w:hideMark/>
          </w:tcPr>
          <w:p w14:paraId="29A21AFB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No date restriction; latest available versions used</w:t>
            </w:r>
          </w:p>
        </w:tc>
        <w:tc>
          <w:tcPr>
            <w:tcW w:w="0" w:type="auto"/>
            <w:hideMark/>
          </w:tcPr>
          <w:p w14:paraId="4AF1E49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Policy and annual reports</w:t>
            </w:r>
          </w:p>
        </w:tc>
        <w:tc>
          <w:tcPr>
            <w:tcW w:w="0" w:type="auto"/>
            <w:hideMark/>
          </w:tcPr>
          <w:p w14:paraId="3CDBC47B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6</w:t>
            </w:r>
          </w:p>
        </w:tc>
      </w:tr>
      <w:tr w:rsidR="005014EB" w:rsidRPr="00A63F91" w14:paraId="4C786B20" w14:textId="77777777" w:rsidTr="00375D56">
        <w:tc>
          <w:tcPr>
            <w:tcW w:w="0" w:type="auto"/>
            <w:hideMark/>
          </w:tcPr>
          <w:p w14:paraId="604EFCC1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MCIT official website</w:t>
            </w:r>
          </w:p>
        </w:tc>
        <w:tc>
          <w:tcPr>
            <w:tcW w:w="0" w:type="auto"/>
            <w:hideMark/>
          </w:tcPr>
          <w:p w14:paraId="514353D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“10Gbps Society”, “digital infrastructure Saudi Arabia”, “broadband strategy”</w:t>
            </w:r>
          </w:p>
        </w:tc>
        <w:tc>
          <w:tcPr>
            <w:tcW w:w="0" w:type="auto"/>
            <w:hideMark/>
          </w:tcPr>
          <w:p w14:paraId="1EF3AC1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No date restriction; latest available versions used</w:t>
            </w:r>
          </w:p>
        </w:tc>
        <w:tc>
          <w:tcPr>
            <w:tcW w:w="0" w:type="auto"/>
            <w:hideMark/>
          </w:tcPr>
          <w:p w14:paraId="051D60B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Government reports and white papers</w:t>
            </w:r>
          </w:p>
        </w:tc>
        <w:tc>
          <w:tcPr>
            <w:tcW w:w="0" w:type="auto"/>
            <w:hideMark/>
          </w:tcPr>
          <w:p w14:paraId="53144A6F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5</w:t>
            </w:r>
          </w:p>
        </w:tc>
      </w:tr>
      <w:tr w:rsidR="005014EB" w:rsidRPr="00A63F91" w14:paraId="00EE3513" w14:textId="77777777" w:rsidTr="00375D56">
        <w:tc>
          <w:tcPr>
            <w:tcW w:w="0" w:type="auto"/>
            <w:hideMark/>
          </w:tcPr>
          <w:p w14:paraId="42B28C8E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CST official website</w:t>
            </w:r>
          </w:p>
        </w:tc>
        <w:tc>
          <w:tcPr>
            <w:tcW w:w="0" w:type="auto"/>
            <w:hideMark/>
          </w:tcPr>
          <w:p w14:paraId="56C70CEF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“Saudi Internet Report”, “digital insights”, “telecom infrastructure”, “large-scale developments”</w:t>
            </w:r>
          </w:p>
        </w:tc>
        <w:tc>
          <w:tcPr>
            <w:tcW w:w="0" w:type="auto"/>
            <w:hideMark/>
          </w:tcPr>
          <w:p w14:paraId="2D481580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No date restriction; latest available versions used</w:t>
            </w:r>
          </w:p>
        </w:tc>
        <w:tc>
          <w:tcPr>
            <w:tcW w:w="0" w:type="auto"/>
            <w:hideMark/>
          </w:tcPr>
          <w:p w14:paraId="416D9FD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Regulatory and sector reports</w:t>
            </w:r>
          </w:p>
        </w:tc>
        <w:tc>
          <w:tcPr>
            <w:tcW w:w="0" w:type="auto"/>
            <w:hideMark/>
          </w:tcPr>
          <w:p w14:paraId="259930B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8</w:t>
            </w:r>
          </w:p>
        </w:tc>
      </w:tr>
      <w:tr w:rsidR="005014EB" w:rsidRPr="00A63F91" w14:paraId="65A89AD6" w14:textId="77777777" w:rsidTr="00375D56">
        <w:tc>
          <w:tcPr>
            <w:tcW w:w="0" w:type="auto"/>
            <w:hideMark/>
          </w:tcPr>
          <w:p w14:paraId="4D76B88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ITU / ITU-T</w:t>
            </w:r>
          </w:p>
        </w:tc>
        <w:tc>
          <w:tcPr>
            <w:tcW w:w="0" w:type="auto"/>
            <w:hideMark/>
          </w:tcPr>
          <w:p w14:paraId="5E92B7D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“optical fibres cables systems”, “L.35”, “L.101”, “mini-trench optical cables”</w:t>
            </w:r>
          </w:p>
        </w:tc>
        <w:tc>
          <w:tcPr>
            <w:tcW w:w="0" w:type="auto"/>
            <w:hideMark/>
          </w:tcPr>
          <w:p w14:paraId="3DA478E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No date restriction</w:t>
            </w:r>
          </w:p>
        </w:tc>
        <w:tc>
          <w:tcPr>
            <w:tcW w:w="0" w:type="auto"/>
            <w:hideMark/>
          </w:tcPr>
          <w:p w14:paraId="69BEBA56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Standards, handbooks, technical recommendations</w:t>
            </w:r>
          </w:p>
        </w:tc>
        <w:tc>
          <w:tcPr>
            <w:tcW w:w="0" w:type="auto"/>
            <w:hideMark/>
          </w:tcPr>
          <w:p w14:paraId="54FF6A9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9</w:t>
            </w:r>
          </w:p>
        </w:tc>
      </w:tr>
      <w:tr w:rsidR="005014EB" w:rsidRPr="00A63F91" w14:paraId="1F420BE9" w14:textId="77777777" w:rsidTr="00375D56">
        <w:tc>
          <w:tcPr>
            <w:tcW w:w="0" w:type="auto"/>
            <w:hideMark/>
          </w:tcPr>
          <w:p w14:paraId="1048F33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OECD iLibrary / OECD publications</w:t>
            </w:r>
          </w:p>
        </w:tc>
        <w:tc>
          <w:tcPr>
            <w:tcW w:w="0" w:type="auto"/>
            <w:hideMark/>
          </w:tcPr>
          <w:p w14:paraId="59A8296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“fibre access”, “public rights of way”, “open access broadband networks”, “fixed broadband networks”</w:t>
            </w:r>
          </w:p>
        </w:tc>
        <w:tc>
          <w:tcPr>
            <w:tcW w:w="0" w:type="auto"/>
            <w:hideMark/>
          </w:tcPr>
          <w:p w14:paraId="234A124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No date restriction</w:t>
            </w:r>
          </w:p>
        </w:tc>
        <w:tc>
          <w:tcPr>
            <w:tcW w:w="0" w:type="auto"/>
            <w:hideMark/>
          </w:tcPr>
          <w:p w14:paraId="6BAB821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Policy and regulatory reports</w:t>
            </w:r>
          </w:p>
        </w:tc>
        <w:tc>
          <w:tcPr>
            <w:tcW w:w="0" w:type="auto"/>
            <w:hideMark/>
          </w:tcPr>
          <w:p w14:paraId="2DAB49F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  <w:t>7</w:t>
            </w:r>
          </w:p>
        </w:tc>
      </w:tr>
      <w:tr w:rsidR="005014EB" w:rsidRPr="00A63F91" w14:paraId="7A56A593" w14:textId="77777777" w:rsidTr="00375D56">
        <w:tc>
          <w:tcPr>
            <w:tcW w:w="0" w:type="auto"/>
            <w:hideMark/>
          </w:tcPr>
          <w:p w14:paraId="43CFA86F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8"/>
                <w:szCs w:val="18"/>
                <w14:ligatures w14:val="none"/>
              </w:rPr>
              <w:t>Total</w:t>
            </w:r>
          </w:p>
        </w:tc>
        <w:tc>
          <w:tcPr>
            <w:tcW w:w="0" w:type="auto"/>
            <w:hideMark/>
          </w:tcPr>
          <w:p w14:paraId="107D8C6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hideMark/>
          </w:tcPr>
          <w:p w14:paraId="3B8042B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hideMark/>
          </w:tcPr>
          <w:p w14:paraId="428BD3D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94A16B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691AE798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4833A156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7FC14864" w14:textId="77777777" w:rsidR="005014EB" w:rsidRDefault="005014EB" w:rsidP="005014EB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14:ligatures w14:val="none"/>
        </w:rPr>
      </w:pPr>
    </w:p>
    <w:p w14:paraId="3503109A" w14:textId="77777777" w:rsidR="005014EB" w:rsidRPr="00A63F91" w:rsidRDefault="005014EB" w:rsidP="005014EB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14:ligatures w14:val="none"/>
        </w:rPr>
      </w:pPr>
      <w:r w:rsidRPr="00A63F91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14:ligatures w14:val="none"/>
        </w:rPr>
        <w:lastRenderedPageBreak/>
        <w:t>Table 2. Inclusion and exclusion criteria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8"/>
        <w:gridCol w:w="3958"/>
        <w:gridCol w:w="3804"/>
      </w:tblGrid>
      <w:tr w:rsidR="005014EB" w:rsidRPr="00A63F91" w14:paraId="60C461C7" w14:textId="77777777" w:rsidTr="00375D56">
        <w:tc>
          <w:tcPr>
            <w:tcW w:w="0" w:type="auto"/>
            <w:shd w:val="clear" w:color="auto" w:fill="F7CAAC" w:themeFill="accent2" w:themeFillTint="66"/>
            <w:hideMark/>
          </w:tcPr>
          <w:p w14:paraId="51A0A98E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Criterion category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1B957C9D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Inclusion criteria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50DA4636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14:ligatures w14:val="none"/>
              </w:rPr>
              <w:t>Exclusion criteria</w:t>
            </w:r>
          </w:p>
        </w:tc>
      </w:tr>
      <w:tr w:rsidR="005014EB" w:rsidRPr="00A63F91" w14:paraId="11A864A9" w14:textId="77777777" w:rsidTr="00375D56">
        <w:tc>
          <w:tcPr>
            <w:tcW w:w="0" w:type="auto"/>
            <w:hideMark/>
          </w:tcPr>
          <w:p w14:paraId="68E7F92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Topic relevance</w:t>
            </w:r>
          </w:p>
        </w:tc>
        <w:tc>
          <w:tcPr>
            <w:tcW w:w="0" w:type="auto"/>
            <w:hideMark/>
          </w:tcPr>
          <w:p w14:paraId="264EB35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Studies addressing fiber-optic or fixed broadband deployment infrastructure</w:t>
            </w:r>
          </w:p>
        </w:tc>
        <w:tc>
          <w:tcPr>
            <w:tcW w:w="0" w:type="auto"/>
            <w:hideMark/>
          </w:tcPr>
          <w:p w14:paraId="3443372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Studies focused only on wireless/mobile systems with no fixed-fiber relevance</w:t>
            </w:r>
          </w:p>
        </w:tc>
      </w:tr>
      <w:tr w:rsidR="005014EB" w:rsidRPr="00A63F91" w14:paraId="480258BD" w14:textId="77777777" w:rsidTr="00375D56">
        <w:tc>
          <w:tcPr>
            <w:tcW w:w="0" w:type="auto"/>
            <w:hideMark/>
          </w:tcPr>
          <w:p w14:paraId="042A5A6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Deployment mode</w:t>
            </w:r>
          </w:p>
        </w:tc>
        <w:tc>
          <w:tcPr>
            <w:tcW w:w="0" w:type="auto"/>
            <w:hideMark/>
          </w:tcPr>
          <w:p w14:paraId="67DBAF7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Studies examining underground, overhead/aerial, or comparative deployment models</w:t>
            </w:r>
          </w:p>
        </w:tc>
        <w:tc>
          <w:tcPr>
            <w:tcW w:w="0" w:type="auto"/>
            <w:hideMark/>
          </w:tcPr>
          <w:p w14:paraId="71E70D9E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Studies discussing optical transmission only, without installation/deployment implications</w:t>
            </w:r>
          </w:p>
        </w:tc>
      </w:tr>
      <w:tr w:rsidR="005014EB" w:rsidRPr="00A63F91" w14:paraId="2E2F0591" w14:textId="77777777" w:rsidTr="00375D56">
        <w:tc>
          <w:tcPr>
            <w:tcW w:w="0" w:type="auto"/>
            <w:hideMark/>
          </w:tcPr>
          <w:p w14:paraId="1D132BB2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Outcomes of interest</w:t>
            </w:r>
          </w:p>
        </w:tc>
        <w:tc>
          <w:tcPr>
            <w:tcW w:w="0" w:type="auto"/>
            <w:hideMark/>
          </w:tcPr>
          <w:p w14:paraId="038007C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Cost, installation speed, resilience, reliability, maintenance, urban suitability, regulatory barriers, lifecycle implications</w:t>
            </w:r>
          </w:p>
        </w:tc>
        <w:tc>
          <w:tcPr>
            <w:tcW w:w="0" w:type="auto"/>
            <w:hideMark/>
          </w:tcPr>
          <w:p w14:paraId="61B66AE0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Studies with no discussion of deployment outcomes or no usable findings</w:t>
            </w:r>
          </w:p>
        </w:tc>
      </w:tr>
      <w:tr w:rsidR="005014EB" w:rsidRPr="00A63F91" w14:paraId="0AA68487" w14:textId="77777777" w:rsidTr="00375D56">
        <w:tc>
          <w:tcPr>
            <w:tcW w:w="0" w:type="auto"/>
            <w:hideMark/>
          </w:tcPr>
          <w:p w14:paraId="5CF55E9F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Geographic relevance</w:t>
            </w:r>
          </w:p>
        </w:tc>
        <w:tc>
          <w:tcPr>
            <w:tcW w:w="0" w:type="auto"/>
            <w:hideMark/>
          </w:tcPr>
          <w:p w14:paraId="4C3BD686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Saudi Arabia-focused studies and international studies with transferable infrastructure relevance</w:t>
            </w:r>
          </w:p>
        </w:tc>
        <w:tc>
          <w:tcPr>
            <w:tcW w:w="0" w:type="auto"/>
            <w:hideMark/>
          </w:tcPr>
          <w:p w14:paraId="2EA1A79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Studies limited to contexts with no practical applicability to telecom infrastructure planning</w:t>
            </w:r>
          </w:p>
        </w:tc>
      </w:tr>
      <w:tr w:rsidR="005014EB" w:rsidRPr="00A63F91" w14:paraId="20C31850" w14:textId="77777777" w:rsidTr="00375D56">
        <w:tc>
          <w:tcPr>
            <w:tcW w:w="0" w:type="auto"/>
            <w:hideMark/>
          </w:tcPr>
          <w:p w14:paraId="3136E58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Source type</w:t>
            </w:r>
          </w:p>
        </w:tc>
        <w:tc>
          <w:tcPr>
            <w:tcW w:w="0" w:type="auto"/>
            <w:hideMark/>
          </w:tcPr>
          <w:p w14:paraId="220FD4D1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Peer-reviewed journal articles, conference papers, standards, government reports, regulatory documents, OECD/ITU publications</w:t>
            </w:r>
          </w:p>
        </w:tc>
        <w:tc>
          <w:tcPr>
            <w:tcW w:w="0" w:type="auto"/>
            <w:hideMark/>
          </w:tcPr>
          <w:p w14:paraId="546423E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Editorials, blogs, unsupported opinion pieces, non-technical trade commentary</w:t>
            </w:r>
          </w:p>
        </w:tc>
      </w:tr>
      <w:tr w:rsidR="005014EB" w:rsidRPr="00A63F91" w14:paraId="1D5091FC" w14:textId="77777777" w:rsidTr="00375D56">
        <w:tc>
          <w:tcPr>
            <w:tcW w:w="0" w:type="auto"/>
            <w:hideMark/>
          </w:tcPr>
          <w:p w14:paraId="7788670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Language</w:t>
            </w:r>
          </w:p>
        </w:tc>
        <w:tc>
          <w:tcPr>
            <w:tcW w:w="0" w:type="auto"/>
            <w:hideMark/>
          </w:tcPr>
          <w:p w14:paraId="46E5CA6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English</w:t>
            </w:r>
          </w:p>
        </w:tc>
        <w:tc>
          <w:tcPr>
            <w:tcW w:w="0" w:type="auto"/>
            <w:hideMark/>
          </w:tcPr>
          <w:p w14:paraId="78923D8F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Non-English documents not accessible in reliable translation</w:t>
            </w:r>
          </w:p>
        </w:tc>
      </w:tr>
      <w:tr w:rsidR="005014EB" w:rsidRPr="00A63F91" w14:paraId="598EFA7B" w14:textId="77777777" w:rsidTr="00375D56">
        <w:tc>
          <w:tcPr>
            <w:tcW w:w="0" w:type="auto"/>
            <w:hideMark/>
          </w:tcPr>
          <w:p w14:paraId="36FD2DE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Publication period</w:t>
            </w:r>
          </w:p>
        </w:tc>
        <w:tc>
          <w:tcPr>
            <w:tcW w:w="0" w:type="auto"/>
            <w:hideMark/>
          </w:tcPr>
          <w:p w14:paraId="29D73AC8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2008–2025</w:t>
            </w:r>
          </w:p>
        </w:tc>
        <w:tc>
          <w:tcPr>
            <w:tcW w:w="0" w:type="auto"/>
            <w:hideMark/>
          </w:tcPr>
          <w:p w14:paraId="40F6DD27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Publications outside the selected period unless considered foundational and essential</w:t>
            </w:r>
          </w:p>
        </w:tc>
      </w:tr>
      <w:tr w:rsidR="005014EB" w:rsidRPr="00A63F91" w14:paraId="27E725C0" w14:textId="77777777" w:rsidTr="00375D56">
        <w:tc>
          <w:tcPr>
            <w:tcW w:w="0" w:type="auto"/>
            <w:hideMark/>
          </w:tcPr>
          <w:p w14:paraId="5D2C2E4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Evidence quality</w:t>
            </w:r>
          </w:p>
        </w:tc>
        <w:tc>
          <w:tcPr>
            <w:tcW w:w="0" w:type="auto"/>
            <w:hideMark/>
          </w:tcPr>
          <w:p w14:paraId="02F93637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Studies with clear objectives, methods, technical detail, or authoritative institutional basis</w:t>
            </w:r>
          </w:p>
        </w:tc>
        <w:tc>
          <w:tcPr>
            <w:tcW w:w="0" w:type="auto"/>
            <w:hideMark/>
          </w:tcPr>
          <w:p w14:paraId="2DA1813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Sources lacking methodological clarity, traceability, or sufficient technical detail</w:t>
            </w:r>
          </w:p>
        </w:tc>
      </w:tr>
      <w:tr w:rsidR="005014EB" w:rsidRPr="00A63F91" w14:paraId="306C3659" w14:textId="77777777" w:rsidTr="00375D56">
        <w:tc>
          <w:tcPr>
            <w:tcW w:w="0" w:type="auto"/>
            <w:hideMark/>
          </w:tcPr>
          <w:p w14:paraId="69A0108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Duplicate handling</w:t>
            </w:r>
          </w:p>
        </w:tc>
        <w:tc>
          <w:tcPr>
            <w:tcW w:w="0" w:type="auto"/>
            <w:hideMark/>
          </w:tcPr>
          <w:p w14:paraId="3CA662A8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Most complete and relevant version retained</w:t>
            </w:r>
          </w:p>
        </w:tc>
        <w:tc>
          <w:tcPr>
            <w:tcW w:w="0" w:type="auto"/>
            <w:hideMark/>
          </w:tcPr>
          <w:p w14:paraId="5623A48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Duplicate or overlapping publications removed</w:t>
            </w:r>
          </w:p>
        </w:tc>
      </w:tr>
      <w:tr w:rsidR="005014EB" w:rsidRPr="00A63F91" w14:paraId="18A075DF" w14:textId="77777777" w:rsidTr="00375D56">
        <w:tc>
          <w:tcPr>
            <w:tcW w:w="0" w:type="auto"/>
            <w:hideMark/>
          </w:tcPr>
          <w:p w14:paraId="426DC39B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Final use in synthesis</w:t>
            </w:r>
          </w:p>
        </w:tc>
        <w:tc>
          <w:tcPr>
            <w:tcW w:w="0" w:type="auto"/>
            <w:hideMark/>
          </w:tcPr>
          <w:p w14:paraId="07F5F1E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Sources directly informing underground vs overhead deployment decisions and Saudi Vision 2030 implications</w:t>
            </w:r>
          </w:p>
        </w:tc>
        <w:tc>
          <w:tcPr>
            <w:tcW w:w="0" w:type="auto"/>
            <w:hideMark/>
          </w:tcPr>
          <w:p w14:paraId="014D96D7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14:ligatures w14:val="none"/>
              </w:rPr>
              <w:t>Sources not contributing to the review question after full-text assessment</w:t>
            </w:r>
          </w:p>
        </w:tc>
      </w:tr>
    </w:tbl>
    <w:p w14:paraId="5ED6B597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6E01556E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443750F3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19295B03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629548AC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1411CC5F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09DA22D8" w14:textId="77777777" w:rsidR="005014EB" w:rsidRPr="00A63F91" w:rsidRDefault="005014EB" w:rsidP="005014EB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14:ligatures w14:val="none"/>
        </w:rPr>
      </w:pPr>
      <w:r w:rsidRPr="00A63F91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14:ligatures w14:val="none"/>
        </w:rPr>
        <w:lastRenderedPageBreak/>
        <w:t>Table 3. Characteristics of included studies and documents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"/>
        <w:gridCol w:w="1689"/>
        <w:gridCol w:w="1228"/>
        <w:gridCol w:w="1333"/>
        <w:gridCol w:w="1100"/>
        <w:gridCol w:w="1148"/>
        <w:gridCol w:w="1148"/>
        <w:gridCol w:w="1210"/>
      </w:tblGrid>
      <w:tr w:rsidR="005014EB" w:rsidRPr="00364BE8" w14:paraId="42A300A5" w14:textId="77777777" w:rsidTr="00375D56">
        <w:tc>
          <w:tcPr>
            <w:tcW w:w="0" w:type="auto"/>
            <w:shd w:val="clear" w:color="auto" w:fill="F7CAAC" w:themeFill="accent2" w:themeFillTint="66"/>
            <w:hideMark/>
          </w:tcPr>
          <w:p w14:paraId="10777324" w14:textId="77777777" w:rsidR="005014EB" w:rsidRPr="00364BE8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Ref.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5188E82B" w14:textId="77777777" w:rsidR="005014EB" w:rsidRPr="00364BE8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Author/Organization, Year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0C3FAD64" w14:textId="77777777" w:rsidR="005014EB" w:rsidRPr="00364BE8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Country/Scope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01EB7ACC" w14:textId="77777777" w:rsidR="005014EB" w:rsidRPr="00364BE8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Study/document type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41D290B1" w14:textId="77777777" w:rsidR="005014EB" w:rsidRPr="00364BE8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Deployment type addressed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4605B310" w14:textId="77777777" w:rsidR="005014EB" w:rsidRPr="00364BE8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Main focus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63B358B5" w14:textId="77777777" w:rsidR="005014EB" w:rsidRPr="00364BE8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Key finding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725F072B" w14:textId="77777777" w:rsidR="005014EB" w:rsidRPr="00364BE8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Relevance to Saudi Arabia</w:t>
            </w:r>
          </w:p>
        </w:tc>
      </w:tr>
      <w:tr w:rsidR="005014EB" w:rsidRPr="00364BE8" w14:paraId="1C47D3D3" w14:textId="77777777" w:rsidTr="00375D56">
        <w:tc>
          <w:tcPr>
            <w:tcW w:w="0" w:type="auto"/>
            <w:hideMark/>
          </w:tcPr>
          <w:p w14:paraId="025C95E2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[1]</w:t>
            </w:r>
          </w:p>
        </w:tc>
        <w:tc>
          <w:tcPr>
            <w:tcW w:w="0" w:type="auto"/>
            <w:hideMark/>
          </w:tcPr>
          <w:p w14:paraId="34EEADB5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Kingdom of Saudi Arabia, 2016</w:t>
            </w:r>
          </w:p>
        </w:tc>
        <w:tc>
          <w:tcPr>
            <w:tcW w:w="0" w:type="auto"/>
            <w:hideMark/>
          </w:tcPr>
          <w:p w14:paraId="438AD1D9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Saudi Arabia</w:t>
            </w:r>
          </w:p>
        </w:tc>
        <w:tc>
          <w:tcPr>
            <w:tcW w:w="0" w:type="auto"/>
            <w:hideMark/>
          </w:tcPr>
          <w:p w14:paraId="3FA13B30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National strategy document</w:t>
            </w:r>
          </w:p>
        </w:tc>
        <w:tc>
          <w:tcPr>
            <w:tcW w:w="0" w:type="auto"/>
            <w:hideMark/>
          </w:tcPr>
          <w:p w14:paraId="2768739C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Mixed / strategic</w:t>
            </w:r>
          </w:p>
        </w:tc>
        <w:tc>
          <w:tcPr>
            <w:tcW w:w="0" w:type="auto"/>
            <w:hideMark/>
          </w:tcPr>
          <w:p w14:paraId="6D27F2F9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Vision 2030 priorities</w:t>
            </w:r>
          </w:p>
        </w:tc>
        <w:tc>
          <w:tcPr>
            <w:tcW w:w="0" w:type="auto"/>
            <w:hideMark/>
          </w:tcPr>
          <w:p w14:paraId="30A1295A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Digital infrastructure is a core enabler of national transformation</w:t>
            </w:r>
          </w:p>
        </w:tc>
        <w:tc>
          <w:tcPr>
            <w:tcW w:w="0" w:type="auto"/>
            <w:hideMark/>
          </w:tcPr>
          <w:p w14:paraId="31BC34F1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Establishes national policy context</w:t>
            </w:r>
          </w:p>
        </w:tc>
      </w:tr>
      <w:tr w:rsidR="005014EB" w:rsidRPr="00364BE8" w14:paraId="262171D6" w14:textId="77777777" w:rsidTr="00375D56">
        <w:tc>
          <w:tcPr>
            <w:tcW w:w="0" w:type="auto"/>
            <w:hideMark/>
          </w:tcPr>
          <w:p w14:paraId="0A960A11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[2]</w:t>
            </w:r>
          </w:p>
        </w:tc>
        <w:tc>
          <w:tcPr>
            <w:tcW w:w="0" w:type="auto"/>
            <w:hideMark/>
          </w:tcPr>
          <w:p w14:paraId="390CDB6F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Vision 2030, 2025</w:t>
            </w:r>
          </w:p>
        </w:tc>
        <w:tc>
          <w:tcPr>
            <w:tcW w:w="0" w:type="auto"/>
            <w:hideMark/>
          </w:tcPr>
          <w:p w14:paraId="3D4B0013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Saudi Arabia</w:t>
            </w:r>
          </w:p>
        </w:tc>
        <w:tc>
          <w:tcPr>
            <w:tcW w:w="0" w:type="auto"/>
            <w:hideMark/>
          </w:tcPr>
          <w:p w14:paraId="014EAF13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Annual report</w:t>
            </w:r>
          </w:p>
        </w:tc>
        <w:tc>
          <w:tcPr>
            <w:tcW w:w="0" w:type="auto"/>
            <w:hideMark/>
          </w:tcPr>
          <w:p w14:paraId="429F1B0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Mixed / strategic</w:t>
            </w:r>
          </w:p>
        </w:tc>
        <w:tc>
          <w:tcPr>
            <w:tcW w:w="0" w:type="auto"/>
            <w:hideMark/>
          </w:tcPr>
          <w:p w14:paraId="6CDCE569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Progress in transformation indicators</w:t>
            </w:r>
          </w:p>
        </w:tc>
        <w:tc>
          <w:tcPr>
            <w:tcW w:w="0" w:type="auto"/>
            <w:hideMark/>
          </w:tcPr>
          <w:p w14:paraId="7159DAD6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Confirms continuing emphasis on digital services and connectivity expansion</w:t>
            </w:r>
          </w:p>
        </w:tc>
        <w:tc>
          <w:tcPr>
            <w:tcW w:w="0" w:type="auto"/>
            <w:hideMark/>
          </w:tcPr>
          <w:p w14:paraId="1F2D40F3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Supports urgency of scalable fiber deployment</w:t>
            </w:r>
          </w:p>
        </w:tc>
      </w:tr>
      <w:tr w:rsidR="005014EB" w:rsidRPr="00364BE8" w14:paraId="724D837A" w14:textId="77777777" w:rsidTr="00375D56">
        <w:tc>
          <w:tcPr>
            <w:tcW w:w="0" w:type="auto"/>
            <w:hideMark/>
          </w:tcPr>
          <w:p w14:paraId="6C18E420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[3]</w:t>
            </w:r>
          </w:p>
        </w:tc>
        <w:tc>
          <w:tcPr>
            <w:tcW w:w="0" w:type="auto"/>
            <w:hideMark/>
          </w:tcPr>
          <w:p w14:paraId="11F4811C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MCIT, 2024</w:t>
            </w:r>
          </w:p>
        </w:tc>
        <w:tc>
          <w:tcPr>
            <w:tcW w:w="0" w:type="auto"/>
            <w:hideMark/>
          </w:tcPr>
          <w:p w14:paraId="6C09CEC9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Saudi Arabia</w:t>
            </w:r>
          </w:p>
        </w:tc>
        <w:tc>
          <w:tcPr>
            <w:tcW w:w="0" w:type="auto"/>
            <w:hideMark/>
          </w:tcPr>
          <w:p w14:paraId="4F4ED706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Government report</w:t>
            </w:r>
          </w:p>
        </w:tc>
        <w:tc>
          <w:tcPr>
            <w:tcW w:w="0" w:type="auto"/>
            <w:hideMark/>
          </w:tcPr>
          <w:p w14:paraId="1E9BF180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Primarily fiber-based future infrastructure</w:t>
            </w:r>
          </w:p>
        </w:tc>
        <w:tc>
          <w:tcPr>
            <w:tcW w:w="0" w:type="auto"/>
            <w:hideMark/>
          </w:tcPr>
          <w:p w14:paraId="5F8C79B0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10Gbps digital society</w:t>
            </w:r>
          </w:p>
        </w:tc>
        <w:tc>
          <w:tcPr>
            <w:tcW w:w="0" w:type="auto"/>
            <w:hideMark/>
          </w:tcPr>
          <w:p w14:paraId="2B254C00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High-capacity networks are essential for future services, AI, cities, and industry</w:t>
            </w:r>
          </w:p>
        </w:tc>
        <w:tc>
          <w:tcPr>
            <w:tcW w:w="0" w:type="auto"/>
            <w:hideMark/>
          </w:tcPr>
          <w:p w14:paraId="50E16787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Strong strategic justification for fiber investment</w:t>
            </w:r>
          </w:p>
        </w:tc>
      </w:tr>
      <w:tr w:rsidR="005014EB" w:rsidRPr="00364BE8" w14:paraId="0D978DF1" w14:textId="77777777" w:rsidTr="00375D56">
        <w:tc>
          <w:tcPr>
            <w:tcW w:w="0" w:type="auto"/>
            <w:hideMark/>
          </w:tcPr>
          <w:p w14:paraId="22B9CC91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[4]</w:t>
            </w:r>
          </w:p>
        </w:tc>
        <w:tc>
          <w:tcPr>
            <w:tcW w:w="0" w:type="auto"/>
            <w:hideMark/>
          </w:tcPr>
          <w:p w14:paraId="4CE9AA3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CST, 2025</w:t>
            </w:r>
          </w:p>
        </w:tc>
        <w:tc>
          <w:tcPr>
            <w:tcW w:w="0" w:type="auto"/>
            <w:hideMark/>
          </w:tcPr>
          <w:p w14:paraId="3B34147D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Saudi Arabia</w:t>
            </w:r>
          </w:p>
        </w:tc>
        <w:tc>
          <w:tcPr>
            <w:tcW w:w="0" w:type="auto"/>
            <w:hideMark/>
          </w:tcPr>
          <w:p w14:paraId="5802D9B3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National internet report</w:t>
            </w:r>
          </w:p>
        </w:tc>
        <w:tc>
          <w:tcPr>
            <w:tcW w:w="0" w:type="auto"/>
            <w:hideMark/>
          </w:tcPr>
          <w:p w14:paraId="00667D26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Mixed / strategic</w:t>
            </w:r>
          </w:p>
        </w:tc>
        <w:tc>
          <w:tcPr>
            <w:tcW w:w="0" w:type="auto"/>
            <w:hideMark/>
          </w:tcPr>
          <w:p w14:paraId="76DBDB77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Internet ecosystem and service quality</w:t>
            </w:r>
          </w:p>
        </w:tc>
        <w:tc>
          <w:tcPr>
            <w:tcW w:w="0" w:type="auto"/>
            <w:hideMark/>
          </w:tcPr>
          <w:p w14:paraId="6B7F5B11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Saudi Arabia has very high internet penetration and strong infrastructure progress</w:t>
            </w:r>
          </w:p>
        </w:tc>
        <w:tc>
          <w:tcPr>
            <w:tcW w:w="0" w:type="auto"/>
            <w:hideMark/>
          </w:tcPr>
          <w:p w14:paraId="0FD5868D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Shows demand-side and national readiness context</w:t>
            </w:r>
          </w:p>
        </w:tc>
      </w:tr>
      <w:tr w:rsidR="005014EB" w:rsidRPr="00364BE8" w14:paraId="47812D18" w14:textId="77777777" w:rsidTr="00375D56">
        <w:tc>
          <w:tcPr>
            <w:tcW w:w="0" w:type="auto"/>
            <w:hideMark/>
          </w:tcPr>
          <w:p w14:paraId="0A2D0B4E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[5]</w:t>
            </w:r>
          </w:p>
        </w:tc>
        <w:tc>
          <w:tcPr>
            <w:tcW w:w="0" w:type="auto"/>
            <w:hideMark/>
          </w:tcPr>
          <w:p w14:paraId="7D175E03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CST, 2021</w:t>
            </w:r>
          </w:p>
        </w:tc>
        <w:tc>
          <w:tcPr>
            <w:tcW w:w="0" w:type="auto"/>
            <w:hideMark/>
          </w:tcPr>
          <w:p w14:paraId="047E9F84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Saudi Arabia</w:t>
            </w:r>
          </w:p>
        </w:tc>
        <w:tc>
          <w:tcPr>
            <w:tcW w:w="0" w:type="auto"/>
            <w:hideMark/>
          </w:tcPr>
          <w:p w14:paraId="08BA3956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Sector insights report</w:t>
            </w:r>
          </w:p>
        </w:tc>
        <w:tc>
          <w:tcPr>
            <w:tcW w:w="0" w:type="auto"/>
            <w:hideMark/>
          </w:tcPr>
          <w:p w14:paraId="6B365C6D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Mixed / strategic</w:t>
            </w:r>
          </w:p>
        </w:tc>
        <w:tc>
          <w:tcPr>
            <w:tcW w:w="0" w:type="auto"/>
            <w:hideMark/>
          </w:tcPr>
          <w:p w14:paraId="1F84A6AE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Digital market and connectivity trends</w:t>
            </w:r>
          </w:p>
        </w:tc>
        <w:tc>
          <w:tcPr>
            <w:tcW w:w="0" w:type="auto"/>
            <w:hideMark/>
          </w:tcPr>
          <w:p w14:paraId="3EFB1609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Broadband and digital usage continue to expand</w:t>
            </w:r>
          </w:p>
        </w:tc>
        <w:tc>
          <w:tcPr>
            <w:tcW w:w="0" w:type="auto"/>
            <w:hideMark/>
          </w:tcPr>
          <w:p w14:paraId="4189334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Supports policy and market background</w:t>
            </w:r>
          </w:p>
        </w:tc>
      </w:tr>
      <w:tr w:rsidR="005014EB" w:rsidRPr="00364BE8" w14:paraId="1B8FB8E8" w14:textId="77777777" w:rsidTr="00375D56">
        <w:tc>
          <w:tcPr>
            <w:tcW w:w="0" w:type="auto"/>
            <w:hideMark/>
          </w:tcPr>
          <w:p w14:paraId="41ABC6B0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[6]</w:t>
            </w:r>
          </w:p>
        </w:tc>
        <w:tc>
          <w:tcPr>
            <w:tcW w:w="0" w:type="auto"/>
            <w:hideMark/>
          </w:tcPr>
          <w:p w14:paraId="75F22706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ITU, 2009</w:t>
            </w:r>
          </w:p>
        </w:tc>
        <w:tc>
          <w:tcPr>
            <w:tcW w:w="0" w:type="auto"/>
            <w:hideMark/>
          </w:tcPr>
          <w:p w14:paraId="65D01042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International</w:t>
            </w:r>
          </w:p>
        </w:tc>
        <w:tc>
          <w:tcPr>
            <w:tcW w:w="0" w:type="auto"/>
            <w:hideMark/>
          </w:tcPr>
          <w:p w14:paraId="7A0C9036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Technical handbook</w:t>
            </w:r>
          </w:p>
        </w:tc>
        <w:tc>
          <w:tcPr>
            <w:tcW w:w="0" w:type="auto"/>
            <w:hideMark/>
          </w:tcPr>
          <w:p w14:paraId="4F055875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Underground, aerial, duct, direct-buried</w:t>
            </w:r>
          </w:p>
        </w:tc>
        <w:tc>
          <w:tcPr>
            <w:tcW w:w="0" w:type="auto"/>
            <w:hideMark/>
          </w:tcPr>
          <w:p w14:paraId="1B1F6FA0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Optical cable installation and systems</w:t>
            </w:r>
          </w:p>
        </w:tc>
        <w:tc>
          <w:tcPr>
            <w:tcW w:w="0" w:type="auto"/>
            <w:hideMark/>
          </w:tcPr>
          <w:p w14:paraId="200A0EEA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Deployment method should match technical environment and installation constraints</w:t>
            </w:r>
          </w:p>
        </w:tc>
        <w:tc>
          <w:tcPr>
            <w:tcW w:w="0" w:type="auto"/>
            <w:hideMark/>
          </w:tcPr>
          <w:p w14:paraId="3CEAECEB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Provides technical baseline</w:t>
            </w:r>
          </w:p>
        </w:tc>
      </w:tr>
      <w:tr w:rsidR="005014EB" w:rsidRPr="00364BE8" w14:paraId="457BA384" w14:textId="77777777" w:rsidTr="00375D56">
        <w:tc>
          <w:tcPr>
            <w:tcW w:w="0" w:type="auto"/>
            <w:hideMark/>
          </w:tcPr>
          <w:p w14:paraId="73B56555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[7]</w:t>
            </w:r>
          </w:p>
        </w:tc>
        <w:tc>
          <w:tcPr>
            <w:tcW w:w="0" w:type="auto"/>
            <w:hideMark/>
          </w:tcPr>
          <w:p w14:paraId="10FD71E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ITU-T L.35, 1998</w:t>
            </w:r>
          </w:p>
        </w:tc>
        <w:tc>
          <w:tcPr>
            <w:tcW w:w="0" w:type="auto"/>
            <w:hideMark/>
          </w:tcPr>
          <w:p w14:paraId="660786DA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International</w:t>
            </w:r>
          </w:p>
        </w:tc>
        <w:tc>
          <w:tcPr>
            <w:tcW w:w="0" w:type="auto"/>
            <w:hideMark/>
          </w:tcPr>
          <w:p w14:paraId="49CD5487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Recommendation</w:t>
            </w:r>
          </w:p>
        </w:tc>
        <w:tc>
          <w:tcPr>
            <w:tcW w:w="0" w:type="auto"/>
            <w:hideMark/>
          </w:tcPr>
          <w:p w14:paraId="65309821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Access-network cable installation</w:t>
            </w:r>
          </w:p>
        </w:tc>
        <w:tc>
          <w:tcPr>
            <w:tcW w:w="0" w:type="auto"/>
            <w:hideMark/>
          </w:tcPr>
          <w:p w14:paraId="14492912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Installation in access networks</w:t>
            </w:r>
          </w:p>
        </w:tc>
        <w:tc>
          <w:tcPr>
            <w:tcW w:w="0" w:type="auto"/>
            <w:hideMark/>
          </w:tcPr>
          <w:p w14:paraId="55B94D69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Access deployment requires context-sensitive installation practices</w:t>
            </w:r>
          </w:p>
        </w:tc>
        <w:tc>
          <w:tcPr>
            <w:tcW w:w="0" w:type="auto"/>
            <w:hideMark/>
          </w:tcPr>
          <w:p w14:paraId="40DBA5FD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Relevant to local access network planning</w:t>
            </w:r>
          </w:p>
        </w:tc>
      </w:tr>
      <w:tr w:rsidR="005014EB" w:rsidRPr="00364BE8" w14:paraId="6B9DE114" w14:textId="77777777" w:rsidTr="00375D56">
        <w:tc>
          <w:tcPr>
            <w:tcW w:w="0" w:type="auto"/>
            <w:hideMark/>
          </w:tcPr>
          <w:p w14:paraId="333CD92B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[8]</w:t>
            </w:r>
          </w:p>
        </w:tc>
        <w:tc>
          <w:tcPr>
            <w:tcW w:w="0" w:type="auto"/>
            <w:hideMark/>
          </w:tcPr>
          <w:p w14:paraId="406414C6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ITU-T L.101, 2024</w:t>
            </w:r>
          </w:p>
        </w:tc>
        <w:tc>
          <w:tcPr>
            <w:tcW w:w="0" w:type="auto"/>
            <w:hideMark/>
          </w:tcPr>
          <w:p w14:paraId="5A7DB4B6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International</w:t>
            </w:r>
          </w:p>
        </w:tc>
        <w:tc>
          <w:tcPr>
            <w:tcW w:w="0" w:type="auto"/>
            <w:hideMark/>
          </w:tcPr>
          <w:p w14:paraId="238AA095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Recommendation</w:t>
            </w:r>
          </w:p>
        </w:tc>
        <w:tc>
          <w:tcPr>
            <w:tcW w:w="0" w:type="auto"/>
            <w:hideMark/>
          </w:tcPr>
          <w:p w14:paraId="183F2E47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Directly buried / underground</w:t>
            </w:r>
          </w:p>
        </w:tc>
        <w:tc>
          <w:tcPr>
            <w:tcW w:w="0" w:type="auto"/>
            <w:hideMark/>
          </w:tcPr>
          <w:p w14:paraId="4ADF0B7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Buried optical cable applications</w:t>
            </w:r>
          </w:p>
        </w:tc>
        <w:tc>
          <w:tcPr>
            <w:tcW w:w="0" w:type="auto"/>
            <w:hideMark/>
          </w:tcPr>
          <w:p w14:paraId="69C7E4D7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Direct burial is standardized for protected underground deployment</w:t>
            </w:r>
          </w:p>
        </w:tc>
        <w:tc>
          <w:tcPr>
            <w:tcW w:w="0" w:type="auto"/>
            <w:hideMark/>
          </w:tcPr>
          <w:p w14:paraId="34A2FBAD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Supports underground option evaluation</w:t>
            </w:r>
          </w:p>
        </w:tc>
      </w:tr>
      <w:tr w:rsidR="005014EB" w:rsidRPr="00364BE8" w14:paraId="4CA2D1CC" w14:textId="77777777" w:rsidTr="00375D56">
        <w:tc>
          <w:tcPr>
            <w:tcW w:w="0" w:type="auto"/>
            <w:hideMark/>
          </w:tcPr>
          <w:p w14:paraId="22D0B62D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[9]</w:t>
            </w:r>
          </w:p>
        </w:tc>
        <w:tc>
          <w:tcPr>
            <w:tcW w:w="0" w:type="auto"/>
            <w:hideMark/>
          </w:tcPr>
          <w:p w14:paraId="3BE9A434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ITU technical report, 2017/2024 guidance</w:t>
            </w:r>
          </w:p>
        </w:tc>
        <w:tc>
          <w:tcPr>
            <w:tcW w:w="0" w:type="auto"/>
            <w:hideMark/>
          </w:tcPr>
          <w:p w14:paraId="0D4D4027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International</w:t>
            </w:r>
          </w:p>
        </w:tc>
        <w:tc>
          <w:tcPr>
            <w:tcW w:w="0" w:type="auto"/>
            <w:hideMark/>
          </w:tcPr>
          <w:p w14:paraId="67A2C2CD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Technical report</w:t>
            </w:r>
          </w:p>
        </w:tc>
        <w:tc>
          <w:tcPr>
            <w:tcW w:w="0" w:type="auto"/>
            <w:hideMark/>
          </w:tcPr>
          <w:p w14:paraId="6A1819DF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Underground / mini-trench</w:t>
            </w:r>
          </w:p>
        </w:tc>
        <w:tc>
          <w:tcPr>
            <w:tcW w:w="0" w:type="auto"/>
            <w:hideMark/>
          </w:tcPr>
          <w:p w14:paraId="39A57354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Mini-trench installation</w:t>
            </w:r>
          </w:p>
        </w:tc>
        <w:tc>
          <w:tcPr>
            <w:tcW w:w="0" w:type="auto"/>
            <w:hideMark/>
          </w:tcPr>
          <w:p w14:paraId="1B4625E6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Narrow trenching can reduce waste, disruption, and urban civil-work burden</w:t>
            </w:r>
          </w:p>
        </w:tc>
        <w:tc>
          <w:tcPr>
            <w:tcW w:w="0" w:type="auto"/>
            <w:hideMark/>
          </w:tcPr>
          <w:p w14:paraId="6D28ADDC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Highly relevant to dense Saudi urban corridors</w:t>
            </w:r>
          </w:p>
        </w:tc>
      </w:tr>
      <w:tr w:rsidR="005014EB" w:rsidRPr="00364BE8" w14:paraId="7CE68172" w14:textId="77777777" w:rsidTr="00375D56">
        <w:tc>
          <w:tcPr>
            <w:tcW w:w="0" w:type="auto"/>
            <w:hideMark/>
          </w:tcPr>
          <w:p w14:paraId="1D576923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lastRenderedPageBreak/>
              <w:t>[10]</w:t>
            </w:r>
          </w:p>
        </w:tc>
        <w:tc>
          <w:tcPr>
            <w:tcW w:w="0" w:type="auto"/>
            <w:hideMark/>
          </w:tcPr>
          <w:p w14:paraId="3D691804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OECD, 2014</w:t>
            </w:r>
          </w:p>
        </w:tc>
        <w:tc>
          <w:tcPr>
            <w:tcW w:w="0" w:type="auto"/>
            <w:hideMark/>
          </w:tcPr>
          <w:p w14:paraId="03CB230E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International</w:t>
            </w:r>
          </w:p>
        </w:tc>
        <w:tc>
          <w:tcPr>
            <w:tcW w:w="0" w:type="auto"/>
            <w:hideMark/>
          </w:tcPr>
          <w:p w14:paraId="230C7C25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Policy/economic report</w:t>
            </w:r>
          </w:p>
        </w:tc>
        <w:tc>
          <w:tcPr>
            <w:tcW w:w="0" w:type="auto"/>
            <w:hideMark/>
          </w:tcPr>
          <w:p w14:paraId="310369CA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Fixed broadband / mixed</w:t>
            </w:r>
          </w:p>
        </w:tc>
        <w:tc>
          <w:tcPr>
            <w:tcW w:w="0" w:type="auto"/>
            <w:hideMark/>
          </w:tcPr>
          <w:p w14:paraId="6AFE35C2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Broadband network development</w:t>
            </w:r>
          </w:p>
        </w:tc>
        <w:tc>
          <w:tcPr>
            <w:tcW w:w="0" w:type="auto"/>
            <w:hideMark/>
          </w:tcPr>
          <w:p w14:paraId="35614957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Civil works and passive infrastructure are major cost drivers</w:t>
            </w:r>
          </w:p>
        </w:tc>
        <w:tc>
          <w:tcPr>
            <w:tcW w:w="0" w:type="auto"/>
            <w:hideMark/>
          </w:tcPr>
          <w:p w14:paraId="70475DCD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Supports cost comparison logic</w:t>
            </w:r>
          </w:p>
        </w:tc>
      </w:tr>
      <w:tr w:rsidR="005014EB" w:rsidRPr="00364BE8" w14:paraId="59729813" w14:textId="77777777" w:rsidTr="00375D56">
        <w:tc>
          <w:tcPr>
            <w:tcW w:w="0" w:type="auto"/>
            <w:hideMark/>
          </w:tcPr>
          <w:p w14:paraId="3200FBE9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[11]</w:t>
            </w:r>
          </w:p>
        </w:tc>
        <w:tc>
          <w:tcPr>
            <w:tcW w:w="0" w:type="auto"/>
            <w:hideMark/>
          </w:tcPr>
          <w:p w14:paraId="6ACCD91B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OECD, 2011</w:t>
            </w:r>
          </w:p>
        </w:tc>
        <w:tc>
          <w:tcPr>
            <w:tcW w:w="0" w:type="auto"/>
            <w:hideMark/>
          </w:tcPr>
          <w:p w14:paraId="4FB1DB3E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International</w:t>
            </w:r>
          </w:p>
        </w:tc>
        <w:tc>
          <w:tcPr>
            <w:tcW w:w="0" w:type="auto"/>
            <w:hideMark/>
          </w:tcPr>
          <w:p w14:paraId="7534ABDE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Regulatory report</w:t>
            </w:r>
          </w:p>
        </w:tc>
        <w:tc>
          <w:tcPr>
            <w:tcW w:w="0" w:type="auto"/>
            <w:hideMark/>
          </w:tcPr>
          <w:p w14:paraId="00B25565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Fiber access / mixed</w:t>
            </w:r>
          </w:p>
        </w:tc>
        <w:tc>
          <w:tcPr>
            <w:tcW w:w="0" w:type="auto"/>
            <w:hideMark/>
          </w:tcPr>
          <w:p w14:paraId="5482ACFA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Network deployment and regulation</w:t>
            </w:r>
          </w:p>
        </w:tc>
        <w:tc>
          <w:tcPr>
            <w:tcW w:w="0" w:type="auto"/>
            <w:hideMark/>
          </w:tcPr>
          <w:p w14:paraId="3432CFE2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Lowering deployment barriers improves NGA/FTTH rollout</w:t>
            </w:r>
          </w:p>
        </w:tc>
        <w:tc>
          <w:tcPr>
            <w:tcW w:w="0" w:type="auto"/>
            <w:hideMark/>
          </w:tcPr>
          <w:p w14:paraId="1C5DE6F9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Relevant to rights-of-way and investment policy</w:t>
            </w:r>
          </w:p>
        </w:tc>
      </w:tr>
      <w:tr w:rsidR="005014EB" w:rsidRPr="00364BE8" w14:paraId="4DA1FD5C" w14:textId="77777777" w:rsidTr="00375D56">
        <w:tc>
          <w:tcPr>
            <w:tcW w:w="0" w:type="auto"/>
            <w:hideMark/>
          </w:tcPr>
          <w:p w14:paraId="1C4104E5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[12]</w:t>
            </w:r>
          </w:p>
        </w:tc>
        <w:tc>
          <w:tcPr>
            <w:tcW w:w="0" w:type="auto"/>
            <w:hideMark/>
          </w:tcPr>
          <w:p w14:paraId="05657F90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OECD, 2008</w:t>
            </w:r>
          </w:p>
        </w:tc>
        <w:tc>
          <w:tcPr>
            <w:tcW w:w="0" w:type="auto"/>
            <w:hideMark/>
          </w:tcPr>
          <w:p w14:paraId="21DB7DE6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International</w:t>
            </w:r>
          </w:p>
        </w:tc>
        <w:tc>
          <w:tcPr>
            <w:tcW w:w="0" w:type="auto"/>
            <w:hideMark/>
          </w:tcPr>
          <w:p w14:paraId="7C799813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Policy report</w:t>
            </w:r>
          </w:p>
        </w:tc>
        <w:tc>
          <w:tcPr>
            <w:tcW w:w="0" w:type="auto"/>
            <w:hideMark/>
          </w:tcPr>
          <w:p w14:paraId="5FCC019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Primarily underground / duct access</w:t>
            </w:r>
          </w:p>
        </w:tc>
        <w:tc>
          <w:tcPr>
            <w:tcW w:w="0" w:type="auto"/>
            <w:hideMark/>
          </w:tcPr>
          <w:p w14:paraId="30660541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Public rights-of-way</w:t>
            </w:r>
          </w:p>
        </w:tc>
        <w:tc>
          <w:tcPr>
            <w:tcW w:w="0" w:type="auto"/>
            <w:hideMark/>
          </w:tcPr>
          <w:p w14:paraId="54E44AB4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Municipal permits and duct access strongly affect fiber rollout speed and cost</w:t>
            </w:r>
          </w:p>
        </w:tc>
        <w:tc>
          <w:tcPr>
            <w:tcW w:w="0" w:type="auto"/>
            <w:hideMark/>
          </w:tcPr>
          <w:p w14:paraId="5512CF27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Relevant to Saudi urban permitting and corridor planning</w:t>
            </w:r>
          </w:p>
        </w:tc>
      </w:tr>
      <w:tr w:rsidR="005014EB" w:rsidRPr="00364BE8" w14:paraId="46C4ED29" w14:textId="77777777" w:rsidTr="00375D56">
        <w:tc>
          <w:tcPr>
            <w:tcW w:w="0" w:type="auto"/>
            <w:hideMark/>
          </w:tcPr>
          <w:p w14:paraId="5A81855E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[13]</w:t>
            </w:r>
          </w:p>
        </w:tc>
        <w:tc>
          <w:tcPr>
            <w:tcW w:w="0" w:type="auto"/>
            <w:hideMark/>
          </w:tcPr>
          <w:p w14:paraId="35E643E9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Rak et al., 2021</w:t>
            </w:r>
          </w:p>
        </w:tc>
        <w:tc>
          <w:tcPr>
            <w:tcW w:w="0" w:type="auto"/>
            <w:hideMark/>
          </w:tcPr>
          <w:p w14:paraId="5DC81689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International</w:t>
            </w:r>
          </w:p>
        </w:tc>
        <w:tc>
          <w:tcPr>
            <w:tcW w:w="0" w:type="auto"/>
            <w:hideMark/>
          </w:tcPr>
          <w:p w14:paraId="60157E41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Peer-reviewed journal article</w:t>
            </w:r>
          </w:p>
        </w:tc>
        <w:tc>
          <w:tcPr>
            <w:tcW w:w="0" w:type="auto"/>
            <w:hideMark/>
          </w:tcPr>
          <w:p w14:paraId="33996073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Network-level, deployment-agnostic but infrastructure relevant</w:t>
            </w:r>
          </w:p>
        </w:tc>
        <w:tc>
          <w:tcPr>
            <w:tcW w:w="0" w:type="auto"/>
            <w:hideMark/>
          </w:tcPr>
          <w:p w14:paraId="1E15F7A4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Disaster resilience of optical networks</w:t>
            </w:r>
          </w:p>
        </w:tc>
        <w:tc>
          <w:tcPr>
            <w:tcW w:w="0" w:type="auto"/>
            <w:hideMark/>
          </w:tcPr>
          <w:p w14:paraId="4BCA1C94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Resilience planning must consider physical vulnerabilities and service continuity</w:t>
            </w:r>
          </w:p>
        </w:tc>
        <w:tc>
          <w:tcPr>
            <w:tcW w:w="0" w:type="auto"/>
            <w:hideMark/>
          </w:tcPr>
          <w:p w14:paraId="23B736FA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Supports reliability and resilience analysis</w:t>
            </w:r>
          </w:p>
        </w:tc>
      </w:tr>
      <w:tr w:rsidR="005014EB" w:rsidRPr="00364BE8" w14:paraId="20FFE6D7" w14:textId="77777777" w:rsidTr="00375D56">
        <w:tc>
          <w:tcPr>
            <w:tcW w:w="0" w:type="auto"/>
            <w:hideMark/>
          </w:tcPr>
          <w:p w14:paraId="0BCB1DA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[14]</w:t>
            </w:r>
          </w:p>
        </w:tc>
        <w:tc>
          <w:tcPr>
            <w:tcW w:w="0" w:type="auto"/>
            <w:hideMark/>
          </w:tcPr>
          <w:p w14:paraId="0A3D6EC1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Adedayo et al., 2020</w:t>
            </w:r>
          </w:p>
        </w:tc>
        <w:tc>
          <w:tcPr>
            <w:tcW w:w="0" w:type="auto"/>
            <w:hideMark/>
          </w:tcPr>
          <w:p w14:paraId="71CEA8D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International</w:t>
            </w:r>
          </w:p>
        </w:tc>
        <w:tc>
          <w:tcPr>
            <w:tcW w:w="0" w:type="auto"/>
            <w:hideMark/>
          </w:tcPr>
          <w:p w14:paraId="2030524B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Peer-reviewed journal article</w:t>
            </w:r>
          </w:p>
        </w:tc>
        <w:tc>
          <w:tcPr>
            <w:tcW w:w="0" w:type="auto"/>
            <w:hideMark/>
          </w:tcPr>
          <w:p w14:paraId="78D1C96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Mixed deployment</w:t>
            </w:r>
          </w:p>
        </w:tc>
        <w:tc>
          <w:tcPr>
            <w:tcW w:w="0" w:type="auto"/>
            <w:hideMark/>
          </w:tcPr>
          <w:p w14:paraId="2328838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Fiber deployment challenges</w:t>
            </w:r>
          </w:p>
        </w:tc>
        <w:tc>
          <w:tcPr>
            <w:tcW w:w="0" w:type="auto"/>
            <w:hideMark/>
          </w:tcPr>
          <w:p w14:paraId="644ACFD8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Sustainable broadband expansion depends on managing cost, maintenance, and infrastructure barriers</w:t>
            </w:r>
          </w:p>
        </w:tc>
        <w:tc>
          <w:tcPr>
            <w:tcW w:w="0" w:type="auto"/>
            <w:hideMark/>
          </w:tcPr>
          <w:p w14:paraId="251490B3" w14:textId="77777777" w:rsidR="005014EB" w:rsidRPr="00364BE8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364BE8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Supports synthesis of implementation constraints</w:t>
            </w:r>
          </w:p>
        </w:tc>
      </w:tr>
    </w:tbl>
    <w:p w14:paraId="14478858" w14:textId="77777777" w:rsidR="005014EB" w:rsidRPr="00364BE8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  <w:sz w:val="16"/>
          <w:szCs w:val="16"/>
        </w:rPr>
      </w:pPr>
    </w:p>
    <w:p w14:paraId="17466154" w14:textId="77777777" w:rsidR="005014EB" w:rsidRPr="00364BE8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  <w:sz w:val="16"/>
          <w:szCs w:val="16"/>
        </w:rPr>
      </w:pPr>
    </w:p>
    <w:p w14:paraId="02108054" w14:textId="77777777" w:rsidR="005014EB" w:rsidRPr="00364BE8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  <w:sz w:val="16"/>
          <w:szCs w:val="16"/>
        </w:rPr>
      </w:pPr>
    </w:p>
    <w:p w14:paraId="4E17BB74" w14:textId="77777777" w:rsidR="005014EB" w:rsidRPr="00364BE8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  <w:sz w:val="16"/>
          <w:szCs w:val="16"/>
        </w:rPr>
      </w:pPr>
    </w:p>
    <w:p w14:paraId="7F7F4009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4FC88384" w14:textId="77777777" w:rsidR="005014EB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5A6A4EAB" w14:textId="77777777" w:rsidR="005014EB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3B58EFA8" w14:textId="77777777" w:rsidR="005014EB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5DEECB55" w14:textId="77777777" w:rsidR="005014EB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2CFB6AC6" w14:textId="77777777" w:rsidR="005014EB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443C012D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4D05ED9E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7779B12B" w14:textId="77777777" w:rsidR="005014EB" w:rsidRPr="00A63F91" w:rsidRDefault="005014EB" w:rsidP="005014EB">
      <w:pPr>
        <w:spacing w:before="100" w:beforeAutospacing="1" w:after="100" w:afterAutospacing="1" w:line="240" w:lineRule="auto"/>
        <w:outlineLvl w:val="1"/>
        <w:rPr>
          <w:rFonts w:asciiTheme="majorBidi" w:eastAsia="Times New Roman" w:hAnsiTheme="majorBidi" w:cstheme="majorBidi"/>
          <w:b/>
          <w:bCs/>
          <w:kern w:val="0"/>
          <w:sz w:val="36"/>
          <w:szCs w:val="36"/>
          <w14:ligatures w14:val="none"/>
        </w:rPr>
      </w:pPr>
      <w:r w:rsidRPr="00A63F91">
        <w:rPr>
          <w:rFonts w:asciiTheme="majorBidi" w:eastAsia="Times New Roman" w:hAnsiTheme="majorBidi" w:cstheme="majorBidi"/>
          <w:b/>
          <w:bCs/>
          <w:kern w:val="0"/>
          <w:sz w:val="36"/>
          <w:szCs w:val="36"/>
          <w14:ligatures w14:val="none"/>
        </w:rPr>
        <w:lastRenderedPageBreak/>
        <w:t>Table 4. Comparative synthesis of underground versus overhead fiber-optic deployment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3"/>
        <w:gridCol w:w="2352"/>
        <w:gridCol w:w="2443"/>
        <w:gridCol w:w="2682"/>
      </w:tblGrid>
      <w:tr w:rsidR="005014EB" w:rsidRPr="00A63F91" w14:paraId="1B5F2A56" w14:textId="77777777" w:rsidTr="00375D56">
        <w:tc>
          <w:tcPr>
            <w:tcW w:w="0" w:type="auto"/>
            <w:shd w:val="clear" w:color="auto" w:fill="F7CAAC" w:themeFill="accent2" w:themeFillTint="66"/>
            <w:hideMark/>
          </w:tcPr>
          <w:p w14:paraId="128EB89C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Evaluation criterion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084CE110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Underground deployment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0862D29F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Overhead deployment</w:t>
            </w:r>
          </w:p>
        </w:tc>
        <w:tc>
          <w:tcPr>
            <w:tcW w:w="0" w:type="auto"/>
            <w:shd w:val="clear" w:color="auto" w:fill="F7CAAC" w:themeFill="accent2" w:themeFillTint="66"/>
            <w:hideMark/>
          </w:tcPr>
          <w:p w14:paraId="5236CCE4" w14:textId="77777777" w:rsidR="005014EB" w:rsidRPr="00A63F91" w:rsidRDefault="005014EB" w:rsidP="00375D56">
            <w:pPr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Implications for Saudi Arabia</w:t>
            </w:r>
          </w:p>
        </w:tc>
      </w:tr>
      <w:tr w:rsidR="005014EB" w:rsidRPr="00A63F91" w14:paraId="2B2C7E3F" w14:textId="77777777" w:rsidTr="00375D56">
        <w:tc>
          <w:tcPr>
            <w:tcW w:w="0" w:type="auto"/>
            <w:hideMark/>
          </w:tcPr>
          <w:p w14:paraId="2CE7E11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Initial capital cost</w:t>
            </w:r>
          </w:p>
        </w:tc>
        <w:tc>
          <w:tcPr>
            <w:tcW w:w="0" w:type="auto"/>
            <w:hideMark/>
          </w:tcPr>
          <w:p w14:paraId="56B3CE08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Higher due to trenching, ducting, permitting, reinstatement, and civil works</w:t>
            </w:r>
          </w:p>
        </w:tc>
        <w:tc>
          <w:tcPr>
            <w:tcW w:w="0" w:type="auto"/>
            <w:hideMark/>
          </w:tcPr>
          <w:p w14:paraId="4AF3E11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Lower where poles or utility corridors already exist</w:t>
            </w:r>
          </w:p>
        </w:tc>
        <w:tc>
          <w:tcPr>
            <w:tcW w:w="0" w:type="auto"/>
            <w:hideMark/>
          </w:tcPr>
          <w:p w14:paraId="090F4DE8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Overhead may be attractive for rapid low-cost expansion; underground may suit premium long-term corridors</w:t>
            </w:r>
          </w:p>
        </w:tc>
      </w:tr>
      <w:tr w:rsidR="005014EB" w:rsidRPr="00A63F91" w14:paraId="4611DBC4" w14:textId="77777777" w:rsidTr="00375D56">
        <w:tc>
          <w:tcPr>
            <w:tcW w:w="0" w:type="auto"/>
            <w:hideMark/>
          </w:tcPr>
          <w:p w14:paraId="64F3FCDE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Installation speed</w:t>
            </w:r>
          </w:p>
        </w:tc>
        <w:tc>
          <w:tcPr>
            <w:tcW w:w="0" w:type="auto"/>
            <w:hideMark/>
          </w:tcPr>
          <w:p w14:paraId="7F38C38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Slower because of excavation, approvals, and restoration requirements</w:t>
            </w:r>
          </w:p>
        </w:tc>
        <w:tc>
          <w:tcPr>
            <w:tcW w:w="0" w:type="auto"/>
            <w:hideMark/>
          </w:tcPr>
          <w:p w14:paraId="3FB163E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Faster when existing pole infrastructure is available</w:t>
            </w:r>
          </w:p>
        </w:tc>
        <w:tc>
          <w:tcPr>
            <w:tcW w:w="0" w:type="auto"/>
            <w:hideMark/>
          </w:tcPr>
          <w:p w14:paraId="1351D981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For time-sensitive rollout, overhead or hybrid deployment may be advantageous</w:t>
            </w:r>
          </w:p>
        </w:tc>
      </w:tr>
      <w:tr w:rsidR="005014EB" w:rsidRPr="00A63F91" w14:paraId="72304582" w14:textId="77777777" w:rsidTr="00375D56">
        <w:tc>
          <w:tcPr>
            <w:tcW w:w="0" w:type="auto"/>
            <w:hideMark/>
          </w:tcPr>
          <w:p w14:paraId="3628C6FE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Exposure to external hazards</w:t>
            </w:r>
          </w:p>
        </w:tc>
        <w:tc>
          <w:tcPr>
            <w:tcW w:w="0" w:type="auto"/>
            <w:hideMark/>
          </w:tcPr>
          <w:p w14:paraId="5566E17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Better protected from traffic strikes, vandalism, and some weather-related risks</w:t>
            </w:r>
          </w:p>
        </w:tc>
        <w:tc>
          <w:tcPr>
            <w:tcW w:w="0" w:type="auto"/>
            <w:hideMark/>
          </w:tcPr>
          <w:p w14:paraId="66E4F20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More exposed to wind, accidental impact, and external damage</w:t>
            </w:r>
          </w:p>
        </w:tc>
        <w:tc>
          <w:tcPr>
            <w:tcW w:w="0" w:type="auto"/>
            <w:hideMark/>
          </w:tcPr>
          <w:p w14:paraId="782658F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 harsh exposure zones, underground may offer stronger continuity</w:t>
            </w:r>
          </w:p>
        </w:tc>
      </w:tr>
      <w:tr w:rsidR="005014EB" w:rsidRPr="00A63F91" w14:paraId="7E6F8309" w14:textId="77777777" w:rsidTr="00375D56">
        <w:tc>
          <w:tcPr>
            <w:tcW w:w="0" w:type="auto"/>
            <w:hideMark/>
          </w:tcPr>
          <w:p w14:paraId="40E7929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Maintenance access</w:t>
            </w:r>
          </w:p>
        </w:tc>
        <w:tc>
          <w:tcPr>
            <w:tcW w:w="0" w:type="auto"/>
            <w:hideMark/>
          </w:tcPr>
          <w:p w14:paraId="0EEEDF1B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Fault location and repair may be slower and require excavation</w:t>
            </w:r>
          </w:p>
        </w:tc>
        <w:tc>
          <w:tcPr>
            <w:tcW w:w="0" w:type="auto"/>
            <w:hideMark/>
          </w:tcPr>
          <w:p w14:paraId="7CF1D02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Easier visual inspection and faster physical access for repairs</w:t>
            </w:r>
          </w:p>
        </w:tc>
        <w:tc>
          <w:tcPr>
            <w:tcW w:w="0" w:type="auto"/>
            <w:hideMark/>
          </w:tcPr>
          <w:p w14:paraId="63CB044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Overhead may reduce repair time in dispersed or lower-density areas</w:t>
            </w:r>
          </w:p>
        </w:tc>
      </w:tr>
      <w:tr w:rsidR="005014EB" w:rsidRPr="00A63F91" w14:paraId="178C7E8F" w14:textId="77777777" w:rsidTr="00375D56">
        <w:tc>
          <w:tcPr>
            <w:tcW w:w="0" w:type="auto"/>
            <w:hideMark/>
          </w:tcPr>
          <w:p w14:paraId="1702E46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Lifecycle reliability</w:t>
            </w:r>
          </w:p>
        </w:tc>
        <w:tc>
          <w:tcPr>
            <w:tcW w:w="0" w:type="auto"/>
            <w:hideMark/>
          </w:tcPr>
          <w:p w14:paraId="6501589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Often stronger physical protection and stable urban integration</w:t>
            </w:r>
          </w:p>
        </w:tc>
        <w:tc>
          <w:tcPr>
            <w:tcW w:w="0" w:type="auto"/>
            <w:hideMark/>
          </w:tcPr>
          <w:p w14:paraId="7FB0D838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Can be reliable, but vulnerability depends heavily on local environment and pole condition</w:t>
            </w:r>
          </w:p>
        </w:tc>
        <w:tc>
          <w:tcPr>
            <w:tcW w:w="0" w:type="auto"/>
            <w:hideMark/>
          </w:tcPr>
          <w:p w14:paraId="3E63D91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Critical infrastructure corridors may justify underground investment</w:t>
            </w:r>
          </w:p>
        </w:tc>
      </w:tr>
      <w:tr w:rsidR="005014EB" w:rsidRPr="00A63F91" w14:paraId="362D0DB8" w14:textId="77777777" w:rsidTr="00375D56">
        <w:tc>
          <w:tcPr>
            <w:tcW w:w="0" w:type="auto"/>
            <w:hideMark/>
          </w:tcPr>
          <w:p w14:paraId="03DFEBB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Urban aesthetics</w:t>
            </w:r>
          </w:p>
        </w:tc>
        <w:tc>
          <w:tcPr>
            <w:tcW w:w="0" w:type="auto"/>
            <w:hideMark/>
          </w:tcPr>
          <w:p w14:paraId="4061EAE6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Preferred in high-visibility urban areas and smart-city developments</w:t>
            </w:r>
          </w:p>
        </w:tc>
        <w:tc>
          <w:tcPr>
            <w:tcW w:w="0" w:type="auto"/>
            <w:hideMark/>
          </w:tcPr>
          <w:p w14:paraId="077D4E3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Less visually attractive; may conflict with premium urban design goals</w:t>
            </w:r>
          </w:p>
        </w:tc>
        <w:tc>
          <w:tcPr>
            <w:tcW w:w="0" w:type="auto"/>
            <w:hideMark/>
          </w:tcPr>
          <w:p w14:paraId="6D2EC44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Underground aligns better with smart-city and flagship urban developments</w:t>
            </w:r>
          </w:p>
        </w:tc>
      </w:tr>
      <w:tr w:rsidR="005014EB" w:rsidRPr="00A63F91" w14:paraId="24CA47A7" w14:textId="77777777" w:rsidTr="00375D56">
        <w:tc>
          <w:tcPr>
            <w:tcW w:w="0" w:type="auto"/>
            <w:hideMark/>
          </w:tcPr>
          <w:p w14:paraId="7974269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Right-of-way complexity</w:t>
            </w:r>
          </w:p>
        </w:tc>
        <w:tc>
          <w:tcPr>
            <w:tcW w:w="0" w:type="auto"/>
            <w:hideMark/>
          </w:tcPr>
          <w:p w14:paraId="77F8FAB1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Requires coordination with roads, utilities, municipalities, and underground congestion</w:t>
            </w:r>
          </w:p>
        </w:tc>
        <w:tc>
          <w:tcPr>
            <w:tcW w:w="0" w:type="auto"/>
            <w:hideMark/>
          </w:tcPr>
          <w:p w14:paraId="25B64D1E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Often simpler if pole permissions and utility-sharing arrangements exist</w:t>
            </w:r>
          </w:p>
        </w:tc>
        <w:tc>
          <w:tcPr>
            <w:tcW w:w="0" w:type="auto"/>
            <w:hideMark/>
          </w:tcPr>
          <w:p w14:paraId="5DB9324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Saudi permitting frameworks and utility coordination will strongly shape choice</w:t>
            </w:r>
          </w:p>
        </w:tc>
      </w:tr>
      <w:tr w:rsidR="005014EB" w:rsidRPr="00A63F91" w14:paraId="0A7B52D6" w14:textId="77777777" w:rsidTr="00375D56">
        <w:tc>
          <w:tcPr>
            <w:tcW w:w="0" w:type="auto"/>
            <w:hideMark/>
          </w:tcPr>
          <w:p w14:paraId="7F2B8930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Scalability and upgrade path</w:t>
            </w:r>
          </w:p>
        </w:tc>
        <w:tc>
          <w:tcPr>
            <w:tcW w:w="0" w:type="auto"/>
            <w:hideMark/>
          </w:tcPr>
          <w:p w14:paraId="443AE721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Duct-based systems can support organized future expansion if properly designed</w:t>
            </w:r>
          </w:p>
        </w:tc>
        <w:tc>
          <w:tcPr>
            <w:tcW w:w="0" w:type="auto"/>
            <w:hideMark/>
          </w:tcPr>
          <w:p w14:paraId="22C1BE06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Expansion can be straightforward but may become cluttered or constrained over time</w:t>
            </w:r>
          </w:p>
        </w:tc>
        <w:tc>
          <w:tcPr>
            <w:tcW w:w="0" w:type="auto"/>
            <w:hideMark/>
          </w:tcPr>
          <w:p w14:paraId="7DA3A84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Dense long-term growth areas benefit from planned underground duct capacity</w:t>
            </w:r>
          </w:p>
        </w:tc>
      </w:tr>
      <w:tr w:rsidR="005014EB" w:rsidRPr="00A63F91" w14:paraId="05C148F0" w14:textId="77777777" w:rsidTr="00375D56">
        <w:tc>
          <w:tcPr>
            <w:tcW w:w="0" w:type="auto"/>
            <w:hideMark/>
          </w:tcPr>
          <w:p w14:paraId="38258148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Environmental and land-use disruption during installation</w:t>
            </w:r>
          </w:p>
        </w:tc>
        <w:tc>
          <w:tcPr>
            <w:tcW w:w="0" w:type="auto"/>
            <w:hideMark/>
          </w:tcPr>
          <w:p w14:paraId="11DD811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Higher short-term disruption due to digging and restoration</w:t>
            </w:r>
          </w:p>
        </w:tc>
        <w:tc>
          <w:tcPr>
            <w:tcW w:w="0" w:type="auto"/>
            <w:hideMark/>
          </w:tcPr>
          <w:p w14:paraId="79AD682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Lower ground disturbance during initial deployment</w:t>
            </w:r>
          </w:p>
        </w:tc>
        <w:tc>
          <w:tcPr>
            <w:tcW w:w="0" w:type="auto"/>
            <w:hideMark/>
          </w:tcPr>
          <w:p w14:paraId="0C8281F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In dense urban roads, mini-trenching may reduce underground disruption</w:t>
            </w:r>
          </w:p>
        </w:tc>
      </w:tr>
      <w:tr w:rsidR="005014EB" w:rsidRPr="00A63F91" w14:paraId="72007867" w14:textId="77777777" w:rsidTr="00375D56">
        <w:tc>
          <w:tcPr>
            <w:tcW w:w="0" w:type="auto"/>
            <w:hideMark/>
          </w:tcPr>
          <w:p w14:paraId="6317CEFD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Suitability for dense urban areas</w:t>
            </w:r>
          </w:p>
        </w:tc>
        <w:tc>
          <w:tcPr>
            <w:tcW w:w="0" w:type="auto"/>
            <w:hideMark/>
          </w:tcPr>
          <w:p w14:paraId="236CBBC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Highly suitable, especially where aesthetics and urban planning matter</w:t>
            </w:r>
          </w:p>
        </w:tc>
        <w:tc>
          <w:tcPr>
            <w:tcW w:w="0" w:type="auto"/>
            <w:hideMark/>
          </w:tcPr>
          <w:p w14:paraId="1D6C31B6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Usually less suitable in premium dense urban centers</w:t>
            </w:r>
          </w:p>
        </w:tc>
        <w:tc>
          <w:tcPr>
            <w:tcW w:w="0" w:type="auto"/>
            <w:hideMark/>
          </w:tcPr>
          <w:p w14:paraId="5ABBCEF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Major Saudi cities and giga-project zones may favor underground solutions</w:t>
            </w:r>
          </w:p>
        </w:tc>
      </w:tr>
      <w:tr w:rsidR="005014EB" w:rsidRPr="00A63F91" w14:paraId="42DD4E97" w14:textId="77777777" w:rsidTr="00375D56">
        <w:tc>
          <w:tcPr>
            <w:tcW w:w="0" w:type="auto"/>
            <w:hideMark/>
          </w:tcPr>
          <w:p w14:paraId="171805F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Suitability for peripheral or low-density areas</w:t>
            </w:r>
          </w:p>
        </w:tc>
        <w:tc>
          <w:tcPr>
            <w:tcW w:w="0" w:type="auto"/>
            <w:hideMark/>
          </w:tcPr>
          <w:p w14:paraId="0FA9F35B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Feasible but may be costly relative to subscriber density</w:t>
            </w:r>
          </w:p>
        </w:tc>
        <w:tc>
          <w:tcPr>
            <w:tcW w:w="0" w:type="auto"/>
            <w:hideMark/>
          </w:tcPr>
          <w:p w14:paraId="05E9B1FE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Often more cost-effective in suburban, peri-urban, or semi-rural settings</w:t>
            </w:r>
          </w:p>
        </w:tc>
        <w:tc>
          <w:tcPr>
            <w:tcW w:w="0" w:type="auto"/>
            <w:hideMark/>
          </w:tcPr>
          <w:p w14:paraId="715E1F22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Overhead may help accelerate coverage where cost sensitivity is high</w:t>
            </w:r>
          </w:p>
        </w:tc>
      </w:tr>
      <w:tr w:rsidR="005014EB" w:rsidRPr="00A63F91" w14:paraId="3C307764" w14:textId="77777777" w:rsidTr="00375D56">
        <w:tc>
          <w:tcPr>
            <w:tcW w:w="0" w:type="auto"/>
            <w:hideMark/>
          </w:tcPr>
          <w:p w14:paraId="3F1CDEC8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Security and public safety</w:t>
            </w:r>
          </w:p>
        </w:tc>
        <w:tc>
          <w:tcPr>
            <w:tcW w:w="0" w:type="auto"/>
            <w:hideMark/>
          </w:tcPr>
          <w:p w14:paraId="519B7606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Reduced exposure and lower risk of accidental public contact</w:t>
            </w:r>
          </w:p>
        </w:tc>
        <w:tc>
          <w:tcPr>
            <w:tcW w:w="0" w:type="auto"/>
            <w:hideMark/>
          </w:tcPr>
          <w:p w14:paraId="540B9613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More exposed and visible; depends on pole safety and clearances</w:t>
            </w:r>
          </w:p>
        </w:tc>
        <w:tc>
          <w:tcPr>
            <w:tcW w:w="0" w:type="auto"/>
            <w:hideMark/>
          </w:tcPr>
          <w:p w14:paraId="5B894532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Underground may better support critical and high-security government districts</w:t>
            </w:r>
          </w:p>
        </w:tc>
      </w:tr>
      <w:tr w:rsidR="005014EB" w:rsidRPr="00A63F91" w14:paraId="0FAA14F8" w14:textId="77777777" w:rsidTr="00375D56">
        <w:tc>
          <w:tcPr>
            <w:tcW w:w="0" w:type="auto"/>
            <w:hideMark/>
          </w:tcPr>
          <w:p w14:paraId="2A610435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Alignment with Vision 2030</w:t>
            </w:r>
          </w:p>
        </w:tc>
        <w:tc>
          <w:tcPr>
            <w:tcW w:w="0" w:type="auto"/>
            <w:hideMark/>
          </w:tcPr>
          <w:p w14:paraId="66EB26AA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Strong fit for resilient, future-ready, visually integrated infrastructure</w:t>
            </w:r>
          </w:p>
        </w:tc>
        <w:tc>
          <w:tcPr>
            <w:tcW w:w="0" w:type="auto"/>
            <w:hideMark/>
          </w:tcPr>
          <w:p w14:paraId="6637378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Strong fit for rapid deployment and broader short-term expansion</w:t>
            </w:r>
          </w:p>
        </w:tc>
        <w:tc>
          <w:tcPr>
            <w:tcW w:w="0" w:type="auto"/>
            <w:hideMark/>
          </w:tcPr>
          <w:p w14:paraId="6F5AF65C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A hybrid strategy may best balance rollout speed with long-term infrastructure quality</w:t>
            </w:r>
          </w:p>
        </w:tc>
      </w:tr>
      <w:tr w:rsidR="005014EB" w:rsidRPr="00A63F91" w14:paraId="0386BF2B" w14:textId="77777777" w:rsidTr="00375D56">
        <w:tc>
          <w:tcPr>
            <w:tcW w:w="0" w:type="auto"/>
            <w:hideMark/>
          </w:tcPr>
          <w:p w14:paraId="0AF33727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Overall strategic value</w:t>
            </w:r>
          </w:p>
        </w:tc>
        <w:tc>
          <w:tcPr>
            <w:tcW w:w="0" w:type="auto"/>
            <w:hideMark/>
          </w:tcPr>
          <w:p w14:paraId="2F978A77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Best for strategic, dense, high-value, and long-life corridors</w:t>
            </w:r>
          </w:p>
        </w:tc>
        <w:tc>
          <w:tcPr>
            <w:tcW w:w="0" w:type="auto"/>
            <w:hideMark/>
          </w:tcPr>
          <w:p w14:paraId="63A7D304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>Best for fast, lower-cost, and flexible deployment in selected environments</w:t>
            </w:r>
          </w:p>
        </w:tc>
        <w:tc>
          <w:tcPr>
            <w:tcW w:w="0" w:type="auto"/>
            <w:hideMark/>
          </w:tcPr>
          <w:p w14:paraId="38572DD9" w14:textId="77777777" w:rsidR="005014EB" w:rsidRPr="00A63F91" w:rsidRDefault="005014EB" w:rsidP="00375D56">
            <w:pPr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</w:pP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 xml:space="preserve">Saudi Arabia may benefit most from </w:t>
            </w:r>
            <w:r w:rsidRPr="00A63F91">
              <w:rPr>
                <w:rFonts w:asciiTheme="majorBidi" w:eastAsia="Times New Roman" w:hAnsiTheme="majorBidi" w:cstheme="majorBidi"/>
                <w:b/>
                <w:bCs/>
                <w:kern w:val="0"/>
                <w:sz w:val="16"/>
                <w:szCs w:val="16"/>
                <w14:ligatures w14:val="none"/>
              </w:rPr>
              <w:t>hybrid deployment</w:t>
            </w:r>
            <w:r w:rsidRPr="00A63F91">
              <w:rPr>
                <w:rFonts w:asciiTheme="majorBidi" w:eastAsia="Times New Roman" w:hAnsiTheme="majorBidi" w:cstheme="majorBidi"/>
                <w:kern w:val="0"/>
                <w:sz w:val="16"/>
                <w:szCs w:val="16"/>
                <w14:ligatures w14:val="none"/>
              </w:rPr>
              <w:t xml:space="preserve"> based on location and network criticality</w:t>
            </w:r>
          </w:p>
        </w:tc>
      </w:tr>
    </w:tbl>
    <w:p w14:paraId="63608639" w14:textId="77777777" w:rsidR="005014EB" w:rsidRPr="0097399E" w:rsidRDefault="005014EB" w:rsidP="005014EB">
      <w:pPr>
        <w:pStyle w:val="w7sjnrxzl6krnffuzhqe"/>
        <w:shd w:val="clear" w:color="auto" w:fill="FFFFFF"/>
        <w:spacing w:before="0" w:beforeAutospacing="0" w:after="150" w:afterAutospacing="0" w:line="345" w:lineRule="atLeast"/>
        <w:textAlignment w:val="baseline"/>
        <w:rPr>
          <w:rFonts w:asciiTheme="majorBidi" w:hAnsiTheme="majorBidi" w:cstheme="majorBidi"/>
          <w:spacing w:val="8"/>
        </w:rPr>
      </w:pPr>
    </w:p>
    <w:p w14:paraId="3153D315" w14:textId="77777777" w:rsidR="005014EB" w:rsidRDefault="005014EB"/>
    <w:sectPr w:rsidR="005014E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4EB"/>
    <w:rsid w:val="005014EB"/>
    <w:rsid w:val="00CB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D4B124"/>
  <w15:chartTrackingRefBased/>
  <w15:docId w15:val="{F450BC22-001C-4C24-A398-5F4D103E5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4EB"/>
  </w:style>
  <w:style w:type="paragraph" w:styleId="Heading1">
    <w:name w:val="heading 1"/>
    <w:basedOn w:val="Normal"/>
    <w:next w:val="Normal"/>
    <w:link w:val="Heading1Char"/>
    <w:uiPriority w:val="9"/>
    <w:qFormat/>
    <w:rsid w:val="005014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14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14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14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14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14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14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14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14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14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14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14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14E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14E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14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14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14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14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14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14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14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14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14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14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14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14E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14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14E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14EB"/>
    <w:rPr>
      <w:b/>
      <w:bCs/>
      <w:smallCaps/>
      <w:color w:val="2F5496" w:themeColor="accent1" w:themeShade="BF"/>
      <w:spacing w:val="5"/>
    </w:rPr>
  </w:style>
  <w:style w:type="paragraph" w:customStyle="1" w:styleId="w7sjnrxzl6krnffuzhqe">
    <w:name w:val="w7sjnrxzl6krnffuzhqe"/>
    <w:basedOn w:val="Normal"/>
    <w:rsid w:val="00501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5014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1705</Words>
  <Characters>9725</Characters>
  <Application>Microsoft Office Word</Application>
  <DocSecurity>0</DocSecurity>
  <Lines>81</Lines>
  <Paragraphs>22</Paragraphs>
  <ScaleCrop>false</ScaleCrop>
  <Company/>
  <LinksUpToDate>false</LinksUpToDate>
  <CharactersWithSpaces>11408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Awad Abdou</dc:creator>
  <cp:keywords/>
  <dc:description/>
  <cp:lastModifiedBy>Awad Abdou</cp:lastModifiedBy>
  <cp:revision>1</cp:revision>
  <dcterms:created xsi:type="dcterms:W3CDTF">2026-03-22T04:51:00Z</dcterms:created>
  <dcterms:modified xsi:type="dcterms:W3CDTF">2026-03-22T04:52:00Z</dcterms:modified>
</cp:coreProperties>
</file>