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88EB" w14:textId="77777777" w:rsidR="003E6798" w:rsidRPr="00830954" w:rsidRDefault="003E6798" w:rsidP="003E6798">
      <w:pPr>
        <w:keepNext/>
        <w:keepLines/>
        <w:spacing w:before="160" w:after="80" w:line="480" w:lineRule="auto"/>
        <w:ind w:firstLine="720"/>
        <w:outlineLvl w:val="1"/>
        <w:rPr>
          <w:rFonts w:ascii="Arial" w:eastAsia="&quot;Times New Roman&quot;, serif" w:hAnsi="Arial" w:cs="Arial"/>
          <w:b/>
          <w:color w:val="000000" w:themeColor="text1"/>
          <w:szCs w:val="32"/>
          <w:lang w:val="en-US"/>
        </w:rPr>
      </w:pPr>
      <w:r w:rsidRPr="00830954">
        <w:rPr>
          <w:rFonts w:ascii="Arial" w:eastAsiaTheme="majorEastAsia" w:hAnsi="Arial" w:cs="Arial"/>
          <w:b/>
          <w:color w:val="000000" w:themeColor="text1"/>
          <w:szCs w:val="32"/>
          <w:lang w:val="en-US"/>
        </w:rPr>
        <w:t xml:space="preserve">10. </w:t>
      </w:r>
      <w:r w:rsidRPr="00830954">
        <w:rPr>
          <w:rFonts w:ascii="Arial" w:eastAsia="&quot;Times New Roman&quot;, serif" w:hAnsi="Arial" w:cs="Arial"/>
          <w:b/>
          <w:color w:val="000000" w:themeColor="text1"/>
          <w:szCs w:val="32"/>
          <w:lang w:val="en-US"/>
        </w:rPr>
        <w:t>Supplementary material</w:t>
      </w:r>
    </w:p>
    <w:p w14:paraId="57CD8C2A" w14:textId="77777777" w:rsidR="003E6798" w:rsidRPr="00830954" w:rsidRDefault="003E6798" w:rsidP="003E6798">
      <w:pPr>
        <w:keepNext/>
        <w:keepLines/>
        <w:spacing w:before="280" w:after="200" w:line="480" w:lineRule="auto"/>
        <w:ind w:firstLine="720"/>
        <w:jc w:val="both"/>
        <w:outlineLvl w:val="2"/>
        <w:rPr>
          <w:rFonts w:ascii="Arial" w:eastAsia="&quot;Times New Roman&quot;, serif" w:hAnsi="Arial" w:cs="Arial"/>
          <w:b/>
          <w:i/>
          <w:color w:val="000000" w:themeColor="text1"/>
          <w:szCs w:val="28"/>
          <w:lang w:val="en-US"/>
        </w:rPr>
      </w:pPr>
      <w:r w:rsidRPr="00830954">
        <w:rPr>
          <w:rFonts w:ascii="Arial" w:eastAsia="&quot;Times New Roman&quot;, serif" w:hAnsi="Arial" w:cs="Arial"/>
          <w:b/>
          <w:i/>
          <w:color w:val="000000" w:themeColor="text1"/>
          <w:szCs w:val="28"/>
          <w:lang w:val="en-US"/>
        </w:rPr>
        <w:t>SM1. Spatial arrangement of the experimental grazing systems at the EPAGRI Experimental Station, Lages, Santa Catarina, Brazil.</w:t>
      </w:r>
    </w:p>
    <w:p w14:paraId="03871D93" w14:textId="77777777" w:rsidR="003E6798" w:rsidRPr="00830954" w:rsidRDefault="003E6798" w:rsidP="003E6798">
      <w:pPr>
        <w:spacing w:line="480" w:lineRule="auto"/>
        <w:ind w:firstLine="720"/>
        <w:jc w:val="both"/>
        <w:rPr>
          <w:rFonts w:ascii="Arial" w:hAnsi="Arial" w:cs="Arial"/>
          <w:lang w:val="en-US"/>
        </w:rPr>
      </w:pPr>
      <w:r w:rsidRPr="00830954">
        <w:rPr>
          <w:rFonts w:ascii="Arial" w:hAnsi="Arial" w:cs="Arial"/>
          <w:lang w:val="en-US"/>
        </w:rPr>
        <w:t>This experimental area (</w:t>
      </w:r>
      <w:r w:rsidRPr="00830954">
        <w:rPr>
          <w:rFonts w:ascii="Arial" w:eastAsia="&quot;Times New Roman&quot;, serif" w:hAnsi="Arial" w:cs="Arial"/>
          <w:lang w:val="en-US"/>
        </w:rPr>
        <w:t>Figure SM1)</w:t>
      </w:r>
      <w:r w:rsidRPr="00830954">
        <w:rPr>
          <w:rFonts w:ascii="Arial" w:eastAsia="&quot;Times New Roman&quot;, serif" w:hAnsi="Arial" w:cs="Arial"/>
          <w:b/>
          <w:lang w:val="en-US"/>
        </w:rPr>
        <w:t xml:space="preserve"> </w:t>
      </w:r>
      <w:r w:rsidRPr="00830954">
        <w:rPr>
          <w:rFonts w:ascii="Arial" w:hAnsi="Arial" w:cs="Arial"/>
          <w:lang w:val="en-US"/>
        </w:rPr>
        <w:t>is part of a long-term research platform designed to evaluate multiple ecosystem functions under different pasture management intensities. In addition to nitrous oxide emission studies, the same plots were used for complementary assessments of soil carbon stocks (</w:t>
      </w:r>
      <w:r w:rsidRPr="00830954">
        <w:rPr>
          <w:rFonts w:ascii="Arial" w:eastAsia="&quot;Times New Roman&quot;, serif" w:hAnsi="Arial" w:cs="Arial"/>
          <w:lang w:val="en-US"/>
        </w:rPr>
        <w:t xml:space="preserve">Camacho </w:t>
      </w:r>
      <w:r w:rsidRPr="00830954">
        <w:rPr>
          <w:rFonts w:ascii="Arial" w:eastAsia="&quot;Times New Roman&quot;, serif" w:hAnsi="Arial" w:cs="Arial"/>
          <w:i/>
          <w:iCs/>
          <w:lang w:val="en-US"/>
        </w:rPr>
        <w:t>et al.,</w:t>
      </w:r>
      <w:r w:rsidRPr="00830954">
        <w:rPr>
          <w:rFonts w:ascii="Arial" w:eastAsia="&quot;Times New Roman&quot;, serif" w:hAnsi="Arial" w:cs="Arial"/>
          <w:lang w:val="en-US"/>
        </w:rPr>
        <w:t xml:space="preserve"> 2023)</w:t>
      </w:r>
      <w:r w:rsidRPr="00830954">
        <w:rPr>
          <w:rFonts w:ascii="Arial" w:hAnsi="Arial" w:cs="Arial"/>
          <w:lang w:val="en-US"/>
        </w:rPr>
        <w:t>, microbial activity (</w:t>
      </w:r>
      <w:r w:rsidRPr="00830954">
        <w:rPr>
          <w:rFonts w:ascii="Arial" w:eastAsia="&quot;Times New Roman&quot;, serif" w:hAnsi="Arial" w:cs="Arial"/>
          <w:lang w:val="en-US"/>
        </w:rPr>
        <w:t xml:space="preserve">Tomazelli </w:t>
      </w:r>
      <w:r w:rsidRPr="00830954">
        <w:rPr>
          <w:rFonts w:ascii="Arial" w:eastAsia="&quot;Times New Roman&quot;, serif" w:hAnsi="Arial" w:cs="Arial"/>
          <w:i/>
          <w:iCs/>
          <w:lang w:val="en-US"/>
        </w:rPr>
        <w:t>et al.,</w:t>
      </w:r>
      <w:r w:rsidRPr="00830954">
        <w:rPr>
          <w:rFonts w:ascii="Arial" w:eastAsia="&quot;Times New Roman&quot;, serif" w:hAnsi="Arial" w:cs="Arial"/>
          <w:lang w:val="en-US"/>
        </w:rPr>
        <w:t xml:space="preserve"> 2023)</w:t>
      </w:r>
      <w:r w:rsidRPr="00830954">
        <w:rPr>
          <w:rFonts w:ascii="Arial" w:hAnsi="Arial" w:cs="Arial"/>
          <w:lang w:val="en-US"/>
        </w:rPr>
        <w:t>, and carbon cycling, as well as greenhouse gas fluxes associated with livestock systems. The site was selected because it included the four main soil and management gradients representative of the Southern Brazilian Highlands, ensuring regional representativeness for integrated carbon and nitrogen research.</w:t>
      </w:r>
    </w:p>
    <w:p w14:paraId="71863C9B" w14:textId="77777777" w:rsidR="003E6798" w:rsidRPr="00830954" w:rsidRDefault="003E6798" w:rsidP="003E6798">
      <w:pPr>
        <w:spacing w:line="480" w:lineRule="auto"/>
        <w:jc w:val="center"/>
        <w:rPr>
          <w:rFonts w:ascii="Arial" w:hAnsi="Arial" w:cs="Arial"/>
          <w:lang w:val="en-US"/>
        </w:rPr>
      </w:pPr>
      <w:r w:rsidRPr="00830954">
        <w:rPr>
          <w:rFonts w:ascii="Arial" w:hAnsi="Arial" w:cs="Arial"/>
          <w:noProof/>
          <w:lang w:val="pt-BR" w:eastAsia="pt-BR"/>
        </w:rPr>
        <w:drawing>
          <wp:inline distT="0" distB="0" distL="0" distR="0" wp14:anchorId="3758E22B" wp14:editId="67E96D67">
            <wp:extent cx="5400040" cy="2903855"/>
            <wp:effectExtent l="0" t="0" r="0" b="0"/>
            <wp:docPr id="1268735511"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35511" name="Imagen 1" descr="Mapa&#10;&#10;El contenido generado por IA puede ser incorrec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2903855"/>
                    </a:xfrm>
                    <a:prstGeom prst="rect">
                      <a:avLst/>
                    </a:prstGeom>
                  </pic:spPr>
                </pic:pic>
              </a:graphicData>
            </a:graphic>
          </wp:inline>
        </w:drawing>
      </w:r>
    </w:p>
    <w:p w14:paraId="45D00CF4" w14:textId="77777777" w:rsidR="003E6798" w:rsidRPr="00830954" w:rsidRDefault="003E6798" w:rsidP="003E6798">
      <w:pPr>
        <w:spacing w:line="480" w:lineRule="auto"/>
        <w:ind w:firstLine="708"/>
        <w:jc w:val="both"/>
        <w:rPr>
          <w:rFonts w:ascii="Arial" w:eastAsia="&quot;Times New Roman&quot;, serif" w:hAnsi="Arial" w:cs="Arial"/>
          <w:lang w:val="en-US"/>
        </w:rPr>
      </w:pPr>
      <w:r w:rsidRPr="00830954">
        <w:rPr>
          <w:rFonts w:ascii="Arial" w:eastAsia="&quot;Times New Roman&quot;, serif" w:hAnsi="Arial" w:cs="Arial"/>
          <w:b/>
          <w:lang w:val="en-US"/>
        </w:rPr>
        <w:t>Figure SM1.</w:t>
      </w:r>
      <w:r w:rsidRPr="00830954">
        <w:rPr>
          <w:rFonts w:ascii="Arial" w:hAnsi="Arial" w:cs="Arial"/>
          <w:lang w:val="en-US"/>
        </w:rPr>
        <w:t xml:space="preserve"> </w:t>
      </w:r>
      <w:r w:rsidRPr="00830954">
        <w:rPr>
          <w:rFonts w:ascii="Arial" w:eastAsia="&quot;Times New Roman&quot;, serif" w:hAnsi="Arial" w:cs="Arial"/>
          <w:lang w:val="en-US"/>
        </w:rPr>
        <w:t xml:space="preserve">Spatial arrangement and distribution of the four grazing systems (natural grassland - NG, improved natural grassland - ING, perennial pasture - PP, and annual pasture - AP) at the EPAGRI Experimental Station in </w:t>
      </w:r>
      <w:r w:rsidRPr="00830954">
        <w:rPr>
          <w:rFonts w:ascii="Arial" w:eastAsia="&quot;Times New Roman&quot;, serif" w:hAnsi="Arial" w:cs="Arial"/>
          <w:lang w:val="en-US"/>
        </w:rPr>
        <w:lastRenderedPageBreak/>
        <w:t>Lages, Santa Catarina. The red box within each system indicates the area where N</w:t>
      </w:r>
      <w:r w:rsidRPr="00830954">
        <w:rPr>
          <w:rFonts w:ascii="Arial" w:eastAsia="&quot;Times New Roman&quot;, serif" w:hAnsi="Arial" w:cs="Arial"/>
          <w:vertAlign w:val="subscript"/>
          <w:lang w:val="en-US"/>
        </w:rPr>
        <w:t>2</w:t>
      </w:r>
      <w:r w:rsidRPr="00830954">
        <w:rPr>
          <w:rFonts w:ascii="Arial" w:eastAsia="&quot;Times New Roman&quot;, serif" w:hAnsi="Arial" w:cs="Arial"/>
          <w:lang w:val="en-US"/>
        </w:rPr>
        <w:t>O-EF measurements were conducted, and the blue dot marks the location of the meteorological station.</w:t>
      </w:r>
    </w:p>
    <w:p w14:paraId="598DD637" w14:textId="77777777" w:rsidR="003E6798" w:rsidRPr="00830954" w:rsidRDefault="003E6798" w:rsidP="003E6798">
      <w:pPr>
        <w:keepNext/>
        <w:keepLines/>
        <w:spacing w:before="280" w:after="200" w:line="480" w:lineRule="auto"/>
        <w:ind w:firstLine="720"/>
        <w:jc w:val="both"/>
        <w:outlineLvl w:val="2"/>
        <w:rPr>
          <w:rFonts w:ascii="Arial" w:eastAsia="&quot;Times New Roman&quot;, serif" w:hAnsi="Arial" w:cs="Arial"/>
          <w:b/>
          <w:i/>
          <w:color w:val="000000" w:themeColor="text1"/>
          <w:szCs w:val="28"/>
          <w:lang w:val="en-US"/>
        </w:rPr>
      </w:pPr>
      <w:r w:rsidRPr="00830954">
        <w:rPr>
          <w:rFonts w:ascii="Arial" w:eastAsia="&quot;Times New Roman&quot;, serif" w:hAnsi="Arial" w:cs="Arial"/>
          <w:b/>
          <w:i/>
          <w:color w:val="000000" w:themeColor="text1"/>
          <w:szCs w:val="28"/>
          <w:lang w:val="en-US"/>
        </w:rPr>
        <w:t>SM2. Physicochemical composition of cattle excreta</w:t>
      </w:r>
    </w:p>
    <w:p w14:paraId="315FD333" w14:textId="77777777" w:rsidR="003E6798" w:rsidRPr="00830954" w:rsidRDefault="003E6798" w:rsidP="003E6798">
      <w:pPr>
        <w:spacing w:line="480" w:lineRule="auto"/>
        <w:ind w:firstLine="720"/>
        <w:jc w:val="both"/>
        <w:rPr>
          <w:rFonts w:ascii="Arial" w:eastAsia="&quot;Times New Roman&quot;, serif" w:hAnsi="Arial" w:cs="Arial"/>
          <w:lang w:val="en-US"/>
        </w:rPr>
      </w:pPr>
      <w:r w:rsidRPr="00830954">
        <w:rPr>
          <w:rFonts w:ascii="Arial" w:eastAsia="&quot;Times New Roman&quot;, serif" w:hAnsi="Arial" w:cs="Arial"/>
          <w:b/>
          <w:lang w:val="en-US"/>
        </w:rPr>
        <w:t xml:space="preserve">Table SM2. </w:t>
      </w:r>
      <w:r w:rsidRPr="00830954">
        <w:rPr>
          <w:rFonts w:ascii="Arial" w:eastAsia="&quot;Times New Roman&quot;, serif" w:hAnsi="Arial" w:cs="Arial"/>
          <w:lang w:val="en-US"/>
        </w:rPr>
        <w:t>Dry matter, pH, carbon, and nitrogen contents of cattle excreta types according to grazing system.</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95"/>
        <w:gridCol w:w="1080"/>
        <w:gridCol w:w="1080"/>
        <w:gridCol w:w="855"/>
        <w:gridCol w:w="765"/>
        <w:gridCol w:w="990"/>
        <w:gridCol w:w="897"/>
        <w:gridCol w:w="10"/>
        <w:gridCol w:w="1253"/>
        <w:gridCol w:w="1530"/>
      </w:tblGrid>
      <w:tr w:rsidR="003E6798" w:rsidRPr="00830954" w14:paraId="470802A5" w14:textId="77777777" w:rsidTr="00693E64">
        <w:trPr>
          <w:trHeight w:val="18"/>
          <w:jc w:val="center"/>
        </w:trPr>
        <w:tc>
          <w:tcPr>
            <w:tcW w:w="895" w:type="dxa"/>
            <w:tcBorders>
              <w:top w:val="single" w:sz="4" w:space="0" w:color="auto"/>
              <w:left w:val="nil"/>
              <w:bottom w:val="nil"/>
              <w:right w:val="nil"/>
            </w:tcBorders>
            <w:tcMar>
              <w:top w:w="100" w:type="dxa"/>
              <w:left w:w="100" w:type="dxa"/>
              <w:bottom w:w="100" w:type="dxa"/>
              <w:right w:w="100" w:type="dxa"/>
            </w:tcMar>
            <w:vAlign w:val="center"/>
            <w:hideMark/>
          </w:tcPr>
          <w:p w14:paraId="44360F7D" w14:textId="77777777" w:rsidR="003E6798" w:rsidRPr="00830954" w:rsidRDefault="003E6798" w:rsidP="00693E64">
            <w:pPr>
              <w:spacing w:line="360" w:lineRule="auto"/>
              <w:jc w:val="center"/>
              <w:rPr>
                <w:rFonts w:ascii="Arial" w:hAnsi="Arial" w:cs="Arial"/>
                <w:b/>
                <w:bCs/>
                <w:sz w:val="16"/>
                <w:szCs w:val="16"/>
                <w:lang w:val="en-US"/>
              </w:rPr>
            </w:pPr>
            <w:r w:rsidRPr="00830954">
              <w:rPr>
                <w:rFonts w:ascii="Arial" w:hAnsi="Arial" w:cs="Arial"/>
                <w:b/>
                <w:bCs/>
                <w:sz w:val="16"/>
                <w:szCs w:val="16"/>
                <w:lang w:val="en-US"/>
              </w:rPr>
              <w:t>System</w:t>
            </w:r>
          </w:p>
        </w:tc>
        <w:tc>
          <w:tcPr>
            <w:tcW w:w="1080" w:type="dxa"/>
            <w:tcBorders>
              <w:top w:val="single" w:sz="4" w:space="0" w:color="auto"/>
              <w:left w:val="nil"/>
              <w:bottom w:val="nil"/>
              <w:right w:val="nil"/>
            </w:tcBorders>
            <w:tcMar>
              <w:top w:w="100" w:type="dxa"/>
              <w:left w:w="100" w:type="dxa"/>
              <w:bottom w:w="100" w:type="dxa"/>
              <w:right w:w="100" w:type="dxa"/>
            </w:tcMar>
            <w:vAlign w:val="center"/>
            <w:hideMark/>
          </w:tcPr>
          <w:p w14:paraId="68FCFE95" w14:textId="77777777" w:rsidR="003E6798" w:rsidRPr="00830954" w:rsidRDefault="003E6798" w:rsidP="00693E64">
            <w:pPr>
              <w:spacing w:line="360" w:lineRule="auto"/>
              <w:ind w:left="-73"/>
              <w:jc w:val="center"/>
              <w:rPr>
                <w:rFonts w:ascii="Arial" w:hAnsi="Arial" w:cs="Arial"/>
                <w:b/>
                <w:bCs/>
                <w:sz w:val="16"/>
                <w:szCs w:val="16"/>
                <w:lang w:val="en-US"/>
              </w:rPr>
            </w:pPr>
            <w:r w:rsidRPr="00830954">
              <w:rPr>
                <w:rFonts w:ascii="Arial" w:hAnsi="Arial" w:cs="Arial"/>
                <w:b/>
                <w:bCs/>
                <w:sz w:val="16"/>
                <w:szCs w:val="16"/>
                <w:lang w:val="en-US"/>
              </w:rPr>
              <w:t>DM</w:t>
            </w:r>
          </w:p>
        </w:tc>
        <w:tc>
          <w:tcPr>
            <w:tcW w:w="1080" w:type="dxa"/>
            <w:tcBorders>
              <w:top w:val="single" w:sz="4" w:space="0" w:color="auto"/>
              <w:left w:val="nil"/>
              <w:bottom w:val="nil"/>
              <w:right w:val="nil"/>
            </w:tcBorders>
            <w:tcMar>
              <w:top w:w="100" w:type="dxa"/>
              <w:left w:w="100" w:type="dxa"/>
              <w:bottom w:w="100" w:type="dxa"/>
              <w:right w:w="100" w:type="dxa"/>
            </w:tcMar>
            <w:vAlign w:val="center"/>
            <w:hideMark/>
          </w:tcPr>
          <w:p w14:paraId="4CBF819B" w14:textId="77777777" w:rsidR="003E6798" w:rsidRPr="00830954" w:rsidRDefault="003E6798" w:rsidP="00693E64">
            <w:pPr>
              <w:spacing w:line="360" w:lineRule="auto"/>
              <w:ind w:left="-81"/>
              <w:jc w:val="center"/>
              <w:rPr>
                <w:rFonts w:ascii="Arial" w:hAnsi="Arial" w:cs="Arial"/>
                <w:sz w:val="16"/>
                <w:szCs w:val="16"/>
                <w:lang w:val="en-US"/>
              </w:rPr>
            </w:pPr>
            <w:r w:rsidRPr="00830954">
              <w:rPr>
                <w:rFonts w:ascii="Arial" w:hAnsi="Arial" w:cs="Arial"/>
                <w:b/>
                <w:bCs/>
                <w:sz w:val="16"/>
                <w:szCs w:val="16"/>
                <w:lang w:val="en-US"/>
              </w:rPr>
              <w:t>pH</w:t>
            </w:r>
          </w:p>
        </w:tc>
        <w:tc>
          <w:tcPr>
            <w:tcW w:w="1620" w:type="dxa"/>
            <w:gridSpan w:val="2"/>
            <w:tcBorders>
              <w:top w:val="single" w:sz="4" w:space="0" w:color="auto"/>
              <w:left w:val="nil"/>
              <w:bottom w:val="nil"/>
              <w:right w:val="nil"/>
            </w:tcBorders>
            <w:tcMar>
              <w:top w:w="100" w:type="dxa"/>
              <w:left w:w="100" w:type="dxa"/>
              <w:bottom w:w="100" w:type="dxa"/>
              <w:right w:w="100" w:type="dxa"/>
            </w:tcMar>
            <w:vAlign w:val="center"/>
            <w:hideMark/>
          </w:tcPr>
          <w:p w14:paraId="69DBEB3A" w14:textId="77777777" w:rsidR="003E6798" w:rsidRPr="00830954" w:rsidRDefault="003E6798" w:rsidP="00693E64">
            <w:pPr>
              <w:spacing w:line="360" w:lineRule="auto"/>
              <w:ind w:left="-106"/>
              <w:jc w:val="center"/>
              <w:rPr>
                <w:rFonts w:ascii="Arial" w:hAnsi="Arial" w:cs="Arial"/>
                <w:sz w:val="16"/>
                <w:szCs w:val="16"/>
                <w:lang w:val="en-US"/>
              </w:rPr>
            </w:pPr>
            <w:r w:rsidRPr="00830954">
              <w:rPr>
                <w:rFonts w:ascii="Arial" w:hAnsi="Arial" w:cs="Arial"/>
                <w:b/>
                <w:bCs/>
                <w:sz w:val="16"/>
                <w:szCs w:val="16"/>
                <w:lang w:val="en-US"/>
              </w:rPr>
              <w:t>C</w:t>
            </w:r>
          </w:p>
        </w:tc>
        <w:tc>
          <w:tcPr>
            <w:tcW w:w="1897" w:type="dxa"/>
            <w:gridSpan w:val="3"/>
            <w:tcBorders>
              <w:top w:val="single" w:sz="4" w:space="0" w:color="auto"/>
              <w:left w:val="nil"/>
              <w:bottom w:val="nil"/>
              <w:right w:val="nil"/>
            </w:tcBorders>
            <w:tcMar>
              <w:top w:w="100" w:type="dxa"/>
              <w:left w:w="100" w:type="dxa"/>
              <w:bottom w:w="100" w:type="dxa"/>
              <w:right w:w="100" w:type="dxa"/>
            </w:tcMar>
            <w:vAlign w:val="center"/>
            <w:hideMark/>
          </w:tcPr>
          <w:p w14:paraId="34DBFAB2" w14:textId="77777777" w:rsidR="003E6798" w:rsidRPr="00830954" w:rsidRDefault="003E6798" w:rsidP="00693E64">
            <w:pPr>
              <w:spacing w:line="360" w:lineRule="auto"/>
              <w:ind w:left="-126"/>
              <w:jc w:val="center"/>
              <w:rPr>
                <w:rFonts w:ascii="Arial" w:hAnsi="Arial" w:cs="Arial"/>
                <w:sz w:val="16"/>
                <w:szCs w:val="16"/>
                <w:lang w:val="en-US"/>
              </w:rPr>
            </w:pPr>
            <w:r w:rsidRPr="00830954">
              <w:rPr>
                <w:rFonts w:ascii="Arial" w:hAnsi="Arial" w:cs="Arial"/>
                <w:b/>
                <w:bCs/>
                <w:sz w:val="16"/>
                <w:szCs w:val="16"/>
                <w:lang w:val="en-US"/>
              </w:rPr>
              <w:t>N</w:t>
            </w:r>
          </w:p>
        </w:tc>
        <w:tc>
          <w:tcPr>
            <w:tcW w:w="1253" w:type="dxa"/>
            <w:tcBorders>
              <w:top w:val="single" w:sz="4" w:space="0" w:color="auto"/>
              <w:left w:val="nil"/>
              <w:bottom w:val="nil"/>
              <w:right w:val="nil"/>
            </w:tcBorders>
            <w:vAlign w:val="center"/>
          </w:tcPr>
          <w:p w14:paraId="762D4458" w14:textId="77777777" w:rsidR="003E6798" w:rsidRPr="00830954" w:rsidRDefault="003E6798" w:rsidP="00693E64">
            <w:pPr>
              <w:spacing w:line="360" w:lineRule="auto"/>
              <w:ind w:left="-106"/>
              <w:jc w:val="center"/>
              <w:rPr>
                <w:rFonts w:ascii="Arial" w:hAnsi="Arial" w:cs="Arial"/>
                <w:b/>
                <w:bCs/>
                <w:sz w:val="16"/>
                <w:szCs w:val="16"/>
                <w:lang w:val="en-US"/>
              </w:rPr>
            </w:pPr>
            <w:r w:rsidRPr="00830954">
              <w:rPr>
                <w:rFonts w:ascii="Arial" w:hAnsi="Arial" w:cs="Arial"/>
                <w:b/>
                <w:bCs/>
                <w:sz w:val="16"/>
                <w:szCs w:val="16"/>
                <w:lang w:val="en-US"/>
              </w:rPr>
              <w:t>C</w:t>
            </w:r>
          </w:p>
        </w:tc>
        <w:tc>
          <w:tcPr>
            <w:tcW w:w="1530" w:type="dxa"/>
            <w:tcBorders>
              <w:top w:val="single" w:sz="4" w:space="0" w:color="auto"/>
              <w:left w:val="nil"/>
              <w:bottom w:val="nil"/>
              <w:right w:val="nil"/>
            </w:tcBorders>
            <w:vAlign w:val="center"/>
          </w:tcPr>
          <w:p w14:paraId="41A3E153" w14:textId="77777777" w:rsidR="003E6798" w:rsidRPr="00830954" w:rsidRDefault="003E6798" w:rsidP="00693E64">
            <w:pPr>
              <w:spacing w:line="360" w:lineRule="auto"/>
              <w:ind w:left="-79"/>
              <w:jc w:val="center"/>
              <w:rPr>
                <w:rFonts w:ascii="Arial" w:hAnsi="Arial" w:cs="Arial"/>
                <w:b/>
                <w:bCs/>
                <w:sz w:val="16"/>
                <w:szCs w:val="16"/>
                <w:lang w:val="en-US"/>
              </w:rPr>
            </w:pPr>
            <w:r w:rsidRPr="00830954">
              <w:rPr>
                <w:rFonts w:ascii="Arial" w:hAnsi="Arial" w:cs="Arial"/>
                <w:b/>
                <w:bCs/>
                <w:sz w:val="16"/>
                <w:szCs w:val="16"/>
                <w:lang w:val="en-US"/>
              </w:rPr>
              <w:t>N</w:t>
            </w:r>
          </w:p>
        </w:tc>
      </w:tr>
      <w:tr w:rsidR="003E6798" w:rsidRPr="00830954" w14:paraId="3D255B91" w14:textId="77777777" w:rsidTr="00693E64">
        <w:trPr>
          <w:trHeight w:val="94"/>
          <w:jc w:val="center"/>
        </w:trPr>
        <w:tc>
          <w:tcPr>
            <w:tcW w:w="895" w:type="dxa"/>
            <w:tcBorders>
              <w:top w:val="nil"/>
              <w:left w:val="nil"/>
              <w:bottom w:val="single" w:sz="4" w:space="0" w:color="auto"/>
              <w:right w:val="nil"/>
            </w:tcBorders>
            <w:tcMar>
              <w:top w:w="100" w:type="dxa"/>
              <w:left w:w="100" w:type="dxa"/>
              <w:bottom w:w="100" w:type="dxa"/>
              <w:right w:w="100" w:type="dxa"/>
            </w:tcMar>
            <w:vAlign w:val="center"/>
            <w:hideMark/>
          </w:tcPr>
          <w:p w14:paraId="195A5773" w14:textId="77777777" w:rsidR="003E6798" w:rsidRPr="00830954" w:rsidRDefault="003E6798" w:rsidP="00693E64">
            <w:pPr>
              <w:spacing w:line="360" w:lineRule="auto"/>
              <w:jc w:val="center"/>
              <w:rPr>
                <w:rFonts w:ascii="Arial" w:hAnsi="Arial" w:cs="Arial"/>
                <w:sz w:val="16"/>
                <w:szCs w:val="16"/>
                <w:lang w:val="en-US"/>
              </w:rPr>
            </w:pPr>
          </w:p>
        </w:tc>
        <w:tc>
          <w:tcPr>
            <w:tcW w:w="1080" w:type="dxa"/>
            <w:tcBorders>
              <w:top w:val="nil"/>
              <w:left w:val="nil"/>
              <w:bottom w:val="single" w:sz="4" w:space="0" w:color="auto"/>
              <w:right w:val="nil"/>
            </w:tcBorders>
            <w:tcMar>
              <w:top w:w="100" w:type="dxa"/>
              <w:left w:w="100" w:type="dxa"/>
              <w:bottom w:w="100" w:type="dxa"/>
              <w:right w:w="100" w:type="dxa"/>
            </w:tcMar>
            <w:vAlign w:val="center"/>
            <w:hideMark/>
          </w:tcPr>
          <w:p w14:paraId="39D992A5"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b/>
                <w:bCs/>
                <w:sz w:val="16"/>
                <w:szCs w:val="16"/>
                <w:lang w:val="en-US"/>
              </w:rPr>
              <w:t>g kg</w:t>
            </w:r>
            <w:r w:rsidRPr="00830954">
              <w:rPr>
                <w:rFonts w:ascii="Arial" w:hAnsi="Arial" w:cs="Arial"/>
                <w:b/>
                <w:bCs/>
                <w:sz w:val="16"/>
                <w:szCs w:val="16"/>
                <w:vertAlign w:val="superscript"/>
                <w:lang w:val="en-US"/>
              </w:rPr>
              <w:t>-1</w:t>
            </w:r>
          </w:p>
        </w:tc>
        <w:tc>
          <w:tcPr>
            <w:tcW w:w="1080" w:type="dxa"/>
            <w:tcBorders>
              <w:top w:val="nil"/>
              <w:left w:val="nil"/>
              <w:bottom w:val="single" w:sz="4" w:space="0" w:color="auto"/>
              <w:right w:val="nil"/>
            </w:tcBorders>
            <w:tcMar>
              <w:top w:w="100" w:type="dxa"/>
              <w:left w:w="100" w:type="dxa"/>
              <w:bottom w:w="100" w:type="dxa"/>
              <w:right w:w="100" w:type="dxa"/>
            </w:tcMar>
            <w:vAlign w:val="center"/>
            <w:hideMark/>
          </w:tcPr>
          <w:p w14:paraId="6ADBA2CC" w14:textId="77777777" w:rsidR="003E6798" w:rsidRPr="00830954" w:rsidRDefault="003E6798" w:rsidP="00693E64">
            <w:pPr>
              <w:spacing w:line="360" w:lineRule="auto"/>
              <w:jc w:val="center"/>
              <w:rPr>
                <w:rFonts w:ascii="Arial" w:hAnsi="Arial" w:cs="Arial"/>
                <w:sz w:val="16"/>
                <w:szCs w:val="16"/>
                <w:lang w:val="en-US"/>
              </w:rPr>
            </w:pPr>
          </w:p>
        </w:tc>
        <w:tc>
          <w:tcPr>
            <w:tcW w:w="855" w:type="dxa"/>
            <w:tcBorders>
              <w:top w:val="nil"/>
              <w:left w:val="nil"/>
              <w:bottom w:val="single" w:sz="4" w:space="0" w:color="auto"/>
              <w:right w:val="nil"/>
            </w:tcBorders>
            <w:tcMar>
              <w:top w:w="100" w:type="dxa"/>
              <w:left w:w="100" w:type="dxa"/>
              <w:bottom w:w="100" w:type="dxa"/>
              <w:right w:w="100" w:type="dxa"/>
            </w:tcMar>
            <w:vAlign w:val="center"/>
            <w:hideMark/>
          </w:tcPr>
          <w:p w14:paraId="07016AAB" w14:textId="77777777" w:rsidR="003E6798" w:rsidRPr="00830954" w:rsidRDefault="003E6798" w:rsidP="00693E64">
            <w:pPr>
              <w:spacing w:line="360" w:lineRule="auto"/>
              <w:ind w:left="-112"/>
              <w:jc w:val="center"/>
              <w:rPr>
                <w:rFonts w:ascii="Arial" w:hAnsi="Arial" w:cs="Arial"/>
                <w:sz w:val="16"/>
                <w:szCs w:val="16"/>
                <w:lang w:val="en-US"/>
              </w:rPr>
            </w:pPr>
            <w:r w:rsidRPr="00830954">
              <w:rPr>
                <w:rFonts w:ascii="Arial" w:hAnsi="Arial" w:cs="Arial"/>
                <w:b/>
                <w:bCs/>
                <w:sz w:val="16"/>
                <w:szCs w:val="16"/>
                <w:lang w:val="en-US"/>
              </w:rPr>
              <w:t>g kg</w:t>
            </w:r>
            <w:r w:rsidRPr="00830954">
              <w:rPr>
                <w:rFonts w:ascii="Arial" w:hAnsi="Arial" w:cs="Arial"/>
                <w:b/>
                <w:bCs/>
                <w:sz w:val="16"/>
                <w:szCs w:val="16"/>
                <w:vertAlign w:val="superscript"/>
                <w:lang w:val="en-US"/>
              </w:rPr>
              <w:t>-1</w:t>
            </w:r>
          </w:p>
        </w:tc>
        <w:tc>
          <w:tcPr>
            <w:tcW w:w="765" w:type="dxa"/>
            <w:tcBorders>
              <w:top w:val="nil"/>
              <w:left w:val="nil"/>
              <w:bottom w:val="single" w:sz="4" w:space="0" w:color="auto"/>
              <w:right w:val="nil"/>
            </w:tcBorders>
            <w:tcMar>
              <w:top w:w="100" w:type="dxa"/>
              <w:left w:w="100" w:type="dxa"/>
              <w:bottom w:w="100" w:type="dxa"/>
              <w:right w:w="100" w:type="dxa"/>
            </w:tcMar>
            <w:vAlign w:val="center"/>
            <w:hideMark/>
          </w:tcPr>
          <w:p w14:paraId="5C65CDA7" w14:textId="77777777" w:rsidR="003E6798" w:rsidRPr="00830954" w:rsidRDefault="003E6798" w:rsidP="00693E64">
            <w:pPr>
              <w:spacing w:line="360" w:lineRule="auto"/>
              <w:ind w:left="-112"/>
              <w:jc w:val="center"/>
              <w:rPr>
                <w:rFonts w:ascii="Arial" w:hAnsi="Arial" w:cs="Arial"/>
                <w:sz w:val="16"/>
                <w:szCs w:val="16"/>
                <w:lang w:val="en-US"/>
              </w:rPr>
            </w:pPr>
            <w:r w:rsidRPr="00830954">
              <w:rPr>
                <w:rFonts w:ascii="Arial" w:hAnsi="Arial" w:cs="Arial"/>
                <w:b/>
                <w:bCs/>
                <w:sz w:val="16"/>
                <w:szCs w:val="16"/>
                <w:lang w:val="en-US"/>
              </w:rPr>
              <w:t>g L</w:t>
            </w:r>
            <w:r w:rsidRPr="00830954">
              <w:rPr>
                <w:rFonts w:ascii="Arial" w:hAnsi="Arial" w:cs="Arial"/>
                <w:b/>
                <w:bCs/>
                <w:sz w:val="16"/>
                <w:szCs w:val="16"/>
                <w:vertAlign w:val="superscript"/>
                <w:lang w:val="en-US"/>
              </w:rPr>
              <w:t>-1</w:t>
            </w:r>
          </w:p>
        </w:tc>
        <w:tc>
          <w:tcPr>
            <w:tcW w:w="990" w:type="dxa"/>
            <w:tcBorders>
              <w:top w:val="nil"/>
              <w:left w:val="nil"/>
              <w:bottom w:val="single" w:sz="4" w:space="0" w:color="auto"/>
              <w:right w:val="nil"/>
            </w:tcBorders>
            <w:tcMar>
              <w:top w:w="100" w:type="dxa"/>
              <w:left w:w="100" w:type="dxa"/>
              <w:bottom w:w="100" w:type="dxa"/>
              <w:right w:w="100" w:type="dxa"/>
            </w:tcMar>
            <w:vAlign w:val="center"/>
            <w:hideMark/>
          </w:tcPr>
          <w:p w14:paraId="488F6DF6" w14:textId="77777777" w:rsidR="003E6798" w:rsidRPr="00830954" w:rsidRDefault="003E6798" w:rsidP="00693E64">
            <w:pPr>
              <w:spacing w:line="360" w:lineRule="auto"/>
              <w:ind w:left="-112"/>
              <w:jc w:val="center"/>
              <w:rPr>
                <w:rFonts w:ascii="Arial" w:hAnsi="Arial" w:cs="Arial"/>
                <w:sz w:val="16"/>
                <w:szCs w:val="16"/>
                <w:lang w:val="en-US"/>
              </w:rPr>
            </w:pPr>
            <w:r w:rsidRPr="00830954">
              <w:rPr>
                <w:rFonts w:ascii="Arial" w:hAnsi="Arial" w:cs="Arial"/>
                <w:b/>
                <w:bCs/>
                <w:sz w:val="16"/>
                <w:szCs w:val="16"/>
                <w:lang w:val="en-US"/>
              </w:rPr>
              <w:t>g kg</w:t>
            </w:r>
            <w:r w:rsidRPr="00830954">
              <w:rPr>
                <w:rFonts w:ascii="Arial" w:hAnsi="Arial" w:cs="Arial"/>
                <w:b/>
                <w:bCs/>
                <w:sz w:val="16"/>
                <w:szCs w:val="16"/>
                <w:vertAlign w:val="superscript"/>
                <w:lang w:val="en-US"/>
              </w:rPr>
              <w:t>-1</w:t>
            </w:r>
          </w:p>
        </w:tc>
        <w:tc>
          <w:tcPr>
            <w:tcW w:w="897" w:type="dxa"/>
            <w:tcBorders>
              <w:top w:val="nil"/>
              <w:left w:val="nil"/>
              <w:bottom w:val="single" w:sz="4" w:space="0" w:color="auto"/>
              <w:right w:val="nil"/>
            </w:tcBorders>
            <w:tcMar>
              <w:top w:w="100" w:type="dxa"/>
              <w:left w:w="100" w:type="dxa"/>
              <w:bottom w:w="100" w:type="dxa"/>
              <w:right w:w="100" w:type="dxa"/>
            </w:tcMar>
            <w:vAlign w:val="center"/>
            <w:hideMark/>
          </w:tcPr>
          <w:p w14:paraId="417A5E98" w14:textId="77777777" w:rsidR="003E6798" w:rsidRPr="00830954" w:rsidRDefault="003E6798" w:rsidP="00693E64">
            <w:pPr>
              <w:spacing w:line="360" w:lineRule="auto"/>
              <w:ind w:left="-112"/>
              <w:jc w:val="center"/>
              <w:rPr>
                <w:rFonts w:ascii="Arial" w:hAnsi="Arial" w:cs="Arial"/>
                <w:sz w:val="16"/>
                <w:szCs w:val="16"/>
                <w:lang w:val="en-US"/>
              </w:rPr>
            </w:pPr>
            <w:r w:rsidRPr="00830954">
              <w:rPr>
                <w:rFonts w:ascii="Arial" w:hAnsi="Arial" w:cs="Arial"/>
                <w:b/>
                <w:bCs/>
                <w:sz w:val="16"/>
                <w:szCs w:val="16"/>
                <w:lang w:val="en-US"/>
              </w:rPr>
              <w:t>g L</w:t>
            </w:r>
            <w:r w:rsidRPr="00830954">
              <w:rPr>
                <w:rFonts w:ascii="Arial" w:hAnsi="Arial" w:cs="Arial"/>
                <w:b/>
                <w:bCs/>
                <w:sz w:val="16"/>
                <w:szCs w:val="16"/>
                <w:vertAlign w:val="superscript"/>
                <w:lang w:val="en-US"/>
              </w:rPr>
              <w:t>-1</w:t>
            </w:r>
          </w:p>
        </w:tc>
        <w:tc>
          <w:tcPr>
            <w:tcW w:w="1263" w:type="dxa"/>
            <w:gridSpan w:val="2"/>
            <w:tcBorders>
              <w:top w:val="nil"/>
              <w:left w:val="nil"/>
              <w:bottom w:val="single" w:sz="4" w:space="0" w:color="auto"/>
              <w:right w:val="nil"/>
            </w:tcBorders>
            <w:tcMar>
              <w:top w:w="100" w:type="dxa"/>
              <w:left w:w="100" w:type="dxa"/>
              <w:bottom w:w="100" w:type="dxa"/>
              <w:right w:w="100" w:type="dxa"/>
            </w:tcMar>
            <w:vAlign w:val="center"/>
            <w:hideMark/>
          </w:tcPr>
          <w:p w14:paraId="0E8BBA19" w14:textId="77777777" w:rsidR="003E6798" w:rsidRPr="00830954" w:rsidRDefault="003E6798" w:rsidP="00693E64">
            <w:pPr>
              <w:spacing w:line="360" w:lineRule="auto"/>
              <w:ind w:left="-112"/>
              <w:jc w:val="center"/>
              <w:rPr>
                <w:rFonts w:ascii="Arial" w:hAnsi="Arial" w:cs="Arial"/>
                <w:sz w:val="16"/>
                <w:szCs w:val="16"/>
                <w:lang w:val="en-US"/>
              </w:rPr>
            </w:pPr>
            <w:r w:rsidRPr="00830954">
              <w:rPr>
                <w:rFonts w:ascii="Arial" w:hAnsi="Arial" w:cs="Arial"/>
                <w:b/>
                <w:bCs/>
                <w:sz w:val="16"/>
                <w:szCs w:val="16"/>
                <w:lang w:val="en-US"/>
              </w:rPr>
              <w:t>kg ha</w:t>
            </w:r>
            <w:r w:rsidRPr="00830954">
              <w:rPr>
                <w:rFonts w:ascii="Arial" w:hAnsi="Arial" w:cs="Arial"/>
                <w:sz w:val="16"/>
                <w:szCs w:val="16"/>
                <w:vertAlign w:val="superscript"/>
                <w:lang w:val="en-US"/>
              </w:rPr>
              <w:t>-1</w:t>
            </w:r>
          </w:p>
        </w:tc>
        <w:tc>
          <w:tcPr>
            <w:tcW w:w="1530" w:type="dxa"/>
            <w:tcBorders>
              <w:top w:val="nil"/>
              <w:left w:val="nil"/>
              <w:bottom w:val="single" w:sz="4" w:space="0" w:color="auto"/>
              <w:right w:val="nil"/>
            </w:tcBorders>
            <w:tcMar>
              <w:top w:w="100" w:type="dxa"/>
              <w:left w:w="100" w:type="dxa"/>
              <w:bottom w:w="100" w:type="dxa"/>
              <w:right w:w="100" w:type="dxa"/>
            </w:tcMar>
            <w:vAlign w:val="center"/>
            <w:hideMark/>
          </w:tcPr>
          <w:p w14:paraId="216F127F" w14:textId="77777777" w:rsidR="003E6798" w:rsidRPr="00830954" w:rsidRDefault="003E6798" w:rsidP="00693E64">
            <w:pPr>
              <w:spacing w:line="360" w:lineRule="auto"/>
              <w:ind w:left="-54"/>
              <w:jc w:val="center"/>
              <w:rPr>
                <w:rFonts w:ascii="Arial" w:hAnsi="Arial" w:cs="Arial"/>
                <w:sz w:val="16"/>
                <w:szCs w:val="16"/>
                <w:lang w:val="en-US"/>
              </w:rPr>
            </w:pPr>
            <w:r w:rsidRPr="00830954">
              <w:rPr>
                <w:rFonts w:ascii="Arial" w:hAnsi="Arial" w:cs="Arial"/>
                <w:b/>
                <w:bCs/>
                <w:sz w:val="16"/>
                <w:szCs w:val="16"/>
                <w:lang w:val="en-US"/>
              </w:rPr>
              <w:t>kg ha</w:t>
            </w:r>
            <w:r w:rsidRPr="00830954">
              <w:rPr>
                <w:rFonts w:ascii="Arial" w:hAnsi="Arial" w:cs="Arial"/>
                <w:sz w:val="16"/>
                <w:szCs w:val="16"/>
                <w:vertAlign w:val="superscript"/>
                <w:lang w:val="en-US"/>
              </w:rPr>
              <w:t>-1</w:t>
            </w:r>
          </w:p>
        </w:tc>
      </w:tr>
      <w:tr w:rsidR="003E6798" w:rsidRPr="00830954" w14:paraId="29090B14" w14:textId="77777777" w:rsidTr="00693E64">
        <w:trPr>
          <w:trHeight w:val="93"/>
          <w:jc w:val="center"/>
        </w:trPr>
        <w:tc>
          <w:tcPr>
            <w:tcW w:w="895" w:type="dxa"/>
            <w:tcBorders>
              <w:top w:val="single" w:sz="4" w:space="0" w:color="auto"/>
              <w:left w:val="nil"/>
              <w:bottom w:val="nil"/>
              <w:right w:val="nil"/>
            </w:tcBorders>
            <w:tcMar>
              <w:top w:w="100" w:type="dxa"/>
              <w:left w:w="100" w:type="dxa"/>
              <w:bottom w:w="100" w:type="dxa"/>
              <w:right w:w="100" w:type="dxa"/>
            </w:tcMar>
            <w:vAlign w:val="center"/>
            <w:hideMark/>
          </w:tcPr>
          <w:p w14:paraId="5D36A3D0" w14:textId="77777777" w:rsidR="003E6798" w:rsidRPr="00830954" w:rsidRDefault="003E6798" w:rsidP="00693E64">
            <w:pPr>
              <w:spacing w:line="360" w:lineRule="auto"/>
              <w:jc w:val="center"/>
              <w:rPr>
                <w:rFonts w:ascii="Arial" w:hAnsi="Arial" w:cs="Arial"/>
                <w:sz w:val="16"/>
                <w:szCs w:val="16"/>
                <w:lang w:val="en-US"/>
              </w:rPr>
            </w:pPr>
          </w:p>
        </w:tc>
        <w:tc>
          <w:tcPr>
            <w:tcW w:w="8460" w:type="dxa"/>
            <w:gridSpan w:val="9"/>
            <w:tcBorders>
              <w:top w:val="single" w:sz="4" w:space="0" w:color="auto"/>
              <w:left w:val="nil"/>
              <w:bottom w:val="nil"/>
              <w:right w:val="nil"/>
            </w:tcBorders>
            <w:tcMar>
              <w:top w:w="100" w:type="dxa"/>
              <w:left w:w="100" w:type="dxa"/>
              <w:bottom w:w="100" w:type="dxa"/>
              <w:right w:w="100" w:type="dxa"/>
            </w:tcMar>
            <w:vAlign w:val="center"/>
            <w:hideMark/>
          </w:tcPr>
          <w:p w14:paraId="1437501C"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b/>
                <w:bCs/>
                <w:sz w:val="16"/>
                <w:szCs w:val="16"/>
                <w:lang w:val="en-US"/>
              </w:rPr>
              <w:t>Dung</w:t>
            </w:r>
          </w:p>
        </w:tc>
      </w:tr>
      <w:tr w:rsidR="003E6798" w:rsidRPr="00830954" w14:paraId="05B65DE3" w14:textId="77777777" w:rsidTr="00693E64">
        <w:trPr>
          <w:trHeight w:val="67"/>
          <w:jc w:val="center"/>
        </w:trPr>
        <w:tc>
          <w:tcPr>
            <w:tcW w:w="895" w:type="dxa"/>
            <w:tcBorders>
              <w:top w:val="nil"/>
              <w:left w:val="nil"/>
              <w:bottom w:val="nil"/>
              <w:right w:val="nil"/>
            </w:tcBorders>
            <w:tcMar>
              <w:top w:w="100" w:type="dxa"/>
              <w:left w:w="100" w:type="dxa"/>
              <w:bottom w:w="100" w:type="dxa"/>
              <w:right w:w="100" w:type="dxa"/>
            </w:tcMar>
            <w:vAlign w:val="center"/>
            <w:hideMark/>
          </w:tcPr>
          <w:p w14:paraId="5AFACDF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NG</w:t>
            </w:r>
          </w:p>
        </w:tc>
        <w:tc>
          <w:tcPr>
            <w:tcW w:w="1080" w:type="dxa"/>
            <w:tcBorders>
              <w:top w:val="nil"/>
              <w:left w:val="nil"/>
              <w:bottom w:val="nil"/>
              <w:right w:val="nil"/>
            </w:tcBorders>
            <w:tcMar>
              <w:top w:w="100" w:type="dxa"/>
              <w:left w:w="100" w:type="dxa"/>
              <w:bottom w:w="100" w:type="dxa"/>
              <w:right w:w="100" w:type="dxa"/>
            </w:tcMar>
            <w:vAlign w:val="center"/>
            <w:hideMark/>
          </w:tcPr>
          <w:p w14:paraId="62BD46F0"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155.15</w:t>
            </w:r>
          </w:p>
        </w:tc>
        <w:tc>
          <w:tcPr>
            <w:tcW w:w="1080" w:type="dxa"/>
            <w:tcBorders>
              <w:top w:val="nil"/>
              <w:left w:val="nil"/>
              <w:bottom w:val="nil"/>
              <w:right w:val="nil"/>
            </w:tcBorders>
            <w:tcMar>
              <w:top w:w="100" w:type="dxa"/>
              <w:left w:w="100" w:type="dxa"/>
              <w:bottom w:w="100" w:type="dxa"/>
              <w:right w:w="100" w:type="dxa"/>
            </w:tcMar>
            <w:vAlign w:val="center"/>
            <w:hideMark/>
          </w:tcPr>
          <w:p w14:paraId="125751D6"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6.63</w:t>
            </w:r>
          </w:p>
        </w:tc>
        <w:tc>
          <w:tcPr>
            <w:tcW w:w="855" w:type="dxa"/>
            <w:tcBorders>
              <w:top w:val="nil"/>
              <w:left w:val="nil"/>
              <w:bottom w:val="nil"/>
              <w:right w:val="nil"/>
            </w:tcBorders>
            <w:tcMar>
              <w:top w:w="100" w:type="dxa"/>
              <w:left w:w="100" w:type="dxa"/>
              <w:bottom w:w="100" w:type="dxa"/>
              <w:right w:w="100" w:type="dxa"/>
            </w:tcMar>
            <w:vAlign w:val="center"/>
            <w:hideMark/>
          </w:tcPr>
          <w:p w14:paraId="3AEB40C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549.30</w:t>
            </w:r>
          </w:p>
        </w:tc>
        <w:tc>
          <w:tcPr>
            <w:tcW w:w="765" w:type="dxa"/>
            <w:tcBorders>
              <w:top w:val="nil"/>
              <w:left w:val="nil"/>
              <w:bottom w:val="nil"/>
              <w:right w:val="nil"/>
            </w:tcBorders>
            <w:tcMar>
              <w:top w:w="100" w:type="dxa"/>
              <w:left w:w="100" w:type="dxa"/>
              <w:bottom w:w="100" w:type="dxa"/>
              <w:right w:w="100" w:type="dxa"/>
            </w:tcMar>
            <w:vAlign w:val="center"/>
            <w:hideMark/>
          </w:tcPr>
          <w:p w14:paraId="6E2006E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990" w:type="dxa"/>
            <w:tcBorders>
              <w:top w:val="nil"/>
              <w:left w:val="nil"/>
              <w:bottom w:val="nil"/>
              <w:right w:val="nil"/>
            </w:tcBorders>
            <w:tcMar>
              <w:top w:w="100" w:type="dxa"/>
              <w:left w:w="100" w:type="dxa"/>
              <w:bottom w:w="100" w:type="dxa"/>
              <w:right w:w="100" w:type="dxa"/>
            </w:tcMar>
            <w:vAlign w:val="center"/>
            <w:hideMark/>
          </w:tcPr>
          <w:p w14:paraId="5DB691A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1.79</w:t>
            </w:r>
          </w:p>
        </w:tc>
        <w:tc>
          <w:tcPr>
            <w:tcW w:w="897" w:type="dxa"/>
            <w:tcBorders>
              <w:top w:val="nil"/>
              <w:left w:val="nil"/>
              <w:bottom w:val="nil"/>
              <w:right w:val="nil"/>
            </w:tcBorders>
            <w:tcMar>
              <w:top w:w="100" w:type="dxa"/>
              <w:left w:w="100" w:type="dxa"/>
              <w:bottom w:w="100" w:type="dxa"/>
              <w:right w:w="100" w:type="dxa"/>
            </w:tcMar>
            <w:vAlign w:val="center"/>
            <w:hideMark/>
          </w:tcPr>
          <w:p w14:paraId="3FFDBE1B"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0472EBE0"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154,089.70</w:t>
            </w:r>
          </w:p>
        </w:tc>
        <w:tc>
          <w:tcPr>
            <w:tcW w:w="1530" w:type="dxa"/>
            <w:tcBorders>
              <w:top w:val="nil"/>
              <w:left w:val="nil"/>
              <w:bottom w:val="nil"/>
              <w:right w:val="nil"/>
            </w:tcBorders>
            <w:tcMar>
              <w:top w:w="100" w:type="dxa"/>
              <w:left w:w="100" w:type="dxa"/>
              <w:bottom w:w="100" w:type="dxa"/>
              <w:right w:w="100" w:type="dxa"/>
            </w:tcMar>
            <w:vAlign w:val="center"/>
            <w:hideMark/>
          </w:tcPr>
          <w:p w14:paraId="47CFB097"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503.70</w:t>
            </w:r>
          </w:p>
        </w:tc>
      </w:tr>
      <w:tr w:rsidR="003E6798" w:rsidRPr="00830954" w14:paraId="4C6FFC6A" w14:textId="77777777" w:rsidTr="00693E64">
        <w:trPr>
          <w:trHeight w:val="16"/>
          <w:jc w:val="center"/>
        </w:trPr>
        <w:tc>
          <w:tcPr>
            <w:tcW w:w="895" w:type="dxa"/>
            <w:tcBorders>
              <w:top w:val="nil"/>
              <w:left w:val="nil"/>
              <w:bottom w:val="nil"/>
              <w:right w:val="nil"/>
            </w:tcBorders>
            <w:tcMar>
              <w:top w:w="100" w:type="dxa"/>
              <w:left w:w="100" w:type="dxa"/>
              <w:bottom w:w="100" w:type="dxa"/>
              <w:right w:w="100" w:type="dxa"/>
            </w:tcMar>
            <w:vAlign w:val="center"/>
            <w:hideMark/>
          </w:tcPr>
          <w:p w14:paraId="403C7673"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ING</w:t>
            </w:r>
          </w:p>
        </w:tc>
        <w:tc>
          <w:tcPr>
            <w:tcW w:w="1080" w:type="dxa"/>
            <w:tcBorders>
              <w:top w:val="nil"/>
              <w:left w:val="nil"/>
              <w:bottom w:val="nil"/>
              <w:right w:val="nil"/>
            </w:tcBorders>
            <w:tcMar>
              <w:top w:w="100" w:type="dxa"/>
              <w:left w:w="100" w:type="dxa"/>
              <w:bottom w:w="100" w:type="dxa"/>
              <w:right w:w="100" w:type="dxa"/>
            </w:tcMar>
            <w:vAlign w:val="center"/>
            <w:hideMark/>
          </w:tcPr>
          <w:p w14:paraId="6A990153"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137.59</w:t>
            </w:r>
          </w:p>
        </w:tc>
        <w:tc>
          <w:tcPr>
            <w:tcW w:w="1080" w:type="dxa"/>
            <w:tcBorders>
              <w:top w:val="nil"/>
              <w:left w:val="nil"/>
              <w:bottom w:val="nil"/>
              <w:right w:val="nil"/>
            </w:tcBorders>
            <w:tcMar>
              <w:top w:w="100" w:type="dxa"/>
              <w:left w:w="100" w:type="dxa"/>
              <w:bottom w:w="100" w:type="dxa"/>
              <w:right w:w="100" w:type="dxa"/>
            </w:tcMar>
            <w:vAlign w:val="center"/>
            <w:hideMark/>
          </w:tcPr>
          <w:p w14:paraId="0AD4CE6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7.09</w:t>
            </w:r>
          </w:p>
        </w:tc>
        <w:tc>
          <w:tcPr>
            <w:tcW w:w="855" w:type="dxa"/>
            <w:tcBorders>
              <w:top w:val="nil"/>
              <w:left w:val="nil"/>
              <w:bottom w:val="nil"/>
              <w:right w:val="nil"/>
            </w:tcBorders>
            <w:tcMar>
              <w:top w:w="100" w:type="dxa"/>
              <w:left w:w="100" w:type="dxa"/>
              <w:bottom w:w="100" w:type="dxa"/>
              <w:right w:w="100" w:type="dxa"/>
            </w:tcMar>
            <w:vAlign w:val="center"/>
            <w:hideMark/>
          </w:tcPr>
          <w:p w14:paraId="20FF2BEC"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535.35</w:t>
            </w:r>
          </w:p>
        </w:tc>
        <w:tc>
          <w:tcPr>
            <w:tcW w:w="765" w:type="dxa"/>
            <w:tcBorders>
              <w:top w:val="nil"/>
              <w:left w:val="nil"/>
              <w:bottom w:val="nil"/>
              <w:right w:val="nil"/>
            </w:tcBorders>
            <w:tcMar>
              <w:top w:w="100" w:type="dxa"/>
              <w:left w:w="100" w:type="dxa"/>
              <w:bottom w:w="100" w:type="dxa"/>
              <w:right w:w="100" w:type="dxa"/>
            </w:tcMar>
            <w:vAlign w:val="center"/>
            <w:hideMark/>
          </w:tcPr>
          <w:p w14:paraId="7844C2CA"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990" w:type="dxa"/>
            <w:tcBorders>
              <w:top w:val="nil"/>
              <w:left w:val="nil"/>
              <w:bottom w:val="nil"/>
              <w:right w:val="nil"/>
            </w:tcBorders>
            <w:tcMar>
              <w:top w:w="100" w:type="dxa"/>
              <w:left w:w="100" w:type="dxa"/>
              <w:bottom w:w="100" w:type="dxa"/>
              <w:right w:w="100" w:type="dxa"/>
            </w:tcMar>
            <w:vAlign w:val="center"/>
            <w:hideMark/>
          </w:tcPr>
          <w:p w14:paraId="00F1B93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2.20</w:t>
            </w:r>
          </w:p>
        </w:tc>
        <w:tc>
          <w:tcPr>
            <w:tcW w:w="897" w:type="dxa"/>
            <w:tcBorders>
              <w:top w:val="nil"/>
              <w:left w:val="nil"/>
              <w:bottom w:val="nil"/>
              <w:right w:val="nil"/>
            </w:tcBorders>
            <w:tcMar>
              <w:top w:w="100" w:type="dxa"/>
              <w:left w:w="100" w:type="dxa"/>
              <w:bottom w:w="100" w:type="dxa"/>
              <w:right w:w="100" w:type="dxa"/>
            </w:tcMar>
            <w:vAlign w:val="center"/>
            <w:hideMark/>
          </w:tcPr>
          <w:p w14:paraId="545B5A4E"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4FA44EAF"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133,184.50</w:t>
            </w:r>
          </w:p>
        </w:tc>
        <w:tc>
          <w:tcPr>
            <w:tcW w:w="1530" w:type="dxa"/>
            <w:tcBorders>
              <w:top w:val="nil"/>
              <w:left w:val="nil"/>
              <w:bottom w:val="nil"/>
              <w:right w:val="nil"/>
            </w:tcBorders>
            <w:tcMar>
              <w:top w:w="100" w:type="dxa"/>
              <w:left w:w="100" w:type="dxa"/>
              <w:bottom w:w="100" w:type="dxa"/>
              <w:right w:w="100" w:type="dxa"/>
            </w:tcMar>
            <w:vAlign w:val="center"/>
            <w:hideMark/>
          </w:tcPr>
          <w:p w14:paraId="6D6B678A"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547.68</w:t>
            </w:r>
          </w:p>
        </w:tc>
      </w:tr>
      <w:tr w:rsidR="003E6798" w:rsidRPr="00830954" w14:paraId="2741893E" w14:textId="77777777" w:rsidTr="00693E64">
        <w:trPr>
          <w:trHeight w:val="211"/>
          <w:jc w:val="center"/>
        </w:trPr>
        <w:tc>
          <w:tcPr>
            <w:tcW w:w="895" w:type="dxa"/>
            <w:tcBorders>
              <w:top w:val="nil"/>
              <w:left w:val="nil"/>
              <w:bottom w:val="nil"/>
              <w:right w:val="nil"/>
            </w:tcBorders>
            <w:tcMar>
              <w:top w:w="100" w:type="dxa"/>
              <w:left w:w="100" w:type="dxa"/>
              <w:bottom w:w="100" w:type="dxa"/>
              <w:right w:w="100" w:type="dxa"/>
            </w:tcMar>
            <w:vAlign w:val="center"/>
            <w:hideMark/>
          </w:tcPr>
          <w:p w14:paraId="7F333BE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PP</w:t>
            </w:r>
          </w:p>
        </w:tc>
        <w:tc>
          <w:tcPr>
            <w:tcW w:w="1080" w:type="dxa"/>
            <w:tcBorders>
              <w:top w:val="nil"/>
              <w:left w:val="nil"/>
              <w:bottom w:val="nil"/>
              <w:right w:val="nil"/>
            </w:tcBorders>
            <w:tcMar>
              <w:top w:w="100" w:type="dxa"/>
              <w:left w:w="100" w:type="dxa"/>
              <w:bottom w:w="100" w:type="dxa"/>
              <w:right w:w="100" w:type="dxa"/>
            </w:tcMar>
            <w:vAlign w:val="center"/>
            <w:hideMark/>
          </w:tcPr>
          <w:p w14:paraId="6B8E2578"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125.57</w:t>
            </w:r>
          </w:p>
        </w:tc>
        <w:tc>
          <w:tcPr>
            <w:tcW w:w="1080" w:type="dxa"/>
            <w:tcBorders>
              <w:top w:val="nil"/>
              <w:left w:val="nil"/>
              <w:bottom w:val="nil"/>
              <w:right w:val="nil"/>
            </w:tcBorders>
            <w:tcMar>
              <w:top w:w="100" w:type="dxa"/>
              <w:left w:w="100" w:type="dxa"/>
              <w:bottom w:w="100" w:type="dxa"/>
              <w:right w:w="100" w:type="dxa"/>
            </w:tcMar>
            <w:vAlign w:val="center"/>
            <w:hideMark/>
          </w:tcPr>
          <w:p w14:paraId="474065E7"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7.05</w:t>
            </w:r>
          </w:p>
        </w:tc>
        <w:tc>
          <w:tcPr>
            <w:tcW w:w="855" w:type="dxa"/>
            <w:tcBorders>
              <w:top w:val="nil"/>
              <w:left w:val="nil"/>
              <w:bottom w:val="nil"/>
              <w:right w:val="nil"/>
            </w:tcBorders>
            <w:tcMar>
              <w:top w:w="100" w:type="dxa"/>
              <w:left w:w="100" w:type="dxa"/>
              <w:bottom w:w="100" w:type="dxa"/>
              <w:right w:w="100" w:type="dxa"/>
            </w:tcMar>
            <w:vAlign w:val="center"/>
            <w:hideMark/>
          </w:tcPr>
          <w:p w14:paraId="0C922BC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507.29</w:t>
            </w:r>
          </w:p>
        </w:tc>
        <w:tc>
          <w:tcPr>
            <w:tcW w:w="765" w:type="dxa"/>
            <w:tcBorders>
              <w:top w:val="nil"/>
              <w:left w:val="nil"/>
              <w:bottom w:val="nil"/>
              <w:right w:val="nil"/>
            </w:tcBorders>
            <w:tcMar>
              <w:top w:w="100" w:type="dxa"/>
              <w:left w:w="100" w:type="dxa"/>
              <w:bottom w:w="100" w:type="dxa"/>
              <w:right w:w="100" w:type="dxa"/>
            </w:tcMar>
            <w:vAlign w:val="center"/>
            <w:hideMark/>
          </w:tcPr>
          <w:p w14:paraId="5EA566F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990" w:type="dxa"/>
            <w:tcBorders>
              <w:top w:val="nil"/>
              <w:left w:val="nil"/>
              <w:bottom w:val="nil"/>
              <w:right w:val="nil"/>
            </w:tcBorders>
            <w:tcMar>
              <w:top w:w="100" w:type="dxa"/>
              <w:left w:w="100" w:type="dxa"/>
              <w:bottom w:w="100" w:type="dxa"/>
              <w:right w:w="100" w:type="dxa"/>
            </w:tcMar>
            <w:vAlign w:val="center"/>
            <w:hideMark/>
          </w:tcPr>
          <w:p w14:paraId="0A6C52D3"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2.15</w:t>
            </w:r>
          </w:p>
        </w:tc>
        <w:tc>
          <w:tcPr>
            <w:tcW w:w="897" w:type="dxa"/>
            <w:tcBorders>
              <w:top w:val="nil"/>
              <w:left w:val="nil"/>
              <w:bottom w:val="nil"/>
              <w:right w:val="nil"/>
            </w:tcBorders>
            <w:tcMar>
              <w:top w:w="100" w:type="dxa"/>
              <w:left w:w="100" w:type="dxa"/>
              <w:bottom w:w="100" w:type="dxa"/>
              <w:right w:w="100" w:type="dxa"/>
            </w:tcMar>
            <w:vAlign w:val="center"/>
            <w:hideMark/>
          </w:tcPr>
          <w:p w14:paraId="78B21F7F"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646F49D7"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115,181.70</w:t>
            </w:r>
          </w:p>
        </w:tc>
        <w:tc>
          <w:tcPr>
            <w:tcW w:w="1530" w:type="dxa"/>
            <w:tcBorders>
              <w:top w:val="nil"/>
              <w:left w:val="nil"/>
              <w:bottom w:val="nil"/>
              <w:right w:val="nil"/>
            </w:tcBorders>
            <w:tcMar>
              <w:top w:w="100" w:type="dxa"/>
              <w:left w:w="100" w:type="dxa"/>
              <w:bottom w:w="100" w:type="dxa"/>
              <w:right w:w="100" w:type="dxa"/>
            </w:tcMar>
            <w:vAlign w:val="center"/>
            <w:hideMark/>
          </w:tcPr>
          <w:p w14:paraId="1C709CF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488.72</w:t>
            </w:r>
          </w:p>
        </w:tc>
      </w:tr>
      <w:tr w:rsidR="003E6798" w:rsidRPr="00830954" w14:paraId="5306E3B5" w14:textId="77777777" w:rsidTr="00693E64">
        <w:trPr>
          <w:trHeight w:val="16"/>
          <w:jc w:val="center"/>
        </w:trPr>
        <w:tc>
          <w:tcPr>
            <w:tcW w:w="895" w:type="dxa"/>
            <w:tcBorders>
              <w:top w:val="nil"/>
              <w:left w:val="nil"/>
              <w:bottom w:val="nil"/>
              <w:right w:val="nil"/>
            </w:tcBorders>
            <w:tcMar>
              <w:top w:w="100" w:type="dxa"/>
              <w:left w:w="100" w:type="dxa"/>
              <w:bottom w:w="100" w:type="dxa"/>
              <w:right w:w="100" w:type="dxa"/>
            </w:tcMar>
            <w:vAlign w:val="center"/>
            <w:hideMark/>
          </w:tcPr>
          <w:p w14:paraId="183AD223"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AP</w:t>
            </w:r>
          </w:p>
        </w:tc>
        <w:tc>
          <w:tcPr>
            <w:tcW w:w="1080" w:type="dxa"/>
            <w:tcBorders>
              <w:top w:val="nil"/>
              <w:left w:val="nil"/>
              <w:bottom w:val="nil"/>
              <w:right w:val="nil"/>
            </w:tcBorders>
            <w:tcMar>
              <w:top w:w="100" w:type="dxa"/>
              <w:left w:w="100" w:type="dxa"/>
              <w:bottom w:w="100" w:type="dxa"/>
              <w:right w:w="100" w:type="dxa"/>
            </w:tcMar>
            <w:vAlign w:val="center"/>
            <w:hideMark/>
          </w:tcPr>
          <w:p w14:paraId="239C4E8D"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128.80</w:t>
            </w:r>
          </w:p>
        </w:tc>
        <w:tc>
          <w:tcPr>
            <w:tcW w:w="1080" w:type="dxa"/>
            <w:tcBorders>
              <w:top w:val="nil"/>
              <w:left w:val="nil"/>
              <w:bottom w:val="nil"/>
              <w:right w:val="nil"/>
            </w:tcBorders>
            <w:tcMar>
              <w:top w:w="100" w:type="dxa"/>
              <w:left w:w="100" w:type="dxa"/>
              <w:bottom w:w="100" w:type="dxa"/>
              <w:right w:w="100" w:type="dxa"/>
            </w:tcMar>
            <w:vAlign w:val="center"/>
            <w:hideMark/>
          </w:tcPr>
          <w:p w14:paraId="3E7E35CA"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7.01</w:t>
            </w:r>
          </w:p>
        </w:tc>
        <w:tc>
          <w:tcPr>
            <w:tcW w:w="855" w:type="dxa"/>
            <w:tcBorders>
              <w:top w:val="nil"/>
              <w:left w:val="nil"/>
              <w:bottom w:val="nil"/>
              <w:right w:val="nil"/>
            </w:tcBorders>
            <w:tcMar>
              <w:top w:w="100" w:type="dxa"/>
              <w:left w:w="100" w:type="dxa"/>
              <w:bottom w:w="100" w:type="dxa"/>
              <w:right w:w="100" w:type="dxa"/>
            </w:tcMar>
            <w:vAlign w:val="center"/>
            <w:hideMark/>
          </w:tcPr>
          <w:p w14:paraId="0AE25390"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529.22</w:t>
            </w:r>
          </w:p>
        </w:tc>
        <w:tc>
          <w:tcPr>
            <w:tcW w:w="765" w:type="dxa"/>
            <w:tcBorders>
              <w:top w:val="nil"/>
              <w:left w:val="nil"/>
              <w:bottom w:val="nil"/>
              <w:right w:val="nil"/>
            </w:tcBorders>
            <w:tcMar>
              <w:top w:w="100" w:type="dxa"/>
              <w:left w:w="100" w:type="dxa"/>
              <w:bottom w:w="100" w:type="dxa"/>
              <w:right w:w="100" w:type="dxa"/>
            </w:tcMar>
            <w:vAlign w:val="center"/>
            <w:hideMark/>
          </w:tcPr>
          <w:p w14:paraId="27AC723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990" w:type="dxa"/>
            <w:tcBorders>
              <w:top w:val="nil"/>
              <w:left w:val="nil"/>
              <w:bottom w:val="nil"/>
              <w:right w:val="nil"/>
            </w:tcBorders>
            <w:tcMar>
              <w:top w:w="100" w:type="dxa"/>
              <w:left w:w="100" w:type="dxa"/>
              <w:bottom w:w="100" w:type="dxa"/>
              <w:right w:w="100" w:type="dxa"/>
            </w:tcMar>
            <w:vAlign w:val="center"/>
            <w:hideMark/>
          </w:tcPr>
          <w:p w14:paraId="1DA7471C"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2.22</w:t>
            </w:r>
          </w:p>
        </w:tc>
        <w:tc>
          <w:tcPr>
            <w:tcW w:w="897" w:type="dxa"/>
            <w:tcBorders>
              <w:top w:val="nil"/>
              <w:left w:val="nil"/>
              <w:bottom w:val="nil"/>
              <w:right w:val="nil"/>
            </w:tcBorders>
            <w:tcMar>
              <w:top w:w="100" w:type="dxa"/>
              <w:left w:w="100" w:type="dxa"/>
              <w:bottom w:w="100" w:type="dxa"/>
              <w:right w:w="100" w:type="dxa"/>
            </w:tcMar>
            <w:vAlign w:val="center"/>
            <w:hideMark/>
          </w:tcPr>
          <w:p w14:paraId="355FB27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334D9EE0"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123,249.80</w:t>
            </w:r>
          </w:p>
        </w:tc>
        <w:tc>
          <w:tcPr>
            <w:tcW w:w="1530" w:type="dxa"/>
            <w:tcBorders>
              <w:top w:val="nil"/>
              <w:left w:val="nil"/>
              <w:bottom w:val="nil"/>
              <w:right w:val="nil"/>
            </w:tcBorders>
            <w:tcMar>
              <w:top w:w="100" w:type="dxa"/>
              <w:left w:w="100" w:type="dxa"/>
              <w:bottom w:w="100" w:type="dxa"/>
              <w:right w:w="100" w:type="dxa"/>
            </w:tcMar>
            <w:vAlign w:val="center"/>
            <w:hideMark/>
          </w:tcPr>
          <w:p w14:paraId="43D4BA96"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517.43</w:t>
            </w:r>
          </w:p>
        </w:tc>
      </w:tr>
      <w:tr w:rsidR="003E6798" w:rsidRPr="00830954" w14:paraId="39E22C2A" w14:textId="77777777" w:rsidTr="00693E64">
        <w:trPr>
          <w:trHeight w:val="16"/>
          <w:jc w:val="center"/>
        </w:trPr>
        <w:tc>
          <w:tcPr>
            <w:tcW w:w="895" w:type="dxa"/>
            <w:tcBorders>
              <w:top w:val="nil"/>
              <w:left w:val="nil"/>
              <w:bottom w:val="nil"/>
              <w:right w:val="nil"/>
            </w:tcBorders>
            <w:tcMar>
              <w:top w:w="100" w:type="dxa"/>
              <w:left w:w="100" w:type="dxa"/>
              <w:bottom w:w="100" w:type="dxa"/>
              <w:right w:w="100" w:type="dxa"/>
            </w:tcMar>
            <w:vAlign w:val="center"/>
            <w:hideMark/>
          </w:tcPr>
          <w:p w14:paraId="4A5A8114" w14:textId="77777777" w:rsidR="003E6798" w:rsidRPr="00830954" w:rsidRDefault="003E6798" w:rsidP="00693E64">
            <w:pPr>
              <w:spacing w:line="360" w:lineRule="auto"/>
              <w:jc w:val="center"/>
              <w:rPr>
                <w:rFonts w:ascii="Arial" w:hAnsi="Arial" w:cs="Arial"/>
                <w:sz w:val="16"/>
                <w:szCs w:val="16"/>
                <w:lang w:val="en-US"/>
              </w:rPr>
            </w:pPr>
          </w:p>
        </w:tc>
        <w:tc>
          <w:tcPr>
            <w:tcW w:w="8460" w:type="dxa"/>
            <w:gridSpan w:val="9"/>
            <w:tcBorders>
              <w:top w:val="nil"/>
              <w:left w:val="nil"/>
              <w:bottom w:val="nil"/>
              <w:right w:val="nil"/>
            </w:tcBorders>
            <w:tcMar>
              <w:top w:w="100" w:type="dxa"/>
              <w:left w:w="100" w:type="dxa"/>
              <w:bottom w:w="100" w:type="dxa"/>
              <w:right w:w="100" w:type="dxa"/>
            </w:tcMar>
            <w:vAlign w:val="center"/>
            <w:hideMark/>
          </w:tcPr>
          <w:p w14:paraId="0D16AC71"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b/>
                <w:bCs/>
                <w:sz w:val="16"/>
                <w:szCs w:val="16"/>
                <w:lang w:val="en-US"/>
              </w:rPr>
              <w:t>Urine</w:t>
            </w:r>
          </w:p>
        </w:tc>
      </w:tr>
      <w:tr w:rsidR="003E6798" w:rsidRPr="00830954" w14:paraId="4A0D9C49" w14:textId="77777777" w:rsidTr="00693E64">
        <w:trPr>
          <w:trHeight w:val="22"/>
          <w:jc w:val="center"/>
        </w:trPr>
        <w:tc>
          <w:tcPr>
            <w:tcW w:w="895" w:type="dxa"/>
            <w:tcBorders>
              <w:top w:val="nil"/>
              <w:left w:val="nil"/>
              <w:bottom w:val="nil"/>
              <w:right w:val="nil"/>
            </w:tcBorders>
            <w:tcMar>
              <w:top w:w="100" w:type="dxa"/>
              <w:left w:w="100" w:type="dxa"/>
              <w:bottom w:w="100" w:type="dxa"/>
              <w:right w:w="100" w:type="dxa"/>
            </w:tcMar>
            <w:vAlign w:val="center"/>
            <w:hideMark/>
          </w:tcPr>
          <w:p w14:paraId="34C51B2E"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NG</w:t>
            </w:r>
          </w:p>
        </w:tc>
        <w:tc>
          <w:tcPr>
            <w:tcW w:w="1080" w:type="dxa"/>
            <w:tcBorders>
              <w:top w:val="nil"/>
              <w:left w:val="nil"/>
              <w:bottom w:val="nil"/>
              <w:right w:val="nil"/>
            </w:tcBorders>
            <w:tcMar>
              <w:top w:w="100" w:type="dxa"/>
              <w:left w:w="100" w:type="dxa"/>
              <w:bottom w:w="100" w:type="dxa"/>
              <w:right w:w="100" w:type="dxa"/>
            </w:tcMar>
            <w:vAlign w:val="center"/>
            <w:hideMark/>
          </w:tcPr>
          <w:p w14:paraId="08B077F9"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w:t>
            </w:r>
          </w:p>
        </w:tc>
        <w:tc>
          <w:tcPr>
            <w:tcW w:w="1080" w:type="dxa"/>
            <w:tcBorders>
              <w:top w:val="nil"/>
              <w:left w:val="nil"/>
              <w:bottom w:val="nil"/>
              <w:right w:val="nil"/>
            </w:tcBorders>
            <w:tcMar>
              <w:top w:w="100" w:type="dxa"/>
              <w:left w:w="100" w:type="dxa"/>
              <w:bottom w:w="100" w:type="dxa"/>
              <w:right w:w="100" w:type="dxa"/>
            </w:tcMar>
            <w:vAlign w:val="center"/>
            <w:hideMark/>
          </w:tcPr>
          <w:p w14:paraId="74F75123"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8.08</w:t>
            </w:r>
          </w:p>
        </w:tc>
        <w:tc>
          <w:tcPr>
            <w:tcW w:w="855" w:type="dxa"/>
            <w:tcBorders>
              <w:top w:val="nil"/>
              <w:left w:val="nil"/>
              <w:bottom w:val="nil"/>
              <w:right w:val="nil"/>
            </w:tcBorders>
            <w:tcMar>
              <w:top w:w="100" w:type="dxa"/>
              <w:left w:w="100" w:type="dxa"/>
              <w:bottom w:w="100" w:type="dxa"/>
              <w:right w:w="100" w:type="dxa"/>
            </w:tcMar>
            <w:vAlign w:val="center"/>
            <w:hideMark/>
          </w:tcPr>
          <w:p w14:paraId="4EF0A91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765" w:type="dxa"/>
            <w:tcBorders>
              <w:top w:val="nil"/>
              <w:left w:val="nil"/>
              <w:bottom w:val="nil"/>
              <w:right w:val="nil"/>
            </w:tcBorders>
            <w:tcMar>
              <w:top w:w="100" w:type="dxa"/>
              <w:left w:w="100" w:type="dxa"/>
              <w:bottom w:w="100" w:type="dxa"/>
              <w:right w:w="100" w:type="dxa"/>
            </w:tcMar>
            <w:vAlign w:val="center"/>
            <w:hideMark/>
          </w:tcPr>
          <w:p w14:paraId="0192ED0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18.64</w:t>
            </w:r>
          </w:p>
        </w:tc>
        <w:tc>
          <w:tcPr>
            <w:tcW w:w="990" w:type="dxa"/>
            <w:tcBorders>
              <w:top w:val="nil"/>
              <w:left w:val="nil"/>
              <w:bottom w:val="nil"/>
              <w:right w:val="nil"/>
            </w:tcBorders>
            <w:tcMar>
              <w:top w:w="100" w:type="dxa"/>
              <w:left w:w="100" w:type="dxa"/>
              <w:bottom w:w="100" w:type="dxa"/>
              <w:right w:w="100" w:type="dxa"/>
            </w:tcMar>
            <w:vAlign w:val="center"/>
            <w:hideMark/>
          </w:tcPr>
          <w:p w14:paraId="7C9C2F6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897" w:type="dxa"/>
            <w:tcBorders>
              <w:top w:val="nil"/>
              <w:left w:val="nil"/>
              <w:bottom w:val="nil"/>
              <w:right w:val="nil"/>
            </w:tcBorders>
            <w:tcMar>
              <w:top w:w="100" w:type="dxa"/>
              <w:left w:w="100" w:type="dxa"/>
              <w:bottom w:w="100" w:type="dxa"/>
              <w:right w:w="100" w:type="dxa"/>
            </w:tcMar>
            <w:vAlign w:val="center"/>
            <w:hideMark/>
          </w:tcPr>
          <w:p w14:paraId="0ED3B16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0.43</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6A489A5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898.69</w:t>
            </w:r>
          </w:p>
        </w:tc>
        <w:tc>
          <w:tcPr>
            <w:tcW w:w="1530" w:type="dxa"/>
            <w:tcBorders>
              <w:top w:val="nil"/>
              <w:left w:val="nil"/>
              <w:bottom w:val="nil"/>
              <w:right w:val="nil"/>
            </w:tcBorders>
            <w:tcMar>
              <w:top w:w="100" w:type="dxa"/>
              <w:left w:w="100" w:type="dxa"/>
              <w:bottom w:w="100" w:type="dxa"/>
              <w:right w:w="100" w:type="dxa"/>
            </w:tcMar>
            <w:vAlign w:val="center"/>
            <w:hideMark/>
          </w:tcPr>
          <w:p w14:paraId="7E562670"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21.02</w:t>
            </w:r>
          </w:p>
        </w:tc>
      </w:tr>
      <w:tr w:rsidR="003E6798" w:rsidRPr="00830954" w14:paraId="4E63D929" w14:textId="77777777" w:rsidTr="00693E64">
        <w:trPr>
          <w:trHeight w:val="121"/>
          <w:jc w:val="center"/>
        </w:trPr>
        <w:tc>
          <w:tcPr>
            <w:tcW w:w="895" w:type="dxa"/>
            <w:tcBorders>
              <w:top w:val="nil"/>
              <w:left w:val="nil"/>
              <w:bottom w:val="nil"/>
              <w:right w:val="nil"/>
            </w:tcBorders>
            <w:tcMar>
              <w:top w:w="100" w:type="dxa"/>
              <w:left w:w="100" w:type="dxa"/>
              <w:bottom w:w="100" w:type="dxa"/>
              <w:right w:w="100" w:type="dxa"/>
            </w:tcMar>
            <w:vAlign w:val="center"/>
            <w:hideMark/>
          </w:tcPr>
          <w:p w14:paraId="07317144"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ING</w:t>
            </w:r>
          </w:p>
        </w:tc>
        <w:tc>
          <w:tcPr>
            <w:tcW w:w="1080" w:type="dxa"/>
            <w:tcBorders>
              <w:top w:val="nil"/>
              <w:left w:val="nil"/>
              <w:bottom w:val="nil"/>
              <w:right w:val="nil"/>
            </w:tcBorders>
            <w:tcMar>
              <w:top w:w="100" w:type="dxa"/>
              <w:left w:w="100" w:type="dxa"/>
              <w:bottom w:w="100" w:type="dxa"/>
              <w:right w:w="100" w:type="dxa"/>
            </w:tcMar>
            <w:vAlign w:val="center"/>
            <w:hideMark/>
          </w:tcPr>
          <w:p w14:paraId="0ED301E4"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w:t>
            </w:r>
          </w:p>
        </w:tc>
        <w:tc>
          <w:tcPr>
            <w:tcW w:w="1080" w:type="dxa"/>
            <w:tcBorders>
              <w:top w:val="nil"/>
              <w:left w:val="nil"/>
              <w:bottom w:val="nil"/>
              <w:right w:val="nil"/>
            </w:tcBorders>
            <w:tcMar>
              <w:top w:w="100" w:type="dxa"/>
              <w:left w:w="100" w:type="dxa"/>
              <w:bottom w:w="100" w:type="dxa"/>
              <w:right w:w="100" w:type="dxa"/>
            </w:tcMar>
            <w:vAlign w:val="center"/>
            <w:hideMark/>
          </w:tcPr>
          <w:p w14:paraId="4FFC468B"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8.08</w:t>
            </w:r>
          </w:p>
        </w:tc>
        <w:tc>
          <w:tcPr>
            <w:tcW w:w="855" w:type="dxa"/>
            <w:tcBorders>
              <w:top w:val="nil"/>
              <w:left w:val="nil"/>
              <w:bottom w:val="nil"/>
              <w:right w:val="nil"/>
            </w:tcBorders>
            <w:tcMar>
              <w:top w:w="100" w:type="dxa"/>
              <w:left w:w="100" w:type="dxa"/>
              <w:bottom w:w="100" w:type="dxa"/>
              <w:right w:w="100" w:type="dxa"/>
            </w:tcMar>
            <w:vAlign w:val="center"/>
            <w:hideMark/>
          </w:tcPr>
          <w:p w14:paraId="1C2B1D9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765" w:type="dxa"/>
            <w:tcBorders>
              <w:top w:val="nil"/>
              <w:left w:val="nil"/>
              <w:bottom w:val="nil"/>
              <w:right w:val="nil"/>
            </w:tcBorders>
            <w:tcMar>
              <w:top w:w="100" w:type="dxa"/>
              <w:left w:w="100" w:type="dxa"/>
              <w:bottom w:w="100" w:type="dxa"/>
              <w:right w:w="100" w:type="dxa"/>
            </w:tcMar>
            <w:vAlign w:val="center"/>
            <w:hideMark/>
          </w:tcPr>
          <w:p w14:paraId="3D1BBEB7"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5.26</w:t>
            </w:r>
          </w:p>
        </w:tc>
        <w:tc>
          <w:tcPr>
            <w:tcW w:w="990" w:type="dxa"/>
            <w:tcBorders>
              <w:top w:val="nil"/>
              <w:left w:val="nil"/>
              <w:bottom w:val="nil"/>
              <w:right w:val="nil"/>
            </w:tcBorders>
            <w:tcMar>
              <w:top w:w="100" w:type="dxa"/>
              <w:left w:w="100" w:type="dxa"/>
              <w:bottom w:w="100" w:type="dxa"/>
              <w:right w:w="100" w:type="dxa"/>
            </w:tcMar>
            <w:vAlign w:val="center"/>
            <w:hideMark/>
          </w:tcPr>
          <w:p w14:paraId="6C70528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897" w:type="dxa"/>
            <w:tcBorders>
              <w:top w:val="nil"/>
              <w:left w:val="nil"/>
              <w:bottom w:val="nil"/>
              <w:right w:val="nil"/>
            </w:tcBorders>
            <w:tcMar>
              <w:top w:w="100" w:type="dxa"/>
              <w:left w:w="100" w:type="dxa"/>
              <w:bottom w:w="100" w:type="dxa"/>
              <w:right w:w="100" w:type="dxa"/>
            </w:tcMar>
            <w:vAlign w:val="center"/>
            <w:hideMark/>
          </w:tcPr>
          <w:p w14:paraId="2C1B4CBA"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0.15</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2E5B584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253.60</w:t>
            </w:r>
          </w:p>
        </w:tc>
        <w:tc>
          <w:tcPr>
            <w:tcW w:w="1530" w:type="dxa"/>
            <w:tcBorders>
              <w:top w:val="nil"/>
              <w:left w:val="nil"/>
              <w:bottom w:val="nil"/>
              <w:right w:val="nil"/>
            </w:tcBorders>
            <w:tcMar>
              <w:top w:w="100" w:type="dxa"/>
              <w:left w:w="100" w:type="dxa"/>
              <w:bottom w:w="100" w:type="dxa"/>
              <w:right w:w="100" w:type="dxa"/>
            </w:tcMar>
            <w:vAlign w:val="center"/>
            <w:hideMark/>
          </w:tcPr>
          <w:p w14:paraId="0155A9E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7.49</w:t>
            </w:r>
          </w:p>
        </w:tc>
      </w:tr>
      <w:tr w:rsidR="003E6798" w:rsidRPr="00830954" w14:paraId="439AB38A" w14:textId="77777777" w:rsidTr="00693E64">
        <w:trPr>
          <w:trHeight w:val="16"/>
          <w:jc w:val="center"/>
        </w:trPr>
        <w:tc>
          <w:tcPr>
            <w:tcW w:w="895" w:type="dxa"/>
            <w:tcBorders>
              <w:top w:val="nil"/>
              <w:left w:val="nil"/>
              <w:bottom w:val="nil"/>
              <w:right w:val="nil"/>
            </w:tcBorders>
            <w:tcMar>
              <w:top w:w="100" w:type="dxa"/>
              <w:left w:w="100" w:type="dxa"/>
              <w:bottom w:w="100" w:type="dxa"/>
              <w:right w:w="100" w:type="dxa"/>
            </w:tcMar>
            <w:vAlign w:val="center"/>
            <w:hideMark/>
          </w:tcPr>
          <w:p w14:paraId="678ED65B"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PP</w:t>
            </w:r>
          </w:p>
        </w:tc>
        <w:tc>
          <w:tcPr>
            <w:tcW w:w="1080" w:type="dxa"/>
            <w:tcBorders>
              <w:top w:val="nil"/>
              <w:left w:val="nil"/>
              <w:bottom w:val="nil"/>
              <w:right w:val="nil"/>
            </w:tcBorders>
            <w:tcMar>
              <w:top w:w="100" w:type="dxa"/>
              <w:left w:w="100" w:type="dxa"/>
              <w:bottom w:w="100" w:type="dxa"/>
              <w:right w:w="100" w:type="dxa"/>
            </w:tcMar>
            <w:vAlign w:val="center"/>
            <w:hideMark/>
          </w:tcPr>
          <w:p w14:paraId="6DC24BE7"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w:t>
            </w:r>
          </w:p>
        </w:tc>
        <w:tc>
          <w:tcPr>
            <w:tcW w:w="1080" w:type="dxa"/>
            <w:tcBorders>
              <w:top w:val="nil"/>
              <w:left w:val="nil"/>
              <w:bottom w:val="nil"/>
              <w:right w:val="nil"/>
            </w:tcBorders>
            <w:tcMar>
              <w:top w:w="100" w:type="dxa"/>
              <w:left w:w="100" w:type="dxa"/>
              <w:bottom w:w="100" w:type="dxa"/>
              <w:right w:w="100" w:type="dxa"/>
            </w:tcMar>
            <w:vAlign w:val="center"/>
            <w:hideMark/>
          </w:tcPr>
          <w:p w14:paraId="51E6DDDE"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8.36</w:t>
            </w:r>
          </w:p>
        </w:tc>
        <w:tc>
          <w:tcPr>
            <w:tcW w:w="855" w:type="dxa"/>
            <w:tcBorders>
              <w:top w:val="nil"/>
              <w:left w:val="nil"/>
              <w:bottom w:val="nil"/>
              <w:right w:val="nil"/>
            </w:tcBorders>
            <w:tcMar>
              <w:top w:w="100" w:type="dxa"/>
              <w:left w:w="100" w:type="dxa"/>
              <w:bottom w:w="100" w:type="dxa"/>
              <w:right w:w="100" w:type="dxa"/>
            </w:tcMar>
            <w:vAlign w:val="center"/>
            <w:hideMark/>
          </w:tcPr>
          <w:p w14:paraId="20DA7EB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765" w:type="dxa"/>
            <w:tcBorders>
              <w:top w:val="nil"/>
              <w:left w:val="nil"/>
              <w:bottom w:val="nil"/>
              <w:right w:val="nil"/>
            </w:tcBorders>
            <w:tcMar>
              <w:top w:w="100" w:type="dxa"/>
              <w:left w:w="100" w:type="dxa"/>
              <w:bottom w:w="100" w:type="dxa"/>
              <w:right w:w="100" w:type="dxa"/>
            </w:tcMar>
            <w:vAlign w:val="center"/>
            <w:hideMark/>
          </w:tcPr>
          <w:p w14:paraId="793C0FF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7.39</w:t>
            </w:r>
          </w:p>
        </w:tc>
        <w:tc>
          <w:tcPr>
            <w:tcW w:w="990" w:type="dxa"/>
            <w:tcBorders>
              <w:top w:val="nil"/>
              <w:left w:val="nil"/>
              <w:bottom w:val="nil"/>
              <w:right w:val="nil"/>
            </w:tcBorders>
            <w:tcMar>
              <w:top w:w="100" w:type="dxa"/>
              <w:left w:w="100" w:type="dxa"/>
              <w:bottom w:w="100" w:type="dxa"/>
              <w:right w:w="100" w:type="dxa"/>
            </w:tcMar>
            <w:vAlign w:val="center"/>
            <w:hideMark/>
          </w:tcPr>
          <w:p w14:paraId="103E512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897" w:type="dxa"/>
            <w:tcBorders>
              <w:top w:val="nil"/>
              <w:left w:val="nil"/>
              <w:bottom w:val="nil"/>
              <w:right w:val="nil"/>
            </w:tcBorders>
            <w:tcMar>
              <w:top w:w="100" w:type="dxa"/>
              <w:left w:w="100" w:type="dxa"/>
              <w:bottom w:w="100" w:type="dxa"/>
              <w:right w:w="100" w:type="dxa"/>
            </w:tcMar>
            <w:vAlign w:val="center"/>
            <w:hideMark/>
          </w:tcPr>
          <w:p w14:paraId="41BB07F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0.25</w:t>
            </w:r>
          </w:p>
        </w:tc>
        <w:tc>
          <w:tcPr>
            <w:tcW w:w="1263" w:type="dxa"/>
            <w:gridSpan w:val="2"/>
            <w:tcBorders>
              <w:top w:val="nil"/>
              <w:left w:val="nil"/>
              <w:bottom w:val="nil"/>
              <w:right w:val="nil"/>
            </w:tcBorders>
            <w:tcMar>
              <w:top w:w="100" w:type="dxa"/>
              <w:left w:w="100" w:type="dxa"/>
              <w:bottom w:w="100" w:type="dxa"/>
              <w:right w:w="100" w:type="dxa"/>
            </w:tcMar>
            <w:vAlign w:val="center"/>
            <w:hideMark/>
          </w:tcPr>
          <w:p w14:paraId="3F2DC30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356.09</w:t>
            </w:r>
          </w:p>
        </w:tc>
        <w:tc>
          <w:tcPr>
            <w:tcW w:w="1530" w:type="dxa"/>
            <w:tcBorders>
              <w:top w:val="nil"/>
              <w:left w:val="nil"/>
              <w:bottom w:val="nil"/>
              <w:right w:val="nil"/>
            </w:tcBorders>
            <w:tcMar>
              <w:top w:w="100" w:type="dxa"/>
              <w:left w:w="100" w:type="dxa"/>
              <w:bottom w:w="100" w:type="dxa"/>
              <w:right w:w="100" w:type="dxa"/>
            </w:tcMar>
            <w:vAlign w:val="center"/>
            <w:hideMark/>
          </w:tcPr>
          <w:p w14:paraId="599EFE9D"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12.21</w:t>
            </w:r>
          </w:p>
        </w:tc>
      </w:tr>
      <w:tr w:rsidR="003E6798" w:rsidRPr="00830954" w14:paraId="795E1EBF" w14:textId="77777777" w:rsidTr="00693E64">
        <w:trPr>
          <w:trHeight w:val="16"/>
          <w:jc w:val="center"/>
        </w:trPr>
        <w:tc>
          <w:tcPr>
            <w:tcW w:w="895" w:type="dxa"/>
            <w:tcBorders>
              <w:top w:val="nil"/>
              <w:left w:val="nil"/>
              <w:bottom w:val="single" w:sz="4" w:space="0" w:color="auto"/>
              <w:right w:val="nil"/>
            </w:tcBorders>
            <w:tcMar>
              <w:top w:w="100" w:type="dxa"/>
              <w:left w:w="100" w:type="dxa"/>
              <w:bottom w:w="100" w:type="dxa"/>
              <w:right w:w="100" w:type="dxa"/>
            </w:tcMar>
            <w:vAlign w:val="center"/>
            <w:hideMark/>
          </w:tcPr>
          <w:p w14:paraId="20E67B31"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b/>
                <w:bCs/>
                <w:sz w:val="16"/>
                <w:szCs w:val="16"/>
                <w:lang w:val="en-US"/>
              </w:rPr>
              <w:t>AP</w:t>
            </w:r>
          </w:p>
        </w:tc>
        <w:tc>
          <w:tcPr>
            <w:tcW w:w="1080" w:type="dxa"/>
            <w:tcBorders>
              <w:top w:val="nil"/>
              <w:left w:val="nil"/>
              <w:bottom w:val="single" w:sz="4" w:space="0" w:color="auto"/>
              <w:right w:val="nil"/>
            </w:tcBorders>
            <w:tcMar>
              <w:top w:w="100" w:type="dxa"/>
              <w:left w:w="100" w:type="dxa"/>
              <w:bottom w:w="100" w:type="dxa"/>
              <w:right w:w="100" w:type="dxa"/>
            </w:tcMar>
            <w:vAlign w:val="center"/>
            <w:hideMark/>
          </w:tcPr>
          <w:p w14:paraId="4510DA45" w14:textId="77777777" w:rsidR="003E6798" w:rsidRPr="00830954" w:rsidRDefault="003E6798" w:rsidP="00693E64">
            <w:pPr>
              <w:spacing w:line="360" w:lineRule="auto"/>
              <w:ind w:left="-73"/>
              <w:jc w:val="center"/>
              <w:rPr>
                <w:rFonts w:ascii="Arial" w:hAnsi="Arial" w:cs="Arial"/>
                <w:sz w:val="16"/>
                <w:szCs w:val="16"/>
                <w:lang w:val="en-US"/>
              </w:rPr>
            </w:pPr>
            <w:r w:rsidRPr="00830954">
              <w:rPr>
                <w:rFonts w:ascii="Arial" w:hAnsi="Arial" w:cs="Arial"/>
                <w:sz w:val="16"/>
                <w:szCs w:val="16"/>
                <w:lang w:val="en-US"/>
              </w:rPr>
              <w:t>-</w:t>
            </w:r>
          </w:p>
        </w:tc>
        <w:tc>
          <w:tcPr>
            <w:tcW w:w="1080" w:type="dxa"/>
            <w:tcBorders>
              <w:top w:val="nil"/>
              <w:left w:val="nil"/>
              <w:bottom w:val="single" w:sz="4" w:space="0" w:color="auto"/>
              <w:right w:val="nil"/>
            </w:tcBorders>
            <w:tcMar>
              <w:top w:w="100" w:type="dxa"/>
              <w:left w:w="100" w:type="dxa"/>
              <w:bottom w:w="100" w:type="dxa"/>
              <w:right w:w="100" w:type="dxa"/>
            </w:tcMar>
            <w:vAlign w:val="center"/>
            <w:hideMark/>
          </w:tcPr>
          <w:p w14:paraId="3292703E"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8.32</w:t>
            </w:r>
          </w:p>
        </w:tc>
        <w:tc>
          <w:tcPr>
            <w:tcW w:w="855" w:type="dxa"/>
            <w:tcBorders>
              <w:top w:val="nil"/>
              <w:left w:val="nil"/>
              <w:bottom w:val="single" w:sz="4" w:space="0" w:color="auto"/>
              <w:right w:val="nil"/>
            </w:tcBorders>
            <w:tcMar>
              <w:top w:w="100" w:type="dxa"/>
              <w:left w:w="100" w:type="dxa"/>
              <w:bottom w:w="100" w:type="dxa"/>
              <w:right w:w="100" w:type="dxa"/>
            </w:tcMar>
            <w:vAlign w:val="center"/>
            <w:hideMark/>
          </w:tcPr>
          <w:p w14:paraId="36E8D8EF"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765" w:type="dxa"/>
            <w:tcBorders>
              <w:top w:val="nil"/>
              <w:left w:val="nil"/>
              <w:bottom w:val="single" w:sz="4" w:space="0" w:color="auto"/>
              <w:right w:val="nil"/>
            </w:tcBorders>
            <w:tcMar>
              <w:top w:w="100" w:type="dxa"/>
              <w:left w:w="100" w:type="dxa"/>
              <w:bottom w:w="100" w:type="dxa"/>
              <w:right w:w="100" w:type="dxa"/>
            </w:tcMar>
            <w:vAlign w:val="center"/>
            <w:hideMark/>
          </w:tcPr>
          <w:p w14:paraId="1DD71D9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8.16</w:t>
            </w:r>
          </w:p>
        </w:tc>
        <w:tc>
          <w:tcPr>
            <w:tcW w:w="990" w:type="dxa"/>
            <w:tcBorders>
              <w:top w:val="nil"/>
              <w:left w:val="nil"/>
              <w:bottom w:val="single" w:sz="4" w:space="0" w:color="auto"/>
              <w:right w:val="nil"/>
            </w:tcBorders>
            <w:tcMar>
              <w:top w:w="100" w:type="dxa"/>
              <w:left w:w="100" w:type="dxa"/>
              <w:bottom w:w="100" w:type="dxa"/>
              <w:right w:w="100" w:type="dxa"/>
            </w:tcMar>
            <w:vAlign w:val="center"/>
            <w:hideMark/>
          </w:tcPr>
          <w:p w14:paraId="60962E39"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w:t>
            </w:r>
          </w:p>
        </w:tc>
        <w:tc>
          <w:tcPr>
            <w:tcW w:w="897" w:type="dxa"/>
            <w:tcBorders>
              <w:top w:val="nil"/>
              <w:left w:val="nil"/>
              <w:bottom w:val="single" w:sz="4" w:space="0" w:color="auto"/>
              <w:right w:val="nil"/>
            </w:tcBorders>
            <w:tcMar>
              <w:top w:w="100" w:type="dxa"/>
              <w:left w:w="100" w:type="dxa"/>
              <w:bottom w:w="100" w:type="dxa"/>
              <w:right w:w="100" w:type="dxa"/>
            </w:tcMar>
            <w:vAlign w:val="center"/>
            <w:hideMark/>
          </w:tcPr>
          <w:p w14:paraId="7C7825C8"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0.35</w:t>
            </w:r>
          </w:p>
        </w:tc>
        <w:tc>
          <w:tcPr>
            <w:tcW w:w="1263" w:type="dxa"/>
            <w:gridSpan w:val="2"/>
            <w:tcBorders>
              <w:top w:val="nil"/>
              <w:left w:val="nil"/>
              <w:bottom w:val="single" w:sz="4" w:space="0" w:color="auto"/>
              <w:right w:val="nil"/>
            </w:tcBorders>
            <w:tcMar>
              <w:top w:w="100" w:type="dxa"/>
              <w:left w:w="100" w:type="dxa"/>
              <w:bottom w:w="100" w:type="dxa"/>
              <w:right w:w="100" w:type="dxa"/>
            </w:tcMar>
            <w:vAlign w:val="center"/>
            <w:hideMark/>
          </w:tcPr>
          <w:p w14:paraId="284E6B22"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393.30</w:t>
            </w:r>
          </w:p>
        </w:tc>
        <w:tc>
          <w:tcPr>
            <w:tcW w:w="1530" w:type="dxa"/>
            <w:tcBorders>
              <w:top w:val="nil"/>
              <w:left w:val="nil"/>
              <w:bottom w:val="single" w:sz="4" w:space="0" w:color="auto"/>
              <w:right w:val="nil"/>
            </w:tcBorders>
            <w:tcMar>
              <w:top w:w="100" w:type="dxa"/>
              <w:left w:w="100" w:type="dxa"/>
              <w:bottom w:w="100" w:type="dxa"/>
              <w:right w:w="100" w:type="dxa"/>
            </w:tcMar>
            <w:vAlign w:val="center"/>
            <w:hideMark/>
          </w:tcPr>
          <w:p w14:paraId="6370CC65" w14:textId="77777777" w:rsidR="003E6798" w:rsidRPr="00830954" w:rsidRDefault="003E6798" w:rsidP="00693E64">
            <w:pPr>
              <w:spacing w:line="360" w:lineRule="auto"/>
              <w:jc w:val="center"/>
              <w:rPr>
                <w:rFonts w:ascii="Arial" w:hAnsi="Arial" w:cs="Arial"/>
                <w:sz w:val="16"/>
                <w:szCs w:val="16"/>
                <w:lang w:val="en-US"/>
              </w:rPr>
            </w:pPr>
            <w:r w:rsidRPr="00830954">
              <w:rPr>
                <w:rFonts w:ascii="Arial" w:hAnsi="Arial" w:cs="Arial"/>
                <w:sz w:val="16"/>
                <w:szCs w:val="16"/>
                <w:lang w:val="en-US"/>
              </w:rPr>
              <w:t>17.07</w:t>
            </w:r>
          </w:p>
        </w:tc>
      </w:tr>
    </w:tbl>
    <w:p w14:paraId="2ACE8058" w14:textId="77777777" w:rsidR="003E6798" w:rsidRPr="00830954" w:rsidRDefault="003E6798" w:rsidP="003E6798">
      <w:pPr>
        <w:spacing w:line="480" w:lineRule="auto"/>
        <w:ind w:firstLine="720"/>
        <w:jc w:val="both"/>
        <w:rPr>
          <w:rFonts w:ascii="Arial" w:hAnsi="Arial" w:cs="Arial"/>
          <w:lang w:val="en-US"/>
        </w:rPr>
      </w:pPr>
      <w:r w:rsidRPr="00830954">
        <w:rPr>
          <w:rFonts w:ascii="Arial" w:eastAsia="&quot;Times New Roman&quot;, serif" w:hAnsi="Arial" w:cs="Arial"/>
          <w:b/>
          <w:lang w:val="en-US"/>
        </w:rPr>
        <w:t>Note:</w:t>
      </w:r>
      <w:r w:rsidRPr="00830954">
        <w:rPr>
          <w:rFonts w:ascii="Arial" w:eastAsia="&quot;Times New Roman&quot;, serif" w:hAnsi="Arial" w:cs="Arial"/>
          <w:lang w:val="en-US"/>
        </w:rPr>
        <w:t xml:space="preserve"> Natural grassland (NG), improved natural grassland (ING), perennial pasture (PP), and annual pasture (AP). For dung: DM=dry matter content, pH (pH-H</w:t>
      </w:r>
      <w:r w:rsidRPr="00830954">
        <w:rPr>
          <w:rFonts w:ascii="Arial" w:eastAsia="&quot;Times New Roman&quot;, serif" w:hAnsi="Arial" w:cs="Arial"/>
          <w:vertAlign w:val="subscript"/>
          <w:lang w:val="en-US"/>
        </w:rPr>
        <w:t>2</w:t>
      </w:r>
      <w:r w:rsidRPr="00830954">
        <w:rPr>
          <w:rFonts w:ascii="Arial" w:eastAsia="&quot;Times New Roman&quot;, serif" w:hAnsi="Arial" w:cs="Arial"/>
          <w:lang w:val="en-US"/>
        </w:rPr>
        <w:t>O), C=carbon content, N=nitrogen content, C and N concentration (g kg</w:t>
      </w:r>
      <w:r w:rsidRPr="00830954">
        <w:rPr>
          <w:rFonts w:ascii="Arial" w:eastAsia="&quot;Times New Roman&quot;, serif" w:hAnsi="Arial" w:cs="Arial"/>
          <w:vertAlign w:val="superscript"/>
          <w:lang w:val="en-US"/>
        </w:rPr>
        <w:t>-1</w:t>
      </w:r>
      <w:r w:rsidRPr="00830954">
        <w:rPr>
          <w:rFonts w:ascii="Arial" w:eastAsia="&quot;Times New Roman&quot;, serif" w:hAnsi="Arial" w:cs="Arial"/>
          <w:lang w:val="en-US"/>
        </w:rPr>
        <w:t>), C and N input (kg m</w:t>
      </w:r>
      <w:r w:rsidRPr="00830954">
        <w:rPr>
          <w:rFonts w:ascii="Arial" w:eastAsia="&quot;Times New Roman&quot;, serif" w:hAnsi="Arial" w:cs="Arial"/>
          <w:vertAlign w:val="superscript"/>
          <w:lang w:val="en-US"/>
        </w:rPr>
        <w:t>-2</w:t>
      </w:r>
      <w:r w:rsidRPr="00830954">
        <w:rPr>
          <w:rFonts w:ascii="Arial" w:eastAsia="&quot;Times New Roman&quot;, serif" w:hAnsi="Arial" w:cs="Arial"/>
          <w:lang w:val="en-US"/>
        </w:rPr>
        <w:t>), and stock of C and N (g m</w:t>
      </w:r>
      <w:r w:rsidRPr="00830954">
        <w:rPr>
          <w:rFonts w:ascii="Arial" w:eastAsia="&quot;Times New Roman&quot;, serif" w:hAnsi="Arial" w:cs="Arial"/>
          <w:vertAlign w:val="superscript"/>
          <w:lang w:val="en-US"/>
        </w:rPr>
        <w:t>-2</w:t>
      </w:r>
      <w:r w:rsidRPr="00830954">
        <w:rPr>
          <w:rFonts w:ascii="Arial" w:eastAsia="&quot;Times New Roman&quot;, serif" w:hAnsi="Arial" w:cs="Arial"/>
          <w:lang w:val="en-US"/>
        </w:rPr>
        <w:t xml:space="preserve"> and kg ha</w:t>
      </w:r>
      <w:r w:rsidRPr="00830954">
        <w:rPr>
          <w:rFonts w:ascii="Arial" w:eastAsia="&quot;Times New Roman&quot;, serif" w:hAnsi="Arial" w:cs="Arial"/>
          <w:vertAlign w:val="superscript"/>
          <w:lang w:val="en-US"/>
        </w:rPr>
        <w:t>-1</w:t>
      </w:r>
      <w:r w:rsidRPr="00830954">
        <w:rPr>
          <w:rFonts w:ascii="Arial" w:eastAsia="&quot;Times New Roman&quot;, serif" w:hAnsi="Arial" w:cs="Arial"/>
          <w:lang w:val="en-US"/>
        </w:rPr>
        <w:t>). For urine: C and N concentrations (g L</w:t>
      </w:r>
      <w:r w:rsidRPr="00830954">
        <w:rPr>
          <w:rFonts w:ascii="Arial" w:eastAsia="&quot;Times New Roman&quot;, serif" w:hAnsi="Arial" w:cs="Arial"/>
          <w:vertAlign w:val="superscript"/>
          <w:lang w:val="en-US"/>
        </w:rPr>
        <w:t>-1</w:t>
      </w:r>
      <w:r w:rsidRPr="00830954">
        <w:rPr>
          <w:rFonts w:ascii="Arial" w:eastAsia="&quot;Times New Roman&quot;, serif" w:hAnsi="Arial" w:cs="Arial"/>
          <w:lang w:val="en-US"/>
        </w:rPr>
        <w:t>), and corresponding inputs and stocks of C and N (kg m</w:t>
      </w:r>
      <w:r w:rsidRPr="00830954">
        <w:rPr>
          <w:rFonts w:ascii="Arial" w:eastAsia="&quot;Times New Roman&quot;, serif" w:hAnsi="Arial" w:cs="Arial"/>
          <w:vertAlign w:val="superscript"/>
          <w:lang w:val="en-US"/>
        </w:rPr>
        <w:t>-2</w:t>
      </w:r>
      <w:r w:rsidRPr="00830954">
        <w:rPr>
          <w:rFonts w:ascii="Arial" w:eastAsia="&quot;Times New Roman&quot;, serif" w:hAnsi="Arial" w:cs="Arial"/>
          <w:lang w:val="en-US"/>
        </w:rPr>
        <w:t>, g m</w:t>
      </w:r>
      <w:r w:rsidRPr="00830954">
        <w:rPr>
          <w:rFonts w:ascii="Arial" w:eastAsia="&quot;Times New Roman&quot;, serif" w:hAnsi="Arial" w:cs="Arial"/>
          <w:vertAlign w:val="superscript"/>
          <w:lang w:val="en-US"/>
        </w:rPr>
        <w:t>-2</w:t>
      </w:r>
      <w:r w:rsidRPr="00830954">
        <w:rPr>
          <w:rFonts w:ascii="Arial" w:eastAsia="&quot;Times New Roman&quot;, serif" w:hAnsi="Arial" w:cs="Arial"/>
          <w:lang w:val="en-US"/>
        </w:rPr>
        <w:t>, and kg ha</w:t>
      </w:r>
      <w:r w:rsidRPr="00830954">
        <w:rPr>
          <w:rFonts w:ascii="Arial" w:eastAsia="&quot;Times New Roman&quot;, serif" w:hAnsi="Arial" w:cs="Arial"/>
          <w:vertAlign w:val="superscript"/>
          <w:lang w:val="en-US"/>
        </w:rPr>
        <w:t>-1</w:t>
      </w:r>
      <w:r w:rsidRPr="00830954">
        <w:rPr>
          <w:rFonts w:ascii="Arial" w:eastAsia="&quot;Times New Roman&quot;, serif" w:hAnsi="Arial" w:cs="Arial"/>
          <w:lang w:val="en-US"/>
        </w:rPr>
        <w:t>).</w:t>
      </w:r>
    </w:p>
    <w:p w14:paraId="4F1E8CA8" w14:textId="77777777" w:rsidR="003E6798" w:rsidRPr="00830954" w:rsidRDefault="003E6798" w:rsidP="003E6798">
      <w:pPr>
        <w:keepNext/>
        <w:keepLines/>
        <w:spacing w:before="280" w:after="200" w:line="480" w:lineRule="auto"/>
        <w:ind w:firstLine="720"/>
        <w:jc w:val="both"/>
        <w:outlineLvl w:val="2"/>
        <w:rPr>
          <w:rFonts w:ascii="Arial" w:eastAsia="&quot;Times New Roman&quot;, serif" w:hAnsi="Arial" w:cs="Arial"/>
          <w:b/>
          <w:i/>
          <w:color w:val="000000" w:themeColor="text1"/>
          <w:szCs w:val="28"/>
          <w:lang w:val="en-US"/>
        </w:rPr>
      </w:pPr>
      <w:r w:rsidRPr="00830954">
        <w:rPr>
          <w:rFonts w:ascii="Arial" w:eastAsia="&quot;Times New Roman&quot;, serif" w:hAnsi="Arial" w:cs="Arial"/>
          <w:b/>
          <w:i/>
          <w:color w:val="000000" w:themeColor="text1"/>
          <w:szCs w:val="28"/>
          <w:lang w:val="en-US"/>
        </w:rPr>
        <w:t>SM3. Total nitrogen applied across grazing systems</w:t>
      </w:r>
    </w:p>
    <w:p w14:paraId="6206D6F4" w14:textId="77777777" w:rsidR="003E6798" w:rsidRPr="00830954" w:rsidRDefault="003E6798" w:rsidP="003E6798">
      <w:pPr>
        <w:spacing w:line="480" w:lineRule="auto"/>
        <w:ind w:firstLine="720"/>
        <w:rPr>
          <w:rFonts w:ascii="Arial" w:hAnsi="Arial" w:cs="Arial"/>
          <w:lang w:val="en-US"/>
        </w:rPr>
      </w:pPr>
      <w:r w:rsidRPr="00830954">
        <w:rPr>
          <w:rFonts w:ascii="Arial" w:hAnsi="Arial" w:cs="Arial"/>
          <w:b/>
          <w:bCs/>
          <w:lang w:val="en-US"/>
        </w:rPr>
        <w:t>Table SM3.</w:t>
      </w:r>
      <w:r w:rsidRPr="00830954">
        <w:rPr>
          <w:rFonts w:ascii="Arial" w:hAnsi="Arial" w:cs="Arial"/>
          <w:lang w:val="en-US"/>
        </w:rPr>
        <w:t xml:space="preserve"> Total nitrogen applied (Kg N ha</w:t>
      </w:r>
      <w:r w:rsidRPr="00830954">
        <w:rPr>
          <w:rFonts w:ascii="Arial" w:hAnsi="Arial" w:cs="Arial"/>
          <w:vertAlign w:val="superscript"/>
          <w:lang w:val="en-US"/>
        </w:rPr>
        <w:t>-1</w:t>
      </w:r>
      <w:r w:rsidRPr="00830954">
        <w:rPr>
          <w:rFonts w:ascii="Arial" w:hAnsi="Arial" w:cs="Arial"/>
          <w:lang w:val="en-US"/>
        </w:rPr>
        <w:t>) from each N source across four grazing systems in the Southern Brazilian Highlands.</w:t>
      </w:r>
    </w:p>
    <w:tbl>
      <w:tblPr>
        <w:tblW w:w="585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80"/>
        <w:gridCol w:w="1170"/>
        <w:gridCol w:w="1260"/>
        <w:gridCol w:w="1170"/>
        <w:gridCol w:w="1170"/>
      </w:tblGrid>
      <w:tr w:rsidR="003E6798" w:rsidRPr="00830954" w14:paraId="76CC0777" w14:textId="77777777" w:rsidTr="00693E64">
        <w:trPr>
          <w:trHeight w:val="255"/>
          <w:jc w:val="center"/>
        </w:trPr>
        <w:tc>
          <w:tcPr>
            <w:tcW w:w="1080" w:type="dxa"/>
            <w:tcBorders>
              <w:bottom w:val="single" w:sz="4" w:space="0" w:color="auto"/>
            </w:tcBorders>
            <w:noWrap/>
            <w:vAlign w:val="bottom"/>
            <w:hideMark/>
          </w:tcPr>
          <w:p w14:paraId="3B714B3F" w14:textId="77777777" w:rsidR="003E6798" w:rsidRPr="00830954" w:rsidRDefault="003E6798" w:rsidP="00693E64">
            <w:pPr>
              <w:spacing w:after="0" w:line="480" w:lineRule="auto"/>
              <w:jc w:val="center"/>
              <w:rPr>
                <w:rFonts w:ascii="Arial" w:eastAsia="Times New Roman" w:hAnsi="Arial" w:cs="Arial"/>
                <w:b/>
                <w:bCs/>
                <w:kern w:val="0"/>
                <w:lang w:val="en-US" w:eastAsia="es-ES"/>
                <w14:ligatures w14:val="none"/>
              </w:rPr>
            </w:pPr>
          </w:p>
        </w:tc>
        <w:tc>
          <w:tcPr>
            <w:tcW w:w="1170" w:type="dxa"/>
            <w:tcBorders>
              <w:bottom w:val="single" w:sz="4" w:space="0" w:color="auto"/>
            </w:tcBorders>
            <w:vAlign w:val="center"/>
            <w:hideMark/>
          </w:tcPr>
          <w:p w14:paraId="04608C5A"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NG</w:t>
            </w:r>
          </w:p>
        </w:tc>
        <w:tc>
          <w:tcPr>
            <w:tcW w:w="1260" w:type="dxa"/>
            <w:tcBorders>
              <w:bottom w:val="single" w:sz="4" w:space="0" w:color="auto"/>
            </w:tcBorders>
            <w:vAlign w:val="center"/>
            <w:hideMark/>
          </w:tcPr>
          <w:p w14:paraId="06F511B8"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ING</w:t>
            </w:r>
          </w:p>
        </w:tc>
        <w:tc>
          <w:tcPr>
            <w:tcW w:w="1170" w:type="dxa"/>
            <w:tcBorders>
              <w:bottom w:val="single" w:sz="4" w:space="0" w:color="auto"/>
            </w:tcBorders>
            <w:vAlign w:val="center"/>
            <w:hideMark/>
          </w:tcPr>
          <w:p w14:paraId="02B57C17"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PP</w:t>
            </w:r>
          </w:p>
        </w:tc>
        <w:tc>
          <w:tcPr>
            <w:tcW w:w="1170" w:type="dxa"/>
            <w:tcBorders>
              <w:bottom w:val="single" w:sz="4" w:space="0" w:color="auto"/>
            </w:tcBorders>
            <w:vAlign w:val="center"/>
            <w:hideMark/>
          </w:tcPr>
          <w:p w14:paraId="07663355"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AP</w:t>
            </w:r>
          </w:p>
        </w:tc>
      </w:tr>
      <w:tr w:rsidR="003E6798" w:rsidRPr="00830954" w14:paraId="77C7533A" w14:textId="77777777" w:rsidTr="00693E64">
        <w:trPr>
          <w:trHeight w:val="255"/>
          <w:jc w:val="center"/>
        </w:trPr>
        <w:tc>
          <w:tcPr>
            <w:tcW w:w="1080" w:type="dxa"/>
            <w:tcBorders>
              <w:top w:val="single" w:sz="4" w:space="0" w:color="auto"/>
              <w:bottom w:val="nil"/>
            </w:tcBorders>
            <w:vAlign w:val="center"/>
            <w:hideMark/>
          </w:tcPr>
          <w:p w14:paraId="0C474AEC"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Dung</w:t>
            </w:r>
          </w:p>
        </w:tc>
        <w:tc>
          <w:tcPr>
            <w:tcW w:w="1170" w:type="dxa"/>
            <w:tcBorders>
              <w:top w:val="single" w:sz="4" w:space="0" w:color="auto"/>
              <w:bottom w:val="nil"/>
            </w:tcBorders>
            <w:vAlign w:val="center"/>
            <w:hideMark/>
          </w:tcPr>
          <w:p w14:paraId="2611FD41"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503.70</w:t>
            </w:r>
          </w:p>
        </w:tc>
        <w:tc>
          <w:tcPr>
            <w:tcW w:w="1260" w:type="dxa"/>
            <w:tcBorders>
              <w:top w:val="single" w:sz="4" w:space="0" w:color="auto"/>
              <w:bottom w:val="nil"/>
            </w:tcBorders>
            <w:vAlign w:val="center"/>
            <w:hideMark/>
          </w:tcPr>
          <w:p w14:paraId="1B2D5EF6"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547.68</w:t>
            </w:r>
          </w:p>
        </w:tc>
        <w:tc>
          <w:tcPr>
            <w:tcW w:w="1170" w:type="dxa"/>
            <w:tcBorders>
              <w:top w:val="single" w:sz="4" w:space="0" w:color="auto"/>
              <w:bottom w:val="nil"/>
            </w:tcBorders>
            <w:vAlign w:val="center"/>
            <w:hideMark/>
          </w:tcPr>
          <w:p w14:paraId="36A0CD9F"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488.72</w:t>
            </w:r>
          </w:p>
        </w:tc>
        <w:tc>
          <w:tcPr>
            <w:tcW w:w="1170" w:type="dxa"/>
            <w:tcBorders>
              <w:top w:val="single" w:sz="4" w:space="0" w:color="auto"/>
              <w:bottom w:val="nil"/>
            </w:tcBorders>
            <w:vAlign w:val="center"/>
            <w:hideMark/>
          </w:tcPr>
          <w:p w14:paraId="51FD26D3"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517.43</w:t>
            </w:r>
          </w:p>
        </w:tc>
      </w:tr>
      <w:tr w:rsidR="003E6798" w:rsidRPr="00830954" w14:paraId="0ACCE4D0" w14:textId="77777777" w:rsidTr="00693E64">
        <w:trPr>
          <w:trHeight w:val="255"/>
          <w:jc w:val="center"/>
        </w:trPr>
        <w:tc>
          <w:tcPr>
            <w:tcW w:w="1080" w:type="dxa"/>
            <w:tcBorders>
              <w:top w:val="nil"/>
            </w:tcBorders>
            <w:vAlign w:val="center"/>
            <w:hideMark/>
          </w:tcPr>
          <w:p w14:paraId="34D0CB76"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Urine</w:t>
            </w:r>
          </w:p>
        </w:tc>
        <w:tc>
          <w:tcPr>
            <w:tcW w:w="1170" w:type="dxa"/>
            <w:tcBorders>
              <w:top w:val="nil"/>
            </w:tcBorders>
            <w:vAlign w:val="center"/>
            <w:hideMark/>
          </w:tcPr>
          <w:p w14:paraId="491A3D37"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212.57</w:t>
            </w:r>
          </w:p>
        </w:tc>
        <w:tc>
          <w:tcPr>
            <w:tcW w:w="1260" w:type="dxa"/>
            <w:tcBorders>
              <w:top w:val="nil"/>
            </w:tcBorders>
            <w:vAlign w:val="center"/>
            <w:hideMark/>
          </w:tcPr>
          <w:p w14:paraId="0EAB4E89"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103.74</w:t>
            </w:r>
          </w:p>
        </w:tc>
        <w:tc>
          <w:tcPr>
            <w:tcW w:w="1170" w:type="dxa"/>
            <w:tcBorders>
              <w:top w:val="nil"/>
            </w:tcBorders>
            <w:vAlign w:val="center"/>
            <w:hideMark/>
          </w:tcPr>
          <w:p w14:paraId="5CF0924B"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71.91</w:t>
            </w:r>
          </w:p>
        </w:tc>
        <w:tc>
          <w:tcPr>
            <w:tcW w:w="1170" w:type="dxa"/>
            <w:tcBorders>
              <w:top w:val="nil"/>
            </w:tcBorders>
            <w:vAlign w:val="center"/>
            <w:hideMark/>
          </w:tcPr>
          <w:p w14:paraId="14292DC0"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107.55</w:t>
            </w:r>
          </w:p>
        </w:tc>
      </w:tr>
      <w:tr w:rsidR="003E6798" w:rsidRPr="00830954" w14:paraId="542B266B" w14:textId="77777777" w:rsidTr="00693E64">
        <w:trPr>
          <w:trHeight w:val="255"/>
          <w:jc w:val="center"/>
        </w:trPr>
        <w:tc>
          <w:tcPr>
            <w:tcW w:w="1080" w:type="dxa"/>
            <w:vAlign w:val="center"/>
            <w:hideMark/>
          </w:tcPr>
          <w:p w14:paraId="7172ACAB" w14:textId="77777777" w:rsidR="003E6798" w:rsidRPr="00830954" w:rsidRDefault="003E6798" w:rsidP="00693E64">
            <w:pPr>
              <w:spacing w:after="0" w:line="480" w:lineRule="auto"/>
              <w:jc w:val="center"/>
              <w:rPr>
                <w:rFonts w:ascii="Arial" w:eastAsia="Times New Roman" w:hAnsi="Arial" w:cs="Arial"/>
                <w:b/>
                <w:bCs/>
                <w:color w:val="000000"/>
                <w:kern w:val="0"/>
                <w:lang w:val="en-US" w:eastAsia="es-ES"/>
                <w14:ligatures w14:val="none"/>
              </w:rPr>
            </w:pPr>
            <w:r w:rsidRPr="00830954">
              <w:rPr>
                <w:rFonts w:ascii="Arial" w:eastAsia="Times New Roman" w:hAnsi="Arial" w:cs="Arial"/>
                <w:b/>
                <w:bCs/>
                <w:color w:val="000000"/>
                <w:kern w:val="0"/>
                <w:lang w:val="en-US" w:eastAsia="es-ES"/>
                <w14:ligatures w14:val="none"/>
              </w:rPr>
              <w:t>Urea</w:t>
            </w:r>
          </w:p>
        </w:tc>
        <w:tc>
          <w:tcPr>
            <w:tcW w:w="1170" w:type="dxa"/>
            <w:noWrap/>
            <w:vAlign w:val="bottom"/>
            <w:hideMark/>
          </w:tcPr>
          <w:p w14:paraId="5757034C" w14:textId="77777777" w:rsidR="003E6798" w:rsidRPr="00830954" w:rsidRDefault="003E6798" w:rsidP="00693E64">
            <w:pPr>
              <w:spacing w:after="0" w:line="480" w:lineRule="auto"/>
              <w:rPr>
                <w:rFonts w:ascii="Arial" w:eastAsia="Times New Roman" w:hAnsi="Arial" w:cs="Arial"/>
                <w:b/>
                <w:bCs/>
                <w:color w:val="000000"/>
                <w:kern w:val="0"/>
                <w:lang w:val="en-US" w:eastAsia="es-ES"/>
                <w14:ligatures w14:val="none"/>
              </w:rPr>
            </w:pPr>
          </w:p>
        </w:tc>
        <w:tc>
          <w:tcPr>
            <w:tcW w:w="1260" w:type="dxa"/>
            <w:vAlign w:val="center"/>
            <w:hideMark/>
          </w:tcPr>
          <w:p w14:paraId="40265918"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180.00</w:t>
            </w:r>
          </w:p>
        </w:tc>
        <w:tc>
          <w:tcPr>
            <w:tcW w:w="1170" w:type="dxa"/>
            <w:vAlign w:val="center"/>
            <w:hideMark/>
          </w:tcPr>
          <w:p w14:paraId="1A34C96F"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180.00</w:t>
            </w:r>
          </w:p>
        </w:tc>
        <w:tc>
          <w:tcPr>
            <w:tcW w:w="1170" w:type="dxa"/>
            <w:vAlign w:val="center"/>
            <w:hideMark/>
          </w:tcPr>
          <w:p w14:paraId="76206763" w14:textId="77777777" w:rsidR="003E6798" w:rsidRPr="00830954" w:rsidRDefault="003E6798" w:rsidP="00693E64">
            <w:pPr>
              <w:spacing w:after="0" w:line="480" w:lineRule="auto"/>
              <w:jc w:val="right"/>
              <w:rPr>
                <w:rFonts w:ascii="Arial" w:eastAsia="Times New Roman" w:hAnsi="Arial" w:cs="Arial"/>
                <w:color w:val="000000"/>
                <w:kern w:val="0"/>
                <w:lang w:val="en-US" w:eastAsia="es-ES"/>
                <w14:ligatures w14:val="none"/>
              </w:rPr>
            </w:pPr>
            <w:r w:rsidRPr="00830954">
              <w:rPr>
                <w:rFonts w:ascii="Arial" w:eastAsia="Times New Roman" w:hAnsi="Arial" w:cs="Arial"/>
                <w:color w:val="000000"/>
                <w:kern w:val="0"/>
                <w:lang w:val="en-US" w:eastAsia="es-ES"/>
                <w14:ligatures w14:val="none"/>
              </w:rPr>
              <w:t>180.00</w:t>
            </w:r>
          </w:p>
        </w:tc>
      </w:tr>
    </w:tbl>
    <w:p w14:paraId="3F9D475B" w14:textId="6F4A4C6E" w:rsidR="006E66C5" w:rsidRPr="003E6798" w:rsidRDefault="003E6798" w:rsidP="0096053B">
      <w:pPr>
        <w:spacing w:line="480" w:lineRule="auto"/>
        <w:ind w:firstLine="720"/>
        <w:jc w:val="both"/>
        <w:rPr>
          <w:lang w:val="en-US"/>
        </w:rPr>
      </w:pPr>
      <w:r w:rsidRPr="00830954">
        <w:rPr>
          <w:rFonts w:ascii="Arial" w:hAnsi="Arial" w:cs="Arial"/>
          <w:b/>
          <w:bCs/>
          <w:lang w:val="en-US"/>
        </w:rPr>
        <w:t>Note:</w:t>
      </w:r>
      <w:r w:rsidRPr="00830954">
        <w:rPr>
          <w:rFonts w:ascii="Arial" w:hAnsi="Arial" w:cs="Arial"/>
          <w:lang w:val="en-US"/>
        </w:rPr>
        <w:t xml:space="preserve"> Values represent the total nitrogen applied per hectare for each N source (urea, urine, and dung) according to the management practices of natural grassland (NG), improved natural grassland (ING), perennial pasture (PP), and annual pasture (AP) systems. Nitrogen application rates were standardized among replicates and used to calculate N</w:t>
      </w:r>
      <w:r w:rsidRPr="00830954">
        <w:rPr>
          <w:rFonts w:ascii="Arial" w:hAnsi="Arial" w:cs="Arial"/>
          <w:vertAlign w:val="subscript"/>
          <w:lang w:val="en-US"/>
        </w:rPr>
        <w:t>2</w:t>
      </w:r>
      <w:r w:rsidRPr="00830954">
        <w:rPr>
          <w:rFonts w:ascii="Arial" w:hAnsi="Arial" w:cs="Arial"/>
          <w:lang w:val="en-US"/>
        </w:rPr>
        <w:t>O emission factors (EFs) following the IPCC (2019) methodology.</w:t>
      </w:r>
    </w:p>
    <w:sectPr w:rsidR="006E66C5" w:rsidRPr="003E6798" w:rsidSect="00187B75">
      <w:pgSz w:w="11906" w:h="16838"/>
      <w:pgMar w:top="1417" w:right="1701" w:bottom="1417" w:left="1701"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ot;Times New Roman&quot;, serif">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94"/>
    <w:rsid w:val="001625E8"/>
    <w:rsid w:val="00187B75"/>
    <w:rsid w:val="00193CCC"/>
    <w:rsid w:val="002933CB"/>
    <w:rsid w:val="002B7C94"/>
    <w:rsid w:val="002D1AA3"/>
    <w:rsid w:val="00332FF3"/>
    <w:rsid w:val="003E6798"/>
    <w:rsid w:val="003F307F"/>
    <w:rsid w:val="003F33F1"/>
    <w:rsid w:val="00427A68"/>
    <w:rsid w:val="005038F6"/>
    <w:rsid w:val="005A67D9"/>
    <w:rsid w:val="00602558"/>
    <w:rsid w:val="00675C43"/>
    <w:rsid w:val="006E3D91"/>
    <w:rsid w:val="006E66C5"/>
    <w:rsid w:val="0076163F"/>
    <w:rsid w:val="00790893"/>
    <w:rsid w:val="007C3129"/>
    <w:rsid w:val="00803041"/>
    <w:rsid w:val="008A0966"/>
    <w:rsid w:val="008E50B1"/>
    <w:rsid w:val="0096053B"/>
    <w:rsid w:val="00A9517D"/>
    <w:rsid w:val="00B5237D"/>
    <w:rsid w:val="00BB3CD9"/>
    <w:rsid w:val="00BB6633"/>
    <w:rsid w:val="00C12130"/>
    <w:rsid w:val="00C3368A"/>
    <w:rsid w:val="00C546FE"/>
    <w:rsid w:val="00C9671F"/>
    <w:rsid w:val="00D36F07"/>
    <w:rsid w:val="00D66AC0"/>
    <w:rsid w:val="00D91D4D"/>
    <w:rsid w:val="00EB2A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E38"/>
  <w15:docId w15:val="{5425EA48-334C-450E-B4E9-C5A60F45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C43"/>
  </w:style>
  <w:style w:type="paragraph" w:styleId="Heading1">
    <w:name w:val="heading 1"/>
    <w:basedOn w:val="Normal"/>
    <w:next w:val="Normal"/>
    <w:link w:val="Heading1Char"/>
    <w:uiPriority w:val="9"/>
    <w:qFormat/>
    <w:rsid w:val="002B7C94"/>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2B7C94"/>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2B7C94"/>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2B7C94"/>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2B7C94"/>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2B7C94"/>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2B7C94"/>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2B7C94"/>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2B7C94"/>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94"/>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B7C94"/>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B7C94"/>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B7C94"/>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B7C94"/>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B7C94"/>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B7C94"/>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B7C94"/>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B7C94"/>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B7C94"/>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B7C9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B7C94"/>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2B7C94"/>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B7C94"/>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2B7C94"/>
    <w:rPr>
      <w:i/>
      <w:iCs/>
      <w:color w:val="404040" w:themeColor="text1" w:themeTint="BF"/>
      <w:lang w:val="en-US"/>
    </w:rPr>
  </w:style>
  <w:style w:type="paragraph" w:styleId="ListParagraph">
    <w:name w:val="List Paragraph"/>
    <w:basedOn w:val="Normal"/>
    <w:uiPriority w:val="34"/>
    <w:qFormat/>
    <w:rsid w:val="002B7C94"/>
    <w:pPr>
      <w:ind w:left="720"/>
      <w:contextualSpacing/>
    </w:pPr>
    <w:rPr>
      <w:lang w:val="en-US"/>
    </w:rPr>
  </w:style>
  <w:style w:type="character" w:styleId="IntenseEmphasis">
    <w:name w:val="Intense Emphasis"/>
    <w:basedOn w:val="DefaultParagraphFont"/>
    <w:uiPriority w:val="21"/>
    <w:qFormat/>
    <w:rsid w:val="002B7C94"/>
    <w:rPr>
      <w:i/>
      <w:iCs/>
      <w:color w:val="0F4761" w:themeColor="accent1" w:themeShade="BF"/>
    </w:rPr>
  </w:style>
  <w:style w:type="paragraph" w:styleId="IntenseQuote">
    <w:name w:val="Intense Quote"/>
    <w:basedOn w:val="Normal"/>
    <w:next w:val="Normal"/>
    <w:link w:val="IntenseQuoteChar"/>
    <w:uiPriority w:val="30"/>
    <w:qFormat/>
    <w:rsid w:val="002B7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2B7C94"/>
    <w:rPr>
      <w:i/>
      <w:iCs/>
      <w:color w:val="0F4761" w:themeColor="accent1" w:themeShade="BF"/>
      <w:lang w:val="en-US"/>
    </w:rPr>
  </w:style>
  <w:style w:type="character" w:styleId="IntenseReference">
    <w:name w:val="Intense Reference"/>
    <w:basedOn w:val="DefaultParagraphFont"/>
    <w:uiPriority w:val="32"/>
    <w:qFormat/>
    <w:rsid w:val="002B7C94"/>
    <w:rPr>
      <w:b/>
      <w:bCs/>
      <w:smallCaps/>
      <w:color w:val="0F4761" w:themeColor="accent1" w:themeShade="BF"/>
      <w:spacing w:val="5"/>
    </w:rPr>
  </w:style>
  <w:style w:type="character" w:styleId="LineNumber">
    <w:name w:val="line number"/>
    <w:basedOn w:val="DefaultParagraphFont"/>
    <w:uiPriority w:val="99"/>
    <w:semiHidden/>
    <w:unhideWhenUsed/>
    <w:rsid w:val="00187B75"/>
  </w:style>
  <w:style w:type="paragraph" w:styleId="BalloonText">
    <w:name w:val="Balloon Text"/>
    <w:basedOn w:val="Normal"/>
    <w:link w:val="BalloonTextChar"/>
    <w:uiPriority w:val="99"/>
    <w:semiHidden/>
    <w:unhideWhenUsed/>
    <w:rsid w:val="005A6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7D9"/>
    <w:rPr>
      <w:rFonts w:ascii="Tahoma" w:hAnsi="Tahoma" w:cs="Tahoma"/>
      <w:sz w:val="16"/>
      <w:szCs w:val="16"/>
    </w:rPr>
  </w:style>
  <w:style w:type="paragraph" w:styleId="Revision">
    <w:name w:val="Revision"/>
    <w:hidden/>
    <w:uiPriority w:val="99"/>
    <w:semiHidden/>
    <w:rsid w:val="009605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F833-8BA3-4EEC-A05C-0C199505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Pages>
  <Words>476</Words>
  <Characters>2483</Characters>
  <Application>Microsoft Office Word</Application>
  <DocSecurity>0</DocSecurity>
  <Lines>191</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Garzon</dc:creator>
  <cp:keywords/>
  <dc:description/>
  <cp:lastModifiedBy>Pedro Antonio Garzón Camacho</cp:lastModifiedBy>
  <cp:revision>20</cp:revision>
  <dcterms:created xsi:type="dcterms:W3CDTF">2025-08-23T21:51:00Z</dcterms:created>
  <dcterms:modified xsi:type="dcterms:W3CDTF">2026-03-05T11:42:00Z</dcterms:modified>
</cp:coreProperties>
</file>