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40" w:line="480"/>
        <w:jc w:val="center"/>
      </w:pPr>
      <w:r>
        <w:rPr>
          <w:rFonts w:ascii="Arial" w:cs="Arial" w:eastAsia="Arial" w:hAnsi="Arial"/>
          <w:b/>
          <w:bCs/>
          <w:color w:val="000000"/>
          <w:sz w:val="28"/>
          <w:szCs w:val="28"/>
        </w:rPr>
        <w:t xml:space="preserve">Supplementary Tables</w:t>
      </w:r>
    </w:p>
    <w:p>
      <w:pPr>
        <w:spacing w:after="360" w:before="80" w:line="480"/>
        <w:jc w:val="center"/>
      </w:pPr>
      <w:r>
        <w:rPr>
          <w:rFonts w:ascii="Arial" w:cs="Arial" w:eastAsia="Arial" w:hAnsi="Arial"/>
          <w:i/>
          <w:iCs/>
          <w:color w:val="000000"/>
          <w:sz w:val="22"/>
          <w:szCs w:val="22"/>
        </w:rPr>
        <w:t xml:space="preserve">Neuropathological copathology burden and cognitive decline in the National Alzheimer's Coordinating Center cohort</w:t>
      </w:r>
    </w:p>
    <w:p>
      <w:pPr>
        <w:spacing w:after="120" w:before="240" w:line="480"/>
        <w:jc w:val="left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Supplementary Table S1.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Complete distribution of all 16 observed copathology combinations.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2180"/>
        <w:gridCol w:w="2180"/>
      </w:tblGrid>
      <w:tr>
        <w:tc>
          <w:tcPr>
            <w:tcW w:type="dxa" w:w="5000"/>
            <w:tcBorders>
              <w:top w:val="single" w:color="000000" w:sz="4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Pathology combination</w:t>
            </w:r>
          </w:p>
        </w:tc>
        <w:tc>
          <w:tcPr>
            <w:tcW w:type="dxa" w:w="2180"/>
            <w:tcBorders>
              <w:top w:val="single" w:color="000000" w:sz="4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</w:t>
            </w:r>
          </w:p>
        </w:tc>
        <w:tc>
          <w:tcPr>
            <w:tcW w:type="dxa" w:w="2180"/>
            <w:tcBorders>
              <w:top w:val="single" w:color="000000" w:sz="4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%</w:t>
            </w:r>
          </w:p>
        </w:tc>
      </w:tr>
      <w:tr>
        <w:tc>
          <w:tcPr>
            <w:tcW w:type="dxa" w:w="5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ADNC alone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3,366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39.2</w:t>
            </w:r>
          </w:p>
        </w:tc>
      </w:tr>
      <w:tr>
        <w:tc>
          <w:tcPr>
            <w:tcW w:type="dxa" w:w="5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ADNC + LBD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2,339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27.3</w:t>
            </w:r>
          </w:p>
        </w:tc>
      </w:tr>
      <w:tr>
        <w:tc>
          <w:tcPr>
            <w:tcW w:type="dxa" w:w="5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No/minimal pathology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1,266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14.8</w:t>
            </w:r>
          </w:p>
        </w:tc>
      </w:tr>
      <w:tr>
        <w:tc>
          <w:tcPr>
            <w:tcW w:type="dxa" w:w="5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LBD alone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378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4.4</w:t>
            </w:r>
          </w:p>
        </w:tc>
      </w:tr>
      <w:tr>
        <w:tc>
          <w:tcPr>
            <w:tcW w:type="dxa" w:w="5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FTLD-tau alone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354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4.1</w:t>
            </w:r>
          </w:p>
        </w:tc>
      </w:tr>
      <w:tr>
        <w:tc>
          <w:tcPr>
            <w:tcW w:type="dxa" w:w="5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ADNC + FTLD-tau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280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3.3</w:t>
            </w:r>
          </w:p>
        </w:tc>
      </w:tr>
      <w:tr>
        <w:tc>
          <w:tcPr>
            <w:tcW w:type="dxa" w:w="5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ADNC + LBD + FTLD-tau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189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2.2</w:t>
            </w:r>
          </w:p>
        </w:tc>
      </w:tr>
      <w:tr>
        <w:tc>
          <w:tcPr>
            <w:tcW w:type="dxa" w:w="5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TDP-43 alone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171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2.0</w:t>
            </w:r>
          </w:p>
        </w:tc>
      </w:tr>
      <w:tr>
        <w:tc>
          <w:tcPr>
            <w:tcW w:type="dxa" w:w="5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ADNC + TDP-43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68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0.8</w:t>
            </w:r>
          </w:p>
        </w:tc>
      </w:tr>
      <w:tr>
        <w:tc>
          <w:tcPr>
            <w:tcW w:type="dxa" w:w="5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LBD + FTLD-tau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62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0.7</w:t>
            </w:r>
          </w:p>
        </w:tc>
      </w:tr>
      <w:tr>
        <w:tc>
          <w:tcPr>
            <w:tcW w:type="dxa" w:w="5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ADNC + TDP-43 + FTLD-tau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29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0.3</w:t>
            </w:r>
          </w:p>
        </w:tc>
      </w:tr>
      <w:tr>
        <w:tc>
          <w:tcPr>
            <w:tcW w:type="dxa" w:w="5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TDP-43 + FTLD-tau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23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0.3</w:t>
            </w:r>
          </w:p>
        </w:tc>
      </w:tr>
      <w:tr>
        <w:tc>
          <w:tcPr>
            <w:tcW w:type="dxa" w:w="5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LBD + TDP-43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19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0.2</w:t>
            </w:r>
          </w:p>
        </w:tc>
      </w:tr>
      <w:tr>
        <w:tc>
          <w:tcPr>
            <w:tcW w:type="dxa" w:w="5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ADNC + LBD + TDP-43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17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0.2</w:t>
            </w:r>
          </w:p>
        </w:tc>
      </w:tr>
      <w:tr>
        <w:tc>
          <w:tcPr>
            <w:tcW w:type="dxa" w:w="5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ADNC + LBD + TDP-43 + FTLD-tau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12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0.1</w:t>
            </w:r>
          </w:p>
        </w:tc>
      </w:tr>
      <w:tr>
        <w:tc>
          <w:tcPr>
            <w:tcW w:type="dxa" w:w="5000"/>
            <w:tcBorders>
              <w:top w:val="none" w:sz="0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LBD + TDP-43 + FTLD-tau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4</w:t>
            </w:r>
          </w:p>
        </w:tc>
        <w:tc>
          <w:tcPr>
            <w:tcW w:type="dxa" w:w="2180"/>
            <w:tcBorders>
              <w:top w:val="none" w:sz="0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&lt; 0.1</w:t>
            </w:r>
          </w:p>
        </w:tc>
      </w:tr>
    </w:tbl>
    <w:p>
      <w:pPr>
        <w:spacing w:after="120" w:before="60" w:line="276"/>
      </w:pPr>
      <w:r>
        <w:rPr>
          <w:rFonts w:ascii="Arial" w:cs="Arial" w:eastAsia="Arial" w:hAnsi="Arial"/>
          <w:i/>
          <w:iCs/>
          <w:color w:val="000000"/>
          <w:sz w:val="18"/>
          <w:szCs w:val="18"/>
        </w:rPr>
        <w:t xml:space="preserve">Abbreviations: ADNC, Alzheimer's disease neuropathologic change; FTLD-tau, frontotemporal lobar degeneration tauopathy; LBD, Lewy body disease; TDP-43, TAR DNA-binding protein 43 proteinopathy. Combinations are listed in descending order of frequency. Total N = 8,577.</w:t>
      </w:r>
    </w:p>
    <w:p>
      <w:pPr>
        <w:pageBreakBefore/>
        <w:spacing w:after="120" w:before="240" w:line="480"/>
        <w:jc w:val="left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Supplementary Table S2.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Annual CDR-SB decline rates by copathology burden group.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200"/>
        <w:gridCol w:w="3360"/>
        <w:gridCol w:w="2200"/>
      </w:tblGrid>
      <w:tr>
        <w:tc>
          <w:tcPr>
            <w:tcW w:type="dxa" w:w="2600"/>
            <w:tcBorders>
              <w:top w:val="single" w:color="000000" w:sz="4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Copathology burden</w:t>
            </w:r>
          </w:p>
        </w:tc>
        <w:tc>
          <w:tcPr>
            <w:tcW w:type="dxa" w:w="1200"/>
            <w:tcBorders>
              <w:top w:val="single" w:color="000000" w:sz="4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</w:t>
            </w:r>
          </w:p>
        </w:tc>
        <w:tc>
          <w:tcPr>
            <w:tcW w:type="dxa" w:w="3360"/>
            <w:tcBorders>
              <w:top w:val="single" w:color="000000" w:sz="4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Mean annual CDR-SB change (SD)</w:t>
            </w:r>
          </w:p>
        </w:tc>
        <w:tc>
          <w:tcPr>
            <w:tcW w:type="dxa" w:w="2200"/>
            <w:tcBorders>
              <w:top w:val="single" w:color="000000" w:sz="4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Median</w:t>
            </w:r>
          </w:p>
        </w:tc>
      </w:tr>
      <w:tr>
        <w:tc>
          <w:tcPr>
            <w:tcW w:type="dxa" w:w="26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 (no pathology)</w:t>
            </w:r>
          </w:p>
        </w:tc>
        <w:tc>
          <w:tcPr>
            <w:tcW w:type="dxa" w:w="12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850</w:t>
            </w:r>
          </w:p>
        </w:tc>
        <w:tc>
          <w:tcPr>
            <w:tcW w:type="dxa" w:w="336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0.90 (1.79)</w:t>
            </w:r>
          </w:p>
        </w:tc>
        <w:tc>
          <w:tcPr>
            <w:tcW w:type="dxa" w:w="22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0.08</w:t>
            </w:r>
          </w:p>
        </w:tc>
      </w:tr>
      <w:tr>
        <w:tc>
          <w:tcPr>
            <w:tcW w:type="dxa" w:w="26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1 (single)</w:t>
            </w:r>
          </w:p>
        </w:tc>
        <w:tc>
          <w:tcPr>
            <w:tcW w:type="dxa" w:w="12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3,211</w:t>
            </w:r>
          </w:p>
        </w:tc>
        <w:tc>
          <w:tcPr>
            <w:tcW w:type="dxa" w:w="336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1.47 (1.77)</w:t>
            </w:r>
          </w:p>
        </w:tc>
        <w:tc>
          <w:tcPr>
            <w:tcW w:type="dxa" w:w="22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1.00</w:t>
            </w:r>
          </w:p>
        </w:tc>
      </w:tr>
      <w:tr>
        <w:tc>
          <w:tcPr>
            <w:tcW w:type="dxa" w:w="26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2 (dual)</w:t>
            </w:r>
          </w:p>
        </w:tc>
        <w:tc>
          <w:tcPr>
            <w:tcW w:type="dxa" w:w="12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2,153</w:t>
            </w:r>
          </w:p>
        </w:tc>
        <w:tc>
          <w:tcPr>
            <w:tcW w:type="dxa" w:w="336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1.71 (1.91)</w:t>
            </w:r>
          </w:p>
        </w:tc>
        <w:tc>
          <w:tcPr>
            <w:tcW w:type="dxa" w:w="22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1.28</w:t>
            </w:r>
          </w:p>
        </w:tc>
      </w:tr>
      <w:tr>
        <w:tc>
          <w:tcPr>
            <w:tcW w:type="dxa" w:w="26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3 (triple)</w:t>
            </w:r>
          </w:p>
        </w:tc>
        <w:tc>
          <w:tcPr>
            <w:tcW w:type="dxa" w:w="12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198</w:t>
            </w:r>
          </w:p>
        </w:tc>
        <w:tc>
          <w:tcPr>
            <w:tcW w:type="dxa" w:w="336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1.25 (1.54)</w:t>
            </w:r>
          </w:p>
        </w:tc>
        <w:tc>
          <w:tcPr>
            <w:tcW w:type="dxa" w:w="22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0.88</w:t>
            </w:r>
          </w:p>
        </w:tc>
      </w:tr>
      <w:tr>
        <w:tc>
          <w:tcPr>
            <w:tcW w:type="dxa" w:w="2600"/>
            <w:tcBorders>
              <w:top w:val="none" w:sz="0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4 (quadruple)</w:t>
            </w:r>
          </w:p>
        </w:tc>
        <w:tc>
          <w:tcPr>
            <w:tcW w:type="dxa" w:w="1200"/>
            <w:tcBorders>
              <w:top w:val="none" w:sz="0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11</w:t>
            </w:r>
          </w:p>
        </w:tc>
        <w:tc>
          <w:tcPr>
            <w:tcW w:type="dxa" w:w="3360"/>
            <w:tcBorders>
              <w:top w:val="none" w:sz="0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2.21 (2.20)</w:t>
            </w:r>
          </w:p>
        </w:tc>
        <w:tc>
          <w:tcPr>
            <w:tcW w:type="dxa" w:w="2200"/>
            <w:tcBorders>
              <w:top w:val="none" w:sz="0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1.22</w:t>
            </w:r>
          </w:p>
        </w:tc>
      </w:tr>
    </w:tbl>
    <w:p>
      <w:pPr>
        <w:spacing w:after="120" w:before="60" w:line="276"/>
      </w:pPr>
      <w:r>
        <w:rPr>
          <w:rFonts w:ascii="Arial" w:cs="Arial" w:eastAsia="Arial" w:hAnsi="Arial"/>
          <w:i/>
          <w:iCs/>
          <w:color w:val="000000"/>
          <w:sz w:val="18"/>
          <w:szCs w:val="18"/>
        </w:rPr>
        <w:t xml:space="preserve">Abbreviations: CDR-SB, Clinical Dementia Rating Sum of Boxes; SD, standard deviation. Annual decline rate calculated as (last CDR-SB − first CDR-SB) / follow-up duration in years per subject.</w:t>
      </w:r>
    </w:p>
    <w:p>
      <w:pPr>
        <w:pageBreakBefore/>
        <w:spacing w:after="120" w:before="240" w:line="480"/>
        <w:jc w:val="left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Supplementary Table S3.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Sensitivity analyses for the dose-response relationship between copathology burden and cognitive decline rate.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400"/>
        <w:gridCol w:w="1400"/>
        <w:gridCol w:w="1800"/>
        <w:gridCol w:w="1200"/>
        <w:gridCol w:w="1160"/>
      </w:tblGrid>
      <w:tr>
        <w:tc>
          <w:tcPr>
            <w:tcW w:type="dxa" w:w="2400"/>
            <w:tcBorders>
              <w:top w:val="single" w:color="000000" w:sz="4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Analysis</w:t>
            </w:r>
          </w:p>
        </w:tc>
        <w:tc>
          <w:tcPr>
            <w:tcW w:type="dxa" w:w="1400"/>
            <w:tcBorders>
              <w:top w:val="single" w:color="000000" w:sz="4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 subjects</w:t>
            </w:r>
          </w:p>
        </w:tc>
        <w:tc>
          <w:tcPr>
            <w:tcW w:type="dxa" w:w="1400"/>
            <w:tcBorders>
              <w:top w:val="single" w:color="000000" w:sz="4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 visits</w:t>
            </w:r>
          </w:p>
        </w:tc>
        <w:tc>
          <w:tcPr>
            <w:tcW w:type="dxa" w:w="1800"/>
            <w:tcBorders>
              <w:top w:val="single" w:color="000000" w:sz="4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Time × burden β</w:t>
            </w:r>
          </w:p>
        </w:tc>
        <w:tc>
          <w:tcPr>
            <w:tcW w:type="dxa" w:w="1200"/>
            <w:tcBorders>
              <w:top w:val="single" w:color="000000" w:sz="4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95% CI</w:t>
            </w:r>
          </w:p>
        </w:tc>
        <w:tc>
          <w:tcPr>
            <w:tcW w:type="dxa" w:w="1160"/>
            <w:tcBorders>
              <w:top w:val="single" w:color="000000" w:sz="4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</w:t>
            </w:r>
          </w:p>
        </w:tc>
      </w:tr>
      <w:tr>
        <w:tc>
          <w:tcPr>
            <w:tcW w:type="dxa" w:w="24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Primary (≥ 2 visits)</w:t>
            </w:r>
          </w:p>
        </w:tc>
        <w:tc>
          <w:tcPr>
            <w:tcW w:type="dxa" w:w="14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6,377</w:t>
            </w:r>
          </w:p>
        </w:tc>
        <w:tc>
          <w:tcPr>
            <w:tcW w:type="dxa" w:w="14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30,215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0.25</w:t>
            </w:r>
          </w:p>
        </w:tc>
        <w:tc>
          <w:tcPr>
            <w:tcW w:type="dxa" w:w="12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0.21, 0.29</w:t>
            </w:r>
          </w:p>
        </w:tc>
        <w:tc>
          <w:tcPr>
            <w:tcW w:type="dxa" w:w="116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&lt; 0.001</w:t>
            </w:r>
          </w:p>
        </w:tc>
      </w:tr>
      <w:tr>
        <w:tc>
          <w:tcPr>
            <w:tcW w:type="dxa" w:w="24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SA1: ≥ 3 visits</w:t>
            </w:r>
          </w:p>
        </w:tc>
        <w:tc>
          <w:tcPr>
            <w:tcW w:type="dxa" w:w="14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4,895</w:t>
            </w:r>
          </w:p>
        </w:tc>
        <w:tc>
          <w:tcPr>
            <w:tcW w:type="dxa" w:w="14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27,251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0.23</w:t>
            </w:r>
          </w:p>
        </w:tc>
        <w:tc>
          <w:tcPr>
            <w:tcW w:type="dxa" w:w="12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0.19, 0.28</w:t>
            </w:r>
          </w:p>
        </w:tc>
        <w:tc>
          <w:tcPr>
            <w:tcW w:type="dxa" w:w="116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&lt; 0.001</w:t>
            </w:r>
          </w:p>
        </w:tc>
      </w:tr>
      <w:tr>
        <w:tc>
          <w:tcPr>
            <w:tcW w:type="dxa" w:w="2400"/>
            <w:tcBorders>
              <w:top w:val="none" w:sz="0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SA2: ≥ 5 years follow-up</w:t>
            </w:r>
          </w:p>
        </w:tc>
        <w:tc>
          <w:tcPr>
            <w:tcW w:type="dxa" w:w="1400"/>
            <w:tcBorders>
              <w:top w:val="none" w:sz="0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2,127</w:t>
            </w:r>
          </w:p>
        </w:tc>
        <w:tc>
          <w:tcPr>
            <w:tcW w:type="dxa" w:w="1400"/>
            <w:tcBorders>
              <w:top w:val="none" w:sz="0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16,770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0.19</w:t>
            </w:r>
          </w:p>
        </w:tc>
        <w:tc>
          <w:tcPr>
            <w:tcW w:type="dxa" w:w="1200"/>
            <w:tcBorders>
              <w:top w:val="none" w:sz="0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0.16, 0.23</w:t>
            </w:r>
          </w:p>
        </w:tc>
        <w:tc>
          <w:tcPr>
            <w:tcW w:type="dxa" w:w="1160"/>
            <w:tcBorders>
              <w:top w:val="none" w:sz="0"/>
              <w:left w:val="none" w:sz="0"/>
              <w:bottom w:val="single" w:color="000000" w:sz="4"/>
              <w:right w:val="none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 w:line="276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&lt; 0.001</w:t>
            </w:r>
          </w:p>
        </w:tc>
      </w:tr>
    </w:tbl>
    <w:p>
      <w:pPr>
        <w:spacing w:after="120" w:before="60" w:line="276"/>
      </w:pPr>
      <w:r>
        <w:rPr>
          <w:rFonts w:ascii="Arial" w:cs="Arial" w:eastAsia="Arial" w:hAnsi="Arial"/>
          <w:i/>
          <w:iCs/>
          <w:color w:val="000000"/>
          <w:sz w:val="18"/>
          <w:szCs w:val="18"/>
        </w:rPr>
        <w:t xml:space="preserve">Abbreviations: β, regression coefficient; CDR-SB, Clinical Dementia Rating Sum of Boxes; CI, confidence interval; SA, sensitivity analysis. All models adjusted for age, sex, education, and APOE ε4 status using linear mixed-effects models with random intercepts and slopes.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titlePg w:val="false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000000"/>
        <w:sz w:val="18"/>
        <w:szCs w:val="18"/>
      </w:rPr>
      <w:t xml:space="preserve">Supplementary Tables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2026-03-21T21:01:14.396Z</dcterms:created>
  <dcterms:modified xsi:type="dcterms:W3CDTF">2026-03-21T21:01:14.401Z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