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b w:val="1"/>
          <w:bCs w:val="1"/>
          <w:sz w:val="34"/>
          <w:szCs w:val="34"/>
        </w:rPr>
      </w:pPr>
      <w:bookmarkStart w:colFirst="0" w:colLast="0" w:name="_heading=h.2qldur7irf8f" w:id="0"/>
      <w:bookmarkEnd w:id="0"/>
      <w:r w:rsidDel="00000000" w:rsidR="00000000" w:rsidRPr="00000000">
        <w:rPr>
          <w:b w:val="1"/>
          <w:bCs w:val="1"/>
          <w:sz w:val="34"/>
          <w:szCs w:val="34"/>
          <w:rtl w:val="0"/>
        </w:rPr>
        <w:t xml:space="preserve">Supplementary Information</w:t>
      </w:r>
    </w:p>
    <w:p w:rsidR="00000000" w:rsidDel="00000000" w:rsidP="00000000" w:rsidRDefault="00000000" w:rsidRPr="00000000" w14:paraId="00000002">
      <w:pPr>
        <w:rPr/>
      </w:pPr>
      <w:r w:rsidDel="00000000" w:rsidR="00000000" w:rsidRPr="00000000">
        <w:rPr>
          <w:rtl w:val="0"/>
        </w:rPr>
      </w:r>
    </w:p>
    <w:sdt>
      <w:sdtPr>
        <w:id w:val="435167116"/>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before="60" w:line="240" w:lineRule="auto"/>
            <w:jc w:val="left"/>
            <w:rPr>
              <w:b w:val="1"/>
              <w:bCs w:val="1"/>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e9xegd2m5f8f">
            <w:r w:rsidDel="00000000" w:rsidR="00000000" w:rsidRPr="00000000">
              <w:rPr>
                <w:rtl w:val="0"/>
              </w:rPr>
              <w:t xml:space="preserve">1. Supplementary Methods</w:t>
              <w:tab/>
              <w:t xml:space="preserve">3</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ind w:left="360" w:firstLine="0"/>
            <w:jc w:val="left"/>
            <w:rPr>
              <w:sz w:val="22"/>
              <w:szCs w:val="22"/>
            </w:rPr>
          </w:pPr>
          <w:hyperlink w:anchor="_heading=h.xfogrb8nv65r">
            <w:r w:rsidDel="00000000" w:rsidR="00000000" w:rsidRPr="00000000">
              <w:rPr>
                <w:rtl w:val="0"/>
              </w:rPr>
              <w:t xml:space="preserve">1.1 Rationale for 35-Minute Completion Time Threshold</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360" w:firstLine="0"/>
            <w:jc w:val="left"/>
            <w:rPr>
              <w:sz w:val="22"/>
              <w:szCs w:val="22"/>
            </w:rPr>
          </w:pPr>
          <w:hyperlink w:anchor="_heading=h.ku1utrh2ugm5">
            <w:r w:rsidDel="00000000" w:rsidR="00000000" w:rsidRPr="00000000">
              <w:rPr>
                <w:rtl w:val="0"/>
              </w:rPr>
              <w:t xml:space="preserve">1.2 Application of Exclusion Criteria</w:t>
              <w:tab/>
              <w:t xml:space="preserve">4</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jc w:val="left"/>
            <w:rPr>
              <w:sz w:val="22"/>
              <w:szCs w:val="22"/>
            </w:rPr>
          </w:pPr>
          <w:hyperlink w:anchor="_heading=h.vtx4zwx3wls7">
            <w:r w:rsidDel="00000000" w:rsidR="00000000" w:rsidRPr="00000000">
              <w:rPr>
                <w:rtl w:val="0"/>
              </w:rPr>
              <w:t xml:space="preserve">1.3 Question Development Protocols</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720" w:firstLine="0"/>
            <w:jc w:val="left"/>
            <w:rPr>
              <w:sz w:val="22"/>
              <w:szCs w:val="22"/>
            </w:rPr>
          </w:pPr>
          <w:hyperlink w:anchor="_heading=h.5zd75vmu08u7">
            <w:r w:rsidDel="00000000" w:rsidR="00000000" w:rsidRPr="00000000">
              <w:rPr>
                <w:rtl w:val="0"/>
              </w:rPr>
              <w:t xml:space="preserve">1.3.1 Common Elements Across Both Protocols</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720" w:firstLine="0"/>
            <w:jc w:val="left"/>
            <w:rPr>
              <w:sz w:val="22"/>
              <w:szCs w:val="22"/>
            </w:rPr>
          </w:pPr>
          <w:hyperlink w:anchor="_heading=h.3s9vseodcvo">
            <w:r w:rsidDel="00000000" w:rsidR="00000000" w:rsidRPr="00000000">
              <w:rPr>
                <w:rtl w:val="0"/>
              </w:rPr>
              <w:t xml:space="preserve">1.3.2 AI-Gen Protocol</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1080" w:firstLine="0"/>
            <w:jc w:val="left"/>
            <w:rPr>
              <w:sz w:val="22"/>
              <w:szCs w:val="22"/>
            </w:rPr>
          </w:pPr>
          <w:hyperlink w:anchor="_heading=h.m4b8mgnsorey">
            <w:r w:rsidDel="00000000" w:rsidR="00000000" w:rsidRPr="00000000">
              <w:rPr>
                <w:rtl w:val="0"/>
              </w:rPr>
              <w:t xml:space="preserve">1.3.2.1 General Principles</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1080" w:firstLine="0"/>
            <w:jc w:val="left"/>
            <w:rPr>
              <w:sz w:val="22"/>
              <w:szCs w:val="22"/>
            </w:rPr>
          </w:pPr>
          <w:hyperlink w:anchor="_heading=h.3owlqux5wyae">
            <w:r w:rsidDel="00000000" w:rsidR="00000000" w:rsidRPr="00000000">
              <w:rPr>
                <w:rtl w:val="0"/>
              </w:rPr>
              <w:t xml:space="preserve">1.3.2.2 Step 1: Initial Question Generation Using ChatGPT-4</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1080" w:firstLine="0"/>
            <w:jc w:val="left"/>
            <w:rPr>
              <w:sz w:val="22"/>
              <w:szCs w:val="22"/>
            </w:rPr>
          </w:pPr>
          <w:hyperlink w:anchor="_heading=h.13wj5vej6yjb">
            <w:r w:rsidDel="00000000" w:rsidR="00000000" w:rsidRPr="00000000">
              <w:rPr>
                <w:rtl w:val="0"/>
              </w:rPr>
              <w:t xml:space="preserve">1.3.2.3 Step 2: Quality Review by Question Writer</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1080" w:firstLine="0"/>
            <w:jc w:val="left"/>
            <w:rPr>
              <w:sz w:val="22"/>
              <w:szCs w:val="22"/>
            </w:rPr>
          </w:pPr>
          <w:hyperlink w:anchor="_heading=h.j23a42v5rp4z">
            <w:r w:rsidDel="00000000" w:rsidR="00000000" w:rsidRPr="00000000">
              <w:rPr>
                <w:rtl w:val="0"/>
              </w:rPr>
              <w:t xml:space="preserve">1.3.2.4 Step 3A: Cross-Verification Using Google Gemini v1.5 Flash</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1080" w:firstLine="0"/>
            <w:jc w:val="left"/>
            <w:rPr>
              <w:sz w:val="22"/>
              <w:szCs w:val="22"/>
            </w:rPr>
          </w:pPr>
          <w:hyperlink w:anchor="_heading=h.3udveejamjmq">
            <w:r w:rsidDel="00000000" w:rsidR="00000000" w:rsidRPr="00000000">
              <w:rPr>
                <w:rtl w:val="0"/>
              </w:rPr>
              <w:t xml:space="preserve">1.3.2.5 Step 3B: Confidence Verification</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1080" w:firstLine="0"/>
            <w:jc w:val="left"/>
            <w:rPr>
              <w:sz w:val="22"/>
              <w:szCs w:val="22"/>
            </w:rPr>
          </w:pPr>
          <w:hyperlink w:anchor="_heading=h.uddqajw1i4vv">
            <w:r w:rsidDel="00000000" w:rsidR="00000000" w:rsidRPr="00000000">
              <w:rPr>
                <w:rtl w:val="0"/>
              </w:rPr>
              <w:t xml:space="preserve">1.3.2.6 Step 4: Decision Point and Documentation</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720" w:firstLine="0"/>
            <w:jc w:val="left"/>
            <w:rPr>
              <w:sz w:val="22"/>
              <w:szCs w:val="22"/>
            </w:rPr>
          </w:pPr>
          <w:hyperlink w:anchor="_heading=h.6zmvvlc5209o">
            <w:r w:rsidDel="00000000" w:rsidR="00000000" w:rsidRPr="00000000">
              <w:rPr>
                <w:rtl w:val="0"/>
              </w:rPr>
              <w:t xml:space="preserve">1.3.3 Human-Gen Protocol</w:t>
              <w:tab/>
              <w:t xml:space="preserve">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1080" w:firstLine="0"/>
            <w:jc w:val="left"/>
            <w:rPr>
              <w:sz w:val="22"/>
              <w:szCs w:val="22"/>
            </w:rPr>
          </w:pPr>
          <w:hyperlink w:anchor="_heading=h.1dxon9gzob0k">
            <w:r w:rsidDel="00000000" w:rsidR="00000000" w:rsidRPr="00000000">
              <w:rPr>
                <w:rtl w:val="0"/>
              </w:rPr>
              <w:t xml:space="preserve">1.3.3.1 General Principles</w:t>
              <w:tab/>
              <w:t xml:space="preserve">8</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1080" w:firstLine="0"/>
            <w:jc w:val="left"/>
            <w:rPr>
              <w:sz w:val="22"/>
              <w:szCs w:val="22"/>
            </w:rPr>
          </w:pPr>
          <w:hyperlink w:anchor="_heading=h.6j3wrqn8ghxg">
            <w:r w:rsidDel="00000000" w:rsidR="00000000" w:rsidRPr="00000000">
              <w:rPr>
                <w:rtl w:val="0"/>
              </w:rPr>
              <w:t xml:space="preserve">1.3.3.2 Step 1: Question Development</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1080" w:firstLine="0"/>
            <w:jc w:val="left"/>
            <w:rPr>
              <w:sz w:val="22"/>
              <w:szCs w:val="22"/>
            </w:rPr>
          </w:pPr>
          <w:hyperlink w:anchor="_heading=h.ylahltanvzoc">
            <w:r w:rsidDel="00000000" w:rsidR="00000000" w:rsidRPr="00000000">
              <w:rPr>
                <w:rtl w:val="0"/>
              </w:rPr>
              <w:t xml:space="preserve">1.3.3.3 Step 2: Peer Review Process</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1080" w:firstLine="0"/>
            <w:jc w:val="left"/>
            <w:rPr>
              <w:sz w:val="22"/>
              <w:szCs w:val="22"/>
            </w:rPr>
          </w:pPr>
          <w:hyperlink w:anchor="_heading=h.fforzdc9zogu">
            <w:r w:rsidDel="00000000" w:rsidR="00000000" w:rsidRPr="00000000">
              <w:rPr>
                <w:rtl w:val="0"/>
              </w:rPr>
              <w:t xml:space="preserve">1.3.3.4 Step 3: Time Documentation</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jc w:val="left"/>
            <w:rPr>
              <w:sz w:val="22"/>
              <w:szCs w:val="22"/>
            </w:rPr>
          </w:pPr>
          <w:hyperlink w:anchor="_heading=h.kkn8tjdxiqxc">
            <w:r w:rsidDel="00000000" w:rsidR="00000000" w:rsidRPr="00000000">
              <w:rPr>
                <w:rtl w:val="0"/>
              </w:rPr>
              <w:t xml:space="preserve">1.4 Content Validity and Curriculum Alignment</w:t>
              <w:tab/>
              <w:t xml:space="preserve">9</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jc w:val="left"/>
            <w:rPr>
              <w:sz w:val="22"/>
              <w:szCs w:val="22"/>
            </w:rPr>
          </w:pPr>
          <w:hyperlink w:anchor="_heading=h.6itrhte3zoeh">
            <w:r w:rsidDel="00000000" w:rsidR="00000000" w:rsidRPr="00000000">
              <w:rPr>
                <w:rtl w:val="0"/>
              </w:rPr>
              <w:t xml:space="preserve">1.5 Statistical Analysis</w:t>
              <w:tab/>
              <w:t xml:space="preserve">10</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720" w:firstLine="0"/>
            <w:jc w:val="left"/>
            <w:rPr>
              <w:sz w:val="22"/>
              <w:szCs w:val="22"/>
            </w:rPr>
          </w:pPr>
          <w:hyperlink w:anchor="_heading=h.hqbjz7ti4crh">
            <w:r w:rsidDel="00000000" w:rsidR="00000000" w:rsidRPr="00000000">
              <w:rPr>
                <w:rtl w:val="0"/>
              </w:rPr>
              <w:t xml:space="preserve">1.5.1 General analytic approach</w:t>
              <w:tab/>
              <w:t xml:space="preserve">10</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720" w:firstLine="0"/>
            <w:jc w:val="left"/>
            <w:rPr>
              <w:sz w:val="22"/>
              <w:szCs w:val="22"/>
            </w:rPr>
          </w:pPr>
          <w:hyperlink w:anchor="_heading=h.t3d98g3v0rjc">
            <w:r w:rsidDel="00000000" w:rsidR="00000000" w:rsidRPr="00000000">
              <w:rPr>
                <w:rtl w:val="0"/>
              </w:rPr>
              <w:t xml:space="preserve">1.5.2 Feasibility analysis</w:t>
              <w:tab/>
              <w:t xml:space="preserve">10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720" w:firstLine="0"/>
            <w:jc w:val="left"/>
            <w:rPr>
              <w:sz w:val="22"/>
              <w:szCs w:val="22"/>
            </w:rPr>
          </w:pPr>
          <w:hyperlink w:anchor="_heading=h.yo79a1iturtz">
            <w:r w:rsidDel="00000000" w:rsidR="00000000" w:rsidRPr="00000000">
              <w:rPr>
                <w:rtl w:val="0"/>
              </w:rPr>
              <w:t xml:space="preserve">1.5.3 Acceptability analysis</w:t>
              <w:tab/>
              <w:t xml:space="preserve">10</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jc w:val="left"/>
            <w:rPr>
              <w:sz w:val="22"/>
              <w:szCs w:val="22"/>
            </w:rPr>
          </w:pPr>
          <w:hyperlink w:anchor="_heading=h.5a3649j4zi6u">
            <w:r w:rsidDel="00000000" w:rsidR="00000000" w:rsidRPr="00000000">
              <w:rPr>
                <w:rtl w:val="0"/>
              </w:rPr>
              <w:t xml:space="preserve">1.5.4 Reliability analysis</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720" w:firstLine="0"/>
            <w:jc w:val="left"/>
            <w:rPr>
              <w:sz w:val="22"/>
              <w:szCs w:val="22"/>
            </w:rPr>
          </w:pPr>
          <w:hyperlink w:anchor="_heading=h.dhrmndae16ic">
            <w:r w:rsidDel="00000000" w:rsidR="00000000" w:rsidRPr="00000000">
              <w:rPr>
                <w:rtl w:val="0"/>
              </w:rPr>
              <w:t xml:space="preserve">1.5.5 Validity and subgroup analyses</w:t>
              <w:tab/>
              <w:t xml:space="preserve">11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720" w:firstLine="0"/>
            <w:jc w:val="left"/>
            <w:rPr>
              <w:sz w:val="22"/>
              <w:szCs w:val="22"/>
            </w:rPr>
          </w:pPr>
          <w:hyperlink w:anchor="_heading=h.1lt064w5giz5">
            <w:r w:rsidDel="00000000" w:rsidR="00000000" w:rsidRPr="00000000">
              <w:rPr>
                <w:rtl w:val="0"/>
              </w:rPr>
              <w:t xml:space="preserve">1.5.6 Educational impact</w:t>
              <w:tab/>
              <w:t xml:space="preserve">11</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jc w:val="left"/>
            <w:rPr>
              <w:sz w:val="22"/>
              <w:szCs w:val="22"/>
            </w:rPr>
          </w:pPr>
          <w:hyperlink w:anchor="_heading=h.v8ca2oy5ah4b">
            <w:r w:rsidDel="00000000" w:rsidR="00000000" w:rsidRPr="00000000">
              <w:rPr>
                <w:rtl w:val="0"/>
              </w:rPr>
              <w:t xml:space="preserve">1.6 Survey Instruments</w:t>
              <w:tab/>
              <w:t xml:space="preserve">12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jc w:val="left"/>
            <w:rPr>
              <w:sz w:val="22"/>
              <w:szCs w:val="22"/>
            </w:rPr>
          </w:pPr>
          <w:hyperlink w:anchor="_heading=h.tryxek11qdgx">
            <w:r w:rsidDel="00000000" w:rsidR="00000000" w:rsidRPr="00000000">
              <w:rPr>
                <w:rtl w:val="0"/>
              </w:rPr>
              <w:t xml:space="preserve">1.6.1 Pre-Exam Survey</w:t>
              <w:tab/>
              <w:t xml:space="preserve">12</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1080" w:firstLine="0"/>
            <w:jc w:val="left"/>
            <w:rPr>
              <w:sz w:val="22"/>
              <w:szCs w:val="22"/>
            </w:rPr>
          </w:pPr>
          <w:hyperlink w:anchor="_heading=h.wh1mxkbdvfuy">
            <w:r w:rsidDel="00000000" w:rsidR="00000000" w:rsidRPr="00000000">
              <w:rPr>
                <w:rtl w:val="0"/>
              </w:rPr>
              <w:t xml:space="preserve">1.6.1.1 Demographic and Academic Variables</w:t>
              <w:tab/>
              <w:t xml:space="preserve">12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1080" w:firstLine="0"/>
            <w:jc w:val="left"/>
            <w:rPr>
              <w:sz w:val="22"/>
              <w:szCs w:val="22"/>
            </w:rPr>
          </w:pPr>
          <w:hyperlink w:anchor="_heading=h.fig37pjlg5pr">
            <w:r w:rsidDel="00000000" w:rsidR="00000000" w:rsidRPr="00000000">
              <w:rPr>
                <w:rtl w:val="0"/>
              </w:rPr>
              <w:t xml:space="preserve">1.6.1.2 Self-Efficacy and Learning Strategy Assessment</w:t>
              <w:tab/>
              <w:t xml:space="preserve">12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jc w:val="left"/>
            <w:rPr>
              <w:sz w:val="22"/>
              <w:szCs w:val="22"/>
            </w:rPr>
          </w:pPr>
          <w:hyperlink w:anchor="_heading=h.fus8ewtwlseo">
            <w:r w:rsidDel="00000000" w:rsidR="00000000" w:rsidRPr="00000000">
              <w:rPr>
                <w:rtl w:val="0"/>
              </w:rPr>
              <w:t xml:space="preserve">1.6.2 Post-Exam Survey</w:t>
              <w:tab/>
              <w:t xml:space="preserve">13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jc w:val="left"/>
            <w:rPr>
              <w:b w:val="1"/>
              <w:bCs w:val="1"/>
              <w:sz w:val="22"/>
              <w:szCs w:val="22"/>
            </w:rPr>
          </w:pPr>
          <w:hyperlink w:anchor="_heading=h.fu6hsq2n83lx">
            <w:r w:rsidDel="00000000" w:rsidR="00000000" w:rsidRPr="00000000">
              <w:rPr>
                <w:rtl w:val="0"/>
              </w:rPr>
              <w:t xml:space="preserve">2. Supplementary Per-Protocol (PP)  Results</w:t>
              <w:tab/>
              <w:t xml:space="preserve">13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jc w:val="left"/>
            <w:rPr>
              <w:sz w:val="22"/>
              <w:szCs w:val="22"/>
            </w:rPr>
          </w:pPr>
          <w:hyperlink w:anchor="_heading=h.g32senhrcu06">
            <w:r w:rsidDel="00000000" w:rsidR="00000000" w:rsidRPr="00000000">
              <w:rPr>
                <w:rtl w:val="0"/>
              </w:rPr>
              <w:t xml:space="preserve">2.1 Acceptability Measures</w:t>
              <w:tab/>
              <w:t xml:space="preserve">14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jc w:val="left"/>
            <w:rPr>
              <w:sz w:val="22"/>
              <w:szCs w:val="22"/>
            </w:rPr>
          </w:pPr>
          <w:hyperlink w:anchor="_heading=h.h52l3xnnn3ln">
            <w:r w:rsidDel="00000000" w:rsidR="00000000" w:rsidRPr="00000000">
              <w:rPr>
                <w:rtl w:val="0"/>
              </w:rPr>
              <w:t xml:space="preserve">2.2 Reliability Measures</w:t>
              <w:tab/>
              <w:t xml:space="preserve">14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jc w:val="left"/>
            <w:rPr>
              <w:sz w:val="22"/>
              <w:szCs w:val="22"/>
            </w:rPr>
          </w:pPr>
          <w:hyperlink w:anchor="_heading=h.r45hu4fpahi0">
            <w:r w:rsidDel="00000000" w:rsidR="00000000" w:rsidRPr="00000000">
              <w:rPr>
                <w:rtl w:val="0"/>
              </w:rPr>
              <w:t xml:space="preserve">2.2.1 Item Discrimination (DI):</w:t>
              <w:tab/>
              <w:t xml:space="preserve">14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jc w:val="left"/>
            <w:rPr>
              <w:sz w:val="22"/>
              <w:szCs w:val="22"/>
            </w:rPr>
          </w:pPr>
          <w:hyperlink w:anchor="_heading=h.gty10l7authd">
            <w:r w:rsidDel="00000000" w:rsidR="00000000" w:rsidRPr="00000000">
              <w:rPr>
                <w:rtl w:val="0"/>
              </w:rPr>
              <w:t xml:space="preserve">2.2.2 Distractor Efficiency (DE)</w:t>
              <w:tab/>
              <w:t xml:space="preserve">15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jc w:val="left"/>
            <w:rPr>
              <w:sz w:val="22"/>
              <w:szCs w:val="22"/>
            </w:rPr>
          </w:pPr>
          <w:hyperlink w:anchor="_heading=h.4r8nn0o9pk91">
            <w:r w:rsidDel="00000000" w:rsidR="00000000" w:rsidRPr="00000000">
              <w:rPr>
                <w:rtl w:val="0"/>
              </w:rPr>
              <w:t xml:space="preserve">2.3 Validity Measures</w:t>
              <w:tab/>
              <w:t xml:space="preserve">15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jc w:val="left"/>
            <w:rPr>
              <w:sz w:val="22"/>
              <w:szCs w:val="22"/>
            </w:rPr>
          </w:pPr>
          <w:hyperlink w:anchor="_heading=h.ysohr9u6e936">
            <w:r w:rsidDel="00000000" w:rsidR="00000000" w:rsidRPr="00000000">
              <w:rPr>
                <w:rtl w:val="0"/>
              </w:rPr>
              <w:t xml:space="preserve">2.3.1 Mean Exam Scores</w:t>
              <w:tab/>
              <w:t xml:space="preserve">15</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jc w:val="left"/>
            <w:rPr>
              <w:sz w:val="22"/>
              <w:szCs w:val="22"/>
            </w:rPr>
          </w:pPr>
          <w:hyperlink w:anchor="_heading=h.e98cvix9pfql">
            <w:r w:rsidDel="00000000" w:rsidR="00000000" w:rsidRPr="00000000">
              <w:rPr>
                <w:rtl w:val="0"/>
              </w:rPr>
              <w:t xml:space="preserve">2.3.2  Subgroup Analysis: Performance by Undergraduate Academic Background</w:t>
              <w:tab/>
              <w:t xml:space="preserve">16</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jc w:val="left"/>
            <w:rPr>
              <w:sz w:val="22"/>
              <w:szCs w:val="22"/>
            </w:rPr>
          </w:pPr>
          <w:hyperlink w:anchor="_heading=h.gzzk6six87is">
            <w:r w:rsidDel="00000000" w:rsidR="00000000" w:rsidRPr="00000000">
              <w:rPr>
                <w:rtl w:val="0"/>
              </w:rPr>
              <w:t xml:space="preserve">2.3.3  Subgroup Analysis: Performance by Curricular Theme</w:t>
              <w:tab/>
              <w:t xml:space="preserve">17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jc w:val="left"/>
            <w:rPr>
              <w:sz w:val="22"/>
              <w:szCs w:val="22"/>
            </w:rPr>
          </w:pPr>
          <w:hyperlink w:anchor="_heading=h.nv1uuipw4ei0">
            <w:r w:rsidDel="00000000" w:rsidR="00000000" w:rsidRPr="00000000">
              <w:rPr>
                <w:rtl w:val="0"/>
              </w:rPr>
              <w:t xml:space="preserve">2.3.4  Subgroup Analysis: Performance by Gender</w:t>
              <w:tab/>
              <w:t xml:space="preserve">17</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jc w:val="left"/>
            <w:rPr>
              <w:sz w:val="22"/>
              <w:szCs w:val="22"/>
            </w:rPr>
          </w:pPr>
          <w:hyperlink w:anchor="_heading=h.45v10om5jd1h">
            <w:r w:rsidDel="00000000" w:rsidR="00000000" w:rsidRPr="00000000">
              <w:rPr>
                <w:rtl w:val="0"/>
              </w:rPr>
              <w:t xml:space="preserve">2.4 Educational impact</w:t>
              <w:tab/>
              <w:t xml:space="preserve">18</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jc w:val="left"/>
            <w:rPr>
              <w:b w:val="1"/>
              <w:bCs w:val="1"/>
              <w:sz w:val="22"/>
              <w:szCs w:val="22"/>
            </w:rPr>
          </w:pPr>
          <w:hyperlink w:anchor="_heading=h.mp813oxp6dmo">
            <w:r w:rsidDel="00000000" w:rsidR="00000000" w:rsidRPr="00000000">
              <w:rPr>
                <w:rtl w:val="0"/>
              </w:rPr>
              <w:t xml:space="preserve">3. Supplementary Intention-to-treat (ITT)  Results</w:t>
              <w:tab/>
              <w:t xml:space="preserve">19</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jc w:val="left"/>
            <w:rPr>
              <w:sz w:val="22"/>
              <w:szCs w:val="22"/>
            </w:rPr>
          </w:pPr>
          <w:hyperlink w:anchor="_heading=h.gm7l7owxrfs7">
            <w:r w:rsidDel="00000000" w:rsidR="00000000" w:rsidRPr="00000000">
              <w:rPr>
                <w:rtl w:val="0"/>
              </w:rPr>
              <w:t xml:space="preserve">3.1 Subgroup Analysis: Performance by Undergraduate Academic Background</w:t>
              <w:tab/>
              <w:t xml:space="preserve">19</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jc w:val="left"/>
            <w:rPr>
              <w:sz w:val="22"/>
              <w:szCs w:val="22"/>
            </w:rPr>
          </w:pPr>
          <w:hyperlink w:anchor="_heading=h.2x1mre6luzkc">
            <w:r w:rsidDel="00000000" w:rsidR="00000000" w:rsidRPr="00000000">
              <w:rPr>
                <w:rtl w:val="0"/>
              </w:rPr>
              <w:t xml:space="preserve">3.2 Subgroup Analysis: Performance by Curricular Theme</w:t>
              <w:tab/>
              <w:t xml:space="preserve">19</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jc w:val="left"/>
            <w:rPr>
              <w:sz w:val="22"/>
              <w:szCs w:val="22"/>
            </w:rPr>
          </w:pPr>
          <w:hyperlink w:anchor="_heading=h.1ppl5r7e83f0">
            <w:r w:rsidDel="00000000" w:rsidR="00000000" w:rsidRPr="00000000">
              <w:rPr>
                <w:rtl w:val="0"/>
              </w:rPr>
              <w:t xml:space="preserve">3.3 Subgroup Analysis: Performance by Gender</w:t>
              <w:tab/>
              <w:t xml:space="preserve">20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jc w:val="left"/>
            <w:rPr>
              <w:b w:val="1"/>
              <w:bCs w:val="1"/>
              <w:sz w:val="22"/>
              <w:szCs w:val="22"/>
            </w:rPr>
          </w:pPr>
          <w:hyperlink w:anchor="_heading=h.jy15nntjt7cu">
            <w:r w:rsidDel="00000000" w:rsidR="00000000" w:rsidRPr="00000000">
              <w:rPr>
                <w:rtl w:val="0"/>
              </w:rPr>
              <w:t xml:space="preserve">4. Supplementary Tables</w:t>
              <w:tab/>
              <w:t xml:space="preserve">21</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jc w:val="left"/>
            <w:rPr>
              <w:sz w:val="22"/>
              <w:szCs w:val="22"/>
            </w:rPr>
          </w:pPr>
          <w:hyperlink w:anchor="_heading=h.pyqtogexdmd">
            <w:r w:rsidDel="00000000" w:rsidR="00000000" w:rsidRPr="00000000">
              <w:rPr>
                <w:rtl w:val="0"/>
              </w:rPr>
              <w:t xml:space="preserve">Table S1. Baseline Characteristics of the students in the PP population</w:t>
              <w:tab/>
              <w:t xml:space="preserve">21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jc w:val="left"/>
            <w:rPr>
              <w:sz w:val="22"/>
              <w:szCs w:val="22"/>
            </w:rPr>
          </w:pPr>
          <w:hyperlink w:anchor="_heading=h.6idmo76j9vvk">
            <w:r w:rsidDel="00000000" w:rsidR="00000000" w:rsidRPr="00000000">
              <w:rPr>
                <w:rtl w:val="0"/>
              </w:rPr>
              <w:t xml:space="preserve">Table S2. Comparison of primary outcomes between PP and ITT analyses.</w:t>
              <w:tab/>
              <w:t xml:space="preserve">22</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jc w:val="left"/>
            <w:rPr>
              <w:sz w:val="22"/>
              <w:szCs w:val="22"/>
            </w:rPr>
          </w:pPr>
          <w:hyperlink w:anchor="_heading=h.cjib5bdj40g6">
            <w:r w:rsidDel="00000000" w:rsidR="00000000" w:rsidRPr="00000000">
              <w:rPr>
                <w:rtl w:val="0"/>
              </w:rPr>
              <w:t xml:space="preserve">Table S3. Comparison of acceptability domains between PP and ITT analyses</w:t>
              <w:tab/>
              <w:t xml:space="preserve">23</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jc w:val="left"/>
            <w:rPr>
              <w:sz w:val="22"/>
              <w:szCs w:val="22"/>
            </w:rPr>
          </w:pPr>
          <w:hyperlink w:anchor="_heading=h.6wp0ors9a63r">
            <w:r w:rsidDel="00000000" w:rsidR="00000000" w:rsidRPr="00000000">
              <w:rPr>
                <w:rtl w:val="0"/>
              </w:rPr>
              <w:t xml:space="preserve">Table S4. Curricular theme performance for AI- and Human-gen examinations in PP and ITT analyses.</w:t>
              <w:tab/>
              <w:t xml:space="preserve">24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jc w:val="left"/>
            <w:rPr>
              <w:b w:val="1"/>
              <w:bCs w:val="1"/>
              <w:sz w:val="22"/>
              <w:szCs w:val="22"/>
            </w:rPr>
          </w:pPr>
          <w:hyperlink w:anchor="_heading=h.fd4rnaiv75wn">
            <w:r w:rsidDel="00000000" w:rsidR="00000000" w:rsidRPr="00000000">
              <w:rPr>
                <w:rtl w:val="0"/>
              </w:rPr>
              <w:t xml:space="preserve">5. Supplementary Figures</w:t>
              <w:tab/>
              <w:t xml:space="preserve">25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jc w:val="left"/>
            <w:rPr>
              <w:sz w:val="22"/>
              <w:szCs w:val="22"/>
            </w:rPr>
          </w:pPr>
          <w:hyperlink w:anchor="_heading=h.rfyqeh4jwrep">
            <w:r w:rsidDel="00000000" w:rsidR="00000000" w:rsidRPr="00000000">
              <w:rPr>
                <w:rtl w:val="0"/>
              </w:rPr>
              <w:t xml:space="preserve">Figure S1. Distribution of examination completion times.</w:t>
              <w:tab/>
              <w:t xml:space="preserve">25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jc w:val="left"/>
            <w:rPr>
              <w:sz w:val="22"/>
              <w:szCs w:val="22"/>
            </w:rPr>
          </w:pPr>
          <w:hyperlink w:anchor="_heading=h.xeq6ygimfxw3">
            <w:r w:rsidDel="00000000" w:rsidR="00000000" w:rsidRPr="00000000">
              <w:rPr>
                <w:rtl w:val="0"/>
              </w:rPr>
              <w:t xml:space="preserve">Figure S2. Time required per MCQ by exam generation protocol.</w:t>
              <w:tab/>
              <w:t xml:space="preserve">26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jc w:val="left"/>
            <w:rPr>
              <w:sz w:val="22"/>
              <w:szCs w:val="22"/>
            </w:rPr>
          </w:pPr>
          <w:hyperlink w:anchor="_heading=h.4qt3eube0ks">
            <w:r w:rsidDel="00000000" w:rsidR="00000000" w:rsidRPr="00000000">
              <w:rPr>
                <w:rtl w:val="0"/>
              </w:rPr>
              <w:t xml:space="preserve">Figure S3. Distribution of item discrimination index (DI) values by exam generation protocol in the PP population.</w:t>
              <w:tab/>
              <w:t xml:space="preserve">27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jc w:val="left"/>
            <w:rPr>
              <w:sz w:val="22"/>
              <w:szCs w:val="22"/>
            </w:rPr>
          </w:pPr>
          <w:hyperlink w:anchor="_heading=h.c39fgka3p9oe">
            <w:r w:rsidDel="00000000" w:rsidR="00000000" w:rsidRPr="00000000">
              <w:rPr>
                <w:rtl w:val="0"/>
              </w:rPr>
              <w:t xml:space="preserve">Figure S4. Distribution of discrimination efficiency (DE) values by exam generation protocol in the PP population.</w:t>
              <w:tab/>
              <w:t xml:space="preserve">28</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jc w:val="left"/>
            <w:rPr>
              <w:sz w:val="22"/>
              <w:szCs w:val="22"/>
            </w:rPr>
          </w:pPr>
          <w:hyperlink w:anchor="_heading=h.1xkf1l2owel5">
            <w:r w:rsidDel="00000000" w:rsidR="00000000" w:rsidRPr="00000000">
              <w:rPr>
                <w:rtl w:val="0"/>
              </w:rPr>
              <w:t xml:space="preserve">Figure S5. Distribution of student performance by exam generation protocol in the PP population.</w:t>
              <w:tab/>
              <w:t xml:space="preserve">29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jc w:val="left"/>
            <w:rPr>
              <w:sz w:val="22"/>
              <w:szCs w:val="22"/>
            </w:rPr>
          </w:pPr>
          <w:hyperlink w:anchor="_heading=h.gz4edn4mkj92">
            <w:r w:rsidDel="00000000" w:rsidR="00000000" w:rsidRPr="00000000">
              <w:rPr>
                <w:rtl w:val="0"/>
              </w:rPr>
              <w:t xml:space="preserve">Figure S6.1. Performance by undergraduate academic background in the PP population.</w:t>
              <w:tab/>
              <w:t xml:space="preserve">30</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jc w:val="left"/>
            <w:rPr>
              <w:sz w:val="22"/>
              <w:szCs w:val="22"/>
            </w:rPr>
          </w:pPr>
          <w:hyperlink w:anchor="_heading=h.447z3dc17oem">
            <w:r w:rsidDel="00000000" w:rsidR="00000000" w:rsidRPr="00000000">
              <w:rPr>
                <w:rtl w:val="0"/>
              </w:rPr>
              <w:t xml:space="preserve">Figure S6.2. Performance by undergraduate academic background in the ITT population.</w:t>
              <w:tab/>
              <w:t xml:space="preserve">31</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jc w:val="left"/>
            <w:rPr>
              <w:sz w:val="22"/>
              <w:szCs w:val="22"/>
            </w:rPr>
          </w:pPr>
          <w:hyperlink w:anchor="_heading=h.nhk7xtje6bk8">
            <w:r w:rsidDel="00000000" w:rsidR="00000000" w:rsidRPr="00000000">
              <w:rPr>
                <w:rtl w:val="0"/>
              </w:rPr>
              <w:t xml:space="preserve">Figure S7.1. Performance by curricular theme in the PP population.</w:t>
              <w:tab/>
              <w:t xml:space="preserve">32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jc w:val="left"/>
            <w:rPr>
              <w:sz w:val="22"/>
              <w:szCs w:val="22"/>
            </w:rPr>
          </w:pPr>
          <w:hyperlink w:anchor="_heading=h.lhqedai0kkt5">
            <w:r w:rsidDel="00000000" w:rsidR="00000000" w:rsidRPr="00000000">
              <w:rPr>
                <w:rtl w:val="0"/>
              </w:rPr>
              <w:t xml:space="preserve">Figure S7.2. Performance by curricular theme in the ITT population.</w:t>
              <w:tab/>
              <w:t xml:space="preserve">33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jc w:val="left"/>
            <w:rPr>
              <w:sz w:val="22"/>
              <w:szCs w:val="22"/>
            </w:rPr>
          </w:pPr>
          <w:hyperlink w:anchor="_heading=h.mu4vyhegimbm">
            <w:r w:rsidDel="00000000" w:rsidR="00000000" w:rsidRPr="00000000">
              <w:rPr>
                <w:rtl w:val="0"/>
              </w:rPr>
              <w:t xml:space="preserve">Figure S8.1. Performance by gender in the PP population.</w:t>
              <w:tab/>
              <w:t xml:space="preserve">34</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jc w:val="left"/>
            <w:rPr>
              <w:sz w:val="22"/>
              <w:szCs w:val="22"/>
            </w:rPr>
          </w:pPr>
          <w:hyperlink w:anchor="_heading=h.gxdlyc3ngwnk">
            <w:r w:rsidDel="00000000" w:rsidR="00000000" w:rsidRPr="00000000">
              <w:rPr>
                <w:rtl w:val="0"/>
              </w:rPr>
              <w:t xml:space="preserve">Figure S8.2. Performance by gender in the ITT population.</w:t>
              <w:tab/>
              <w:t xml:space="preserve">35</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jc w:val="left"/>
            <w:rPr>
              <w:sz w:val="22"/>
              <w:szCs w:val="22"/>
            </w:rPr>
          </w:pPr>
          <w:hyperlink w:anchor="_heading=h.cf71hk8l0gkd">
            <w:r w:rsidDel="00000000" w:rsidR="00000000" w:rsidRPr="00000000">
              <w:rPr>
                <w:rtl w:val="0"/>
              </w:rPr>
              <w:t xml:space="preserve">Figure S9. Comparison of PP and ITT DI distributions.</w:t>
              <w:tab/>
              <w:t xml:space="preserve">36</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jc w:val="left"/>
            <w:rPr>
              <w:sz w:val="22"/>
              <w:szCs w:val="22"/>
            </w:rPr>
          </w:pPr>
          <w:hyperlink w:anchor="_heading=h.64voheavalrg">
            <w:r w:rsidDel="00000000" w:rsidR="00000000" w:rsidRPr="00000000">
              <w:rPr>
                <w:rtl w:val="0"/>
              </w:rPr>
              <w:t xml:space="preserve">Figure S10. Comparison of DI for PP and ITT populations.</w:t>
              <w:tab/>
              <w:t xml:space="preserve">37</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jc w:val="left"/>
            <w:rPr>
              <w:sz w:val="22"/>
              <w:szCs w:val="22"/>
            </w:rPr>
          </w:pPr>
          <w:hyperlink w:anchor="_heading=h.fxusu1gwrw9p">
            <w:r w:rsidDel="00000000" w:rsidR="00000000" w:rsidRPr="00000000">
              <w:rPr>
                <w:rtl w:val="0"/>
              </w:rPr>
              <w:t xml:space="preserve">Figure S11. Acceptability metrics for PP population.</w:t>
              <w:tab/>
              <w:t xml:space="preserve">38</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jc w:val="left"/>
            <w:rPr>
              <w:b w:val="1"/>
              <w:bCs w:val="1"/>
              <w:sz w:val="22"/>
              <w:szCs w:val="22"/>
            </w:rPr>
          </w:pPr>
          <w:hyperlink w:anchor="_heading=h.7snsgnymk2cg">
            <w:r w:rsidDel="00000000" w:rsidR="00000000" w:rsidRPr="00000000">
              <w:rPr>
                <w:rtl w:val="0"/>
              </w:rPr>
              <w:t xml:space="preserve">6. Sample Paired AI-Gen and Human-Gen MCQs</w:t>
              <w:tab/>
              <w:t xml:space="preserve">39</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jc w:val="left"/>
            <w:rPr>
              <w:b w:val="1"/>
              <w:bCs w:val="1"/>
              <w:sz w:val="22"/>
              <w:szCs w:val="22"/>
            </w:rPr>
          </w:pPr>
          <w:hyperlink w:anchor="_heading=h.yaizwdu9ejeq">
            <w:r w:rsidDel="00000000" w:rsidR="00000000" w:rsidRPr="00000000">
              <w:rPr>
                <w:rtl w:val="0"/>
              </w:rPr>
              <w:t xml:space="preserve">7. Supplementary References</w:t>
              <w:tab/>
              <w:t xml:space="preserve">39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6">
      <w:pPr>
        <w:spacing w:line="240" w:lineRule="auto"/>
        <w:rPr>
          <w:sz w:val="22"/>
          <w:szCs w:val="22"/>
        </w:rPr>
      </w:pPr>
      <w:r w:rsidDel="00000000" w:rsidR="00000000" w:rsidRPr="00000000">
        <w:rPr>
          <w:rtl w:val="0"/>
        </w:rPr>
      </w:r>
    </w:p>
    <w:p w:rsidR="00000000" w:rsidDel="00000000" w:rsidP="00000000" w:rsidRDefault="00000000" w:rsidRPr="00000000" w14:paraId="00000047">
      <w:pPr>
        <w:pStyle w:val="Heading2"/>
        <w:rPr/>
      </w:pPr>
      <w:bookmarkStart w:colFirst="0" w:colLast="0" w:name="_heading=h.e9xegd2m5f8f" w:id="1"/>
      <w:bookmarkEnd w:id="1"/>
      <w:r w:rsidDel="00000000" w:rsidR="00000000" w:rsidRPr="00000000">
        <w:rPr>
          <w:rtl w:val="0"/>
        </w:rPr>
        <w:t xml:space="preserve">1. Supplementary Methods</w:t>
      </w:r>
    </w:p>
    <w:p w:rsidR="00000000" w:rsidDel="00000000" w:rsidP="00000000" w:rsidRDefault="00000000" w:rsidRPr="00000000" w14:paraId="00000048">
      <w:pPr>
        <w:pStyle w:val="Heading3"/>
        <w:rPr/>
      </w:pPr>
      <w:bookmarkStart w:colFirst="0" w:colLast="0" w:name="_heading=h.xfogrb8nv65r" w:id="2"/>
      <w:bookmarkEnd w:id="2"/>
      <w:r w:rsidDel="00000000" w:rsidR="00000000" w:rsidRPr="00000000">
        <w:rPr>
          <w:rtl w:val="0"/>
        </w:rPr>
        <w:t xml:space="preserve">1.1 Rationale for 35-Minute Completion Time Threshold</w:t>
      </w:r>
    </w:p>
    <w:p w:rsidR="00000000" w:rsidDel="00000000" w:rsidP="00000000" w:rsidRDefault="00000000" w:rsidRPr="00000000" w14:paraId="00000049">
      <w:pPr>
        <w:rPr/>
      </w:pPr>
      <w:r w:rsidDel="00000000" w:rsidR="00000000" w:rsidRPr="00000000">
        <w:rPr>
          <w:rtl w:val="0"/>
        </w:rPr>
        <w:t xml:space="preserve">Both examination versions consisted of 112 case-based single-best-answer multiple-choice questions (MCQs), each requiring evaluation of clinical vignettes and five answer options. Based on comparable examinations administered at the </w:t>
      </w:r>
      <w:r w:rsidDel="00000000" w:rsidR="00000000" w:rsidRPr="00000000">
        <w:rPr>
          <w:rtl w:val="0"/>
        </w:rPr>
        <w:t xml:space="preserve">University of British Columbia Faculty of Medicine, we estimated a reasonable completion time of approximately three hours for thoughtful engagement with this question format and quantity. However, recognizing that individual reading speeds, clinical reasoning efficiency, and test-taking strategies vary among students, we set the minimum threshold at 35 minutes—substantially below the expected completion time—to exclude only the most extreme cases of disengagement while retaining participants with faster but still meaningful completion patterns. Thirty-five minutes was chosen as a threshold to account for 5 minutes for pre- and post-exam survey completion and 30 minutes for actual exam time.</w:t>
      </w:r>
    </w:p>
    <w:p w:rsidR="00000000" w:rsidDel="00000000" w:rsidP="00000000" w:rsidRDefault="00000000" w:rsidRPr="00000000" w14:paraId="0000004A">
      <w:pPr>
        <w:ind w:firstLine="720"/>
        <w:rPr/>
      </w:pPr>
      <w:r w:rsidDel="00000000" w:rsidR="00000000" w:rsidRPr="00000000">
        <w:rPr>
          <w:rtl w:val="0"/>
        </w:rPr>
        <w:t xml:space="preserve">The appropriateness of the 35-minute threshold was validated through post-hoc analysis of actual completion times. Among all participants who submitted examinations (</w:t>
      </w:r>
      <w:r w:rsidDel="00000000" w:rsidR="00000000" w:rsidRPr="00000000">
        <w:rPr>
          <w:i w:val="1"/>
          <w:iCs w:val="1"/>
          <w:rtl w:val="0"/>
        </w:rPr>
        <w:t xml:space="preserve">N </w:t>
      </w:r>
      <w:r w:rsidDel="00000000" w:rsidR="00000000" w:rsidRPr="00000000">
        <w:rPr>
          <w:rtl w:val="0"/>
        </w:rPr>
        <w:t xml:space="preserve">= 258, before applying exclusion criteria), the mean completion time was 139.7 ± 42.8 minutes (</w:t>
      </w:r>
      <w:r w:rsidDel="00000000" w:rsidR="00000000" w:rsidRPr="00000000">
        <w:rPr>
          <w:b w:val="1"/>
          <w:bCs w:val="1"/>
          <w:rtl w:val="0"/>
        </w:rPr>
        <w:t xml:space="preserve">Figure S1</w:t>
      </w:r>
      <w:r w:rsidDel="00000000" w:rsidR="00000000" w:rsidRPr="00000000">
        <w:rPr>
          <w:rtl w:val="0"/>
        </w:rPr>
        <w:t xml:space="preserve">). The statistical lower boundary, defined as two standard deviations below the mean, was 54.1 minutes. Therefore, the pre-specified 35-minute exclusion criterion captured only responses that fell well outside the normal distribution of examination engagement—nearly 20 minutes below the statistical lower boundary. This conservative threshold ensured we retained participants with faster—but still meaningful—completion times while removing only those with implausibly rapid submissions that likely reflected random responding, pattern selection, or lack of genuine engagement with question content.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3"/>
        <w:rPr>
          <w:b w:val="0"/>
          <w:bCs w:val="0"/>
        </w:rPr>
      </w:pPr>
      <w:bookmarkStart w:colFirst="0" w:colLast="0" w:name="_heading=h.qc41rkabluvi" w:id="3"/>
      <w:bookmarkEnd w:id="3"/>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3"/>
        <w:rPr/>
      </w:pPr>
      <w:bookmarkStart w:colFirst="0" w:colLast="0" w:name="_heading=h.ku1utrh2ugm5" w:id="4"/>
      <w:bookmarkEnd w:id="4"/>
      <w:r w:rsidDel="00000000" w:rsidR="00000000" w:rsidRPr="00000000">
        <w:rPr>
          <w:rtl w:val="0"/>
        </w:rPr>
        <w:t xml:space="preserve">1.2 Application of Exclusion Criteria</w:t>
      </w:r>
    </w:p>
    <w:p w:rsidR="00000000" w:rsidDel="00000000" w:rsidP="00000000" w:rsidRDefault="00000000" w:rsidRPr="00000000" w14:paraId="0000004E">
      <w:pPr>
        <w:spacing w:after="240" w:before="240" w:lineRule="auto"/>
        <w:rPr/>
      </w:pPr>
      <w:r w:rsidDel="00000000" w:rsidR="00000000" w:rsidRPr="00000000">
        <w:rPr>
          <w:rtl w:val="0"/>
        </w:rPr>
        <w:t xml:space="preserve">A total of 10 participants (3.9% of enrolled participants) met pre-specified exclusion criteria: 4 from the AI-gen group (3.1%) and 6 from the Human-gen group (4.6%). Consistent with the intention-to-treat (ITT) principle, all 258 randomized participants were included in the primary analyses reported in the main manuscript (</w:t>
      </w:r>
      <w:r w:rsidDel="00000000" w:rsidR="00000000" w:rsidRPr="00000000">
        <w:rPr>
          <w:b w:val="1"/>
          <w:bCs w:val="1"/>
          <w:rtl w:val="0"/>
        </w:rPr>
        <w:t xml:space="preserve">Table 1</w:t>
      </w:r>
      <w:r w:rsidDel="00000000" w:rsidR="00000000" w:rsidRPr="00000000">
        <w:rPr>
          <w:rtl w:val="0"/>
        </w:rPr>
        <w:t xml:space="preserve">). Exclusion criteria were applied only to derive the per-protocol (PP) population, which included 123 participants in the AI-generated arm and 125 participants in the Human-generated arm (total N = 248, </w:t>
      </w:r>
      <w:r w:rsidDel="00000000" w:rsidR="00000000" w:rsidRPr="00000000">
        <w:rPr>
          <w:b w:val="1"/>
          <w:bCs w:val="1"/>
          <w:rtl w:val="0"/>
        </w:rPr>
        <w:t xml:space="preserve">Table S1</w:t>
      </w:r>
      <w:r w:rsidDel="00000000" w:rsidR="00000000" w:rsidRPr="00000000">
        <w:rPr>
          <w:rtl w:val="0"/>
        </w:rPr>
        <w:t xml:space="preserve">). The low and proportionally balanced exclusion rates across groups minimize the risk of differential attrition bias and support the use of PP analyses as a sensitivity comparison to ITT findings. </w:t>
      </w:r>
      <w:r w:rsidDel="00000000" w:rsidR="00000000" w:rsidRPr="00000000">
        <w:rPr>
          <w:b w:val="1"/>
          <w:bCs w:val="1"/>
          <w:rtl w:val="0"/>
        </w:rPr>
        <w:t xml:space="preserve">Figure S1</w:t>
      </w:r>
      <w:r w:rsidDel="00000000" w:rsidR="00000000" w:rsidRPr="00000000">
        <w:rPr>
          <w:rtl w:val="0"/>
        </w:rPr>
        <w:t xml:space="preserve"> displays the distribution of completion times with the 35-minute exclusion threshold marked, demonstrating that excluded participants represented clear outliers relative to the overall engagement distribution.</w:t>
      </w:r>
    </w:p>
    <w:p w:rsidR="00000000" w:rsidDel="00000000" w:rsidP="00000000" w:rsidRDefault="00000000" w:rsidRPr="00000000" w14:paraId="0000004F">
      <w:pPr>
        <w:pStyle w:val="Heading3"/>
        <w:rPr/>
      </w:pPr>
      <w:bookmarkStart w:colFirst="0" w:colLast="0" w:name="_heading=h.vtx4zwx3wls7" w:id="5"/>
      <w:bookmarkEnd w:id="5"/>
      <w:r w:rsidDel="00000000" w:rsidR="00000000" w:rsidRPr="00000000">
        <w:rPr>
          <w:rtl w:val="0"/>
        </w:rPr>
        <w:t xml:space="preserve">1.3 Question Development Protocols</w:t>
      </w:r>
    </w:p>
    <w:p w:rsidR="00000000" w:rsidDel="00000000" w:rsidP="00000000" w:rsidRDefault="00000000" w:rsidRPr="00000000" w14:paraId="00000050">
      <w:pPr>
        <w:rPr/>
      </w:pPr>
      <w:r w:rsidDel="00000000" w:rsidR="00000000" w:rsidRPr="00000000">
        <w:rPr>
          <w:rtl w:val="0"/>
        </w:rPr>
        <w:t xml:space="preserve">Both AI-generated and Human-generated questions were developed following standardized protocols to ensure methodological rigor and enable valid comparison. The protocols were designed to be parallel in structure while differing only in the source of question generation (AI models versus human authors) and the validation approach (dual-LLM verification versus peer review).</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4"/>
        <w:rPr/>
      </w:pPr>
      <w:bookmarkStart w:colFirst="0" w:colLast="0" w:name="_heading=h.5zd75vmu08u7" w:id="6"/>
      <w:bookmarkEnd w:id="6"/>
      <w:r w:rsidDel="00000000" w:rsidR="00000000" w:rsidRPr="00000000">
        <w:rPr>
          <w:rtl w:val="0"/>
        </w:rPr>
        <w:t xml:space="preserve">1.3.1 Common Elements Across Both Protocols</w:t>
      </w:r>
    </w:p>
    <w:p w:rsidR="00000000" w:rsidDel="00000000" w:rsidP="00000000" w:rsidRDefault="00000000" w:rsidRPr="00000000" w14:paraId="00000053">
      <w:pPr>
        <w:rPr/>
      </w:pPr>
      <w:r w:rsidDel="00000000" w:rsidR="00000000" w:rsidRPr="00000000">
        <w:rPr>
          <w:rtl w:val="0"/>
        </w:rPr>
        <w:t xml:space="preserve">To ensure content validity and comparability, both question development teams received identical instructions, question format requirements, and quality guidelines. Both teams received the weekly learning objectives derived from the official MEDD 411 curriculum. These objectives formed the blueprint for the actual summative examination, ensuring that mock examination questions assessed the same educational constructs as the high-stakes assessment. Each team developed 112 MCQs addressing the same distribution of learning objectives. All questions followed a single-best-answer format with five options (A-E); used case-based clinical vignettes; targeted moderate difficulty level; included comprehensive explanations for correct and incorrect answers; and featured plausible distractors from the same conceptual category. Question writers were also instructed to assess a single key concept (avoiding combining multiple learning objectives); use positively-phrased stems (avoiding “not” or “except” to ensure question clarity); prioritize clinically relevant scenarios over obscure facts; ensure all distractors were plausible within the clinical context; and avoid answer patterns (</w:t>
      </w:r>
      <w:r w:rsidDel="00000000" w:rsidR="00000000" w:rsidRPr="00000000">
        <w:rPr>
          <w:i w:val="1"/>
          <w:iCs w:val="1"/>
          <w:rtl w:val="0"/>
        </w:rPr>
        <w:t xml:space="preserve">e.g.</w:t>
      </w:r>
      <w:r w:rsidDel="00000000" w:rsidR="00000000" w:rsidRPr="00000000">
        <w:rPr>
          <w:rtl w:val="0"/>
        </w:rPr>
        <w:t xml:space="preserve">, “B” as the correct answer for consecutive questions).</w:t>
      </w:r>
    </w:p>
    <w:p w:rsidR="00000000" w:rsidDel="00000000" w:rsidP="00000000" w:rsidRDefault="00000000" w:rsidRPr="00000000" w14:paraId="00000054">
      <w:pPr>
        <w:rPr/>
      </w:pPr>
      <w:r w:rsidDel="00000000" w:rsidR="00000000" w:rsidRPr="00000000">
        <w:rPr>
          <w:rtl w:val="0"/>
        </w:rPr>
        <w:tab/>
        <w:t xml:space="preserve">The composition of the question-writing teams was identical. Each team comprised six second-year MD students from the UBC Faculty of Medicine class of 2027, all of whom had successfully completed MEDD 411 (examined course) one year prior. With the exception of the study lead, team members were blinded to the parallel group’s questions and development protocols to minimize contamination bias.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4"/>
        <w:rPr/>
      </w:pPr>
      <w:bookmarkStart w:colFirst="0" w:colLast="0" w:name="_heading=h.3s9vseodcvo" w:id="7"/>
      <w:bookmarkEnd w:id="7"/>
      <w:r w:rsidDel="00000000" w:rsidR="00000000" w:rsidRPr="00000000">
        <w:rPr>
          <w:rtl w:val="0"/>
        </w:rPr>
        <w:t xml:space="preserve">1.3.2 AI-Gen Protocol</w:t>
      </w:r>
    </w:p>
    <w:p w:rsidR="00000000" w:rsidDel="00000000" w:rsidP="00000000" w:rsidRDefault="00000000" w:rsidRPr="00000000" w14:paraId="00000057">
      <w:pPr>
        <w:pStyle w:val="Heading5"/>
        <w:rPr/>
      </w:pPr>
      <w:bookmarkStart w:colFirst="0" w:colLast="0" w:name="_heading=h.m4b8mgnsorey" w:id="8"/>
      <w:bookmarkEnd w:id="8"/>
      <w:r w:rsidDel="00000000" w:rsidR="00000000" w:rsidRPr="00000000">
        <w:rPr>
          <w:rtl w:val="0"/>
        </w:rPr>
        <w:t xml:space="preserve">1.3.2.1 General Principles</w:t>
      </w:r>
    </w:p>
    <w:p w:rsidR="00000000" w:rsidDel="00000000" w:rsidP="00000000" w:rsidRDefault="00000000" w:rsidRPr="00000000" w14:paraId="00000058">
      <w:pPr>
        <w:rPr/>
      </w:pPr>
      <w:r w:rsidDel="00000000" w:rsidR="00000000" w:rsidRPr="00000000">
        <w:rPr>
          <w:rtl w:val="0"/>
        </w:rPr>
        <w:t xml:space="preserve">The objective of the following protocol is to generate examination questions using a standardized dual-LLM verification approach to maximize quality and accuracy while maintaining content validity aligned with course learning objectives. The required resources are ChatGPT-4.0 (OpenAI) for initial question generation and Google Gemini v1.5 Flash for independent cross-validation.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5"/>
        <w:rPr/>
      </w:pPr>
      <w:bookmarkStart w:colFirst="0" w:colLast="0" w:name="_heading=h.3owlqux5wyae" w:id="9"/>
      <w:bookmarkEnd w:id="9"/>
      <w:r w:rsidDel="00000000" w:rsidR="00000000" w:rsidRPr="00000000">
        <w:rPr>
          <w:rtl w:val="0"/>
        </w:rPr>
        <w:t xml:space="preserve">1.3.2.2 Step 1: Initial Question Generation Using ChatGPT-4</w:t>
      </w:r>
    </w:p>
    <w:p w:rsidR="00000000" w:rsidDel="00000000" w:rsidP="00000000" w:rsidRDefault="00000000" w:rsidRPr="00000000" w14:paraId="0000005B">
      <w:pPr>
        <w:rPr/>
      </w:pPr>
      <w:r w:rsidDel="00000000" w:rsidR="00000000" w:rsidRPr="00000000">
        <w:rPr>
          <w:rtl w:val="0"/>
        </w:rPr>
        <w:t xml:space="preserve">Question developers used a structured prompt template to guide ChatGPT-4.0 in generating questions. The template included a prompt structure and question writers provided a learning objective and question stem as input parameters.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i w:val="1"/>
          <w:iCs w:val="1"/>
        </w:rPr>
      </w:pPr>
      <w:r w:rsidDel="00000000" w:rsidR="00000000" w:rsidRPr="00000000">
        <w:rPr>
          <w:i w:val="1"/>
          <w:iCs w:val="1"/>
          <w:rtl w:val="0"/>
        </w:rPr>
        <w:t xml:space="preserve">Prompt Structure:</w:t>
      </w:r>
    </w:p>
    <w:p w:rsidR="00000000" w:rsidDel="00000000" w:rsidP="00000000" w:rsidRDefault="00000000" w:rsidRPr="00000000" w14:paraId="0000005E">
      <w:pPr>
        <w:rPr/>
      </w:pPr>
      <w:r w:rsidDel="00000000" w:rsidR="00000000" w:rsidRPr="00000000">
        <w:rPr>
          <w:rtl w:val="0"/>
        </w:rPr>
        <w:t xml:space="preserve">“You are tasked with generating high-quality, case-based single-best-answer MCQs for a final exam for MD students. Use the framework below to create questions tailored to first-year MD students in Canada. Include in-depth explanations for why each option is right or wrong to teach the students.</w:t>
      </w:r>
    </w:p>
    <w:p w:rsidR="00000000" w:rsidDel="00000000" w:rsidP="00000000" w:rsidRDefault="00000000" w:rsidRPr="00000000" w14:paraId="0000005F">
      <w:pPr>
        <w:numPr>
          <w:ilvl w:val="0"/>
          <w:numId w:val="2"/>
        </w:numPr>
        <w:ind w:left="720" w:hanging="360"/>
        <w:rPr/>
      </w:pPr>
      <w:r w:rsidDel="00000000" w:rsidR="00000000" w:rsidRPr="00000000">
        <w:rPr>
          <w:rtl w:val="0"/>
        </w:rPr>
        <w:t xml:space="preserve">Pretend to be a specialist in the medical topic related to this question</w:t>
      </w:r>
    </w:p>
    <w:p w:rsidR="00000000" w:rsidDel="00000000" w:rsidP="00000000" w:rsidRDefault="00000000" w:rsidRPr="00000000" w14:paraId="00000060">
      <w:pPr>
        <w:numPr>
          <w:ilvl w:val="0"/>
          <w:numId w:val="2"/>
        </w:numPr>
        <w:ind w:left="720" w:hanging="360"/>
        <w:rPr/>
      </w:pPr>
      <w:r w:rsidDel="00000000" w:rsidR="00000000" w:rsidRPr="00000000">
        <w:rPr>
          <w:rtl w:val="0"/>
        </w:rPr>
        <w:t xml:space="preserve">Make sure you double check your answers and explanation before you give the question</w:t>
      </w:r>
    </w:p>
    <w:p w:rsidR="00000000" w:rsidDel="00000000" w:rsidP="00000000" w:rsidRDefault="00000000" w:rsidRPr="00000000" w14:paraId="00000061">
      <w:pPr>
        <w:numPr>
          <w:ilvl w:val="0"/>
          <w:numId w:val="2"/>
        </w:numPr>
        <w:ind w:left="720" w:hanging="360"/>
        <w:rPr/>
      </w:pPr>
      <w:r w:rsidDel="00000000" w:rsidR="00000000" w:rsidRPr="00000000">
        <w:rPr>
          <w:rtl w:val="0"/>
        </w:rPr>
        <w:t xml:space="preserve">The question MUST cover the following broad week objective: [WeekObjective]</w:t>
      </w:r>
    </w:p>
    <w:p w:rsidR="00000000" w:rsidDel="00000000" w:rsidP="00000000" w:rsidRDefault="00000000" w:rsidRPr="00000000" w14:paraId="00000062">
      <w:pPr>
        <w:numPr>
          <w:ilvl w:val="0"/>
          <w:numId w:val="2"/>
        </w:numPr>
        <w:ind w:left="720" w:hanging="360"/>
        <w:rPr/>
      </w:pPr>
      <w:r w:rsidDel="00000000" w:rsidR="00000000" w:rsidRPr="00000000">
        <w:rPr>
          <w:rtl w:val="0"/>
        </w:rPr>
        <w:t xml:space="preserve">Question Stem: The question stem is what I want you to make the question about, or the main idea of the question. Consider this important point when making the question. [QuestionStem]. </w:t>
      </w:r>
    </w:p>
    <w:p w:rsidR="00000000" w:rsidDel="00000000" w:rsidP="00000000" w:rsidRDefault="00000000" w:rsidRPr="00000000" w14:paraId="00000063">
      <w:pPr>
        <w:numPr>
          <w:ilvl w:val="0"/>
          <w:numId w:val="2"/>
        </w:numPr>
        <w:ind w:left="720" w:hanging="360"/>
        <w:rPr/>
      </w:pPr>
      <w:r w:rsidDel="00000000" w:rsidR="00000000" w:rsidRPr="00000000">
        <w:rPr>
          <w:rtl w:val="0"/>
        </w:rPr>
        <w:t xml:space="preserve">Focus on testing one key concept. Each question should assess a single, significant concept. Avoid combining multiple ideas into one question, as this creates ambiguity. Do not use: multiple correct answers (questions must have only one definitive best answer); true/false statements (these fail to test critical thinking); or negatively phrased questions (e.g., ‘not’ or ‘except’, which can confuse test-takers). Prioritize clinically relevant or foundational topics. Do not include obscure or trivia-style facts that rely on rote memorization rather than understanding.</w:t>
      </w:r>
    </w:p>
    <w:p w:rsidR="00000000" w:rsidDel="00000000" w:rsidP="00000000" w:rsidRDefault="00000000" w:rsidRPr="00000000" w14:paraId="00000064">
      <w:pPr>
        <w:numPr>
          <w:ilvl w:val="0"/>
          <w:numId w:val="2"/>
        </w:numPr>
        <w:ind w:left="720" w:hanging="360"/>
        <w:rPr/>
      </w:pPr>
      <w:r w:rsidDel="00000000" w:rsidR="00000000" w:rsidRPr="00000000">
        <w:rPr>
          <w:rtl w:val="0"/>
        </w:rPr>
        <w:t xml:space="preserve">The questions should have 5 options (A-E). The Answer Key should not be the same for multiple questions in a row. Ensure plausible and balanced answer choices. Answer options must be: plausible (all choices reasonable within the vignette) and similar (belong to the same category, </w:t>
      </w:r>
      <w:r w:rsidDel="00000000" w:rsidR="00000000" w:rsidRPr="00000000">
        <w:rPr>
          <w:i w:val="1"/>
          <w:iCs w:val="1"/>
          <w:rtl w:val="0"/>
        </w:rPr>
        <w:t xml:space="preserve">e.g.</w:t>
      </w:r>
      <w:r w:rsidDel="00000000" w:rsidR="00000000" w:rsidRPr="00000000">
        <w:rPr>
          <w:rtl w:val="0"/>
        </w:rPr>
        <w:t xml:space="preserve">, all diagnoses or treatments). Avoid nonsensical or unrealistic answers that cue the correct response. Example to avoid: ‘Patient reports visual hallucinations of pink elephants. What is the most likely psychiatric diagnosis? a. Bipolar disorder b. Major depressive episode c. Schizophrenia d. Psychosis e. The visual hallucinations are real.’ Option ‘e’ is clearly incorrect and reduces the question’s quality.”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i w:val="1"/>
          <w:iCs w:val="1"/>
        </w:rPr>
      </w:pPr>
      <w:r w:rsidDel="00000000" w:rsidR="00000000" w:rsidRPr="00000000">
        <w:rPr>
          <w:i w:val="1"/>
          <w:iCs w:val="1"/>
          <w:rtl w:val="0"/>
        </w:rPr>
        <w:t xml:space="preserve">Input Parameters:</w:t>
      </w:r>
    </w:p>
    <w:p w:rsidR="00000000" w:rsidDel="00000000" w:rsidP="00000000" w:rsidRDefault="00000000" w:rsidRPr="00000000" w14:paraId="00000067">
      <w:pPr>
        <w:numPr>
          <w:ilvl w:val="0"/>
          <w:numId w:val="4"/>
        </w:numPr>
        <w:ind w:left="720" w:hanging="360"/>
        <w:rPr/>
      </w:pPr>
      <w:r w:rsidDel="00000000" w:rsidR="00000000" w:rsidRPr="00000000">
        <w:rPr>
          <w:rtl w:val="0"/>
        </w:rPr>
        <w:t xml:space="preserve">Week Objective: Specific learning objective from the MEDD 411 curriculum (</w:t>
      </w:r>
      <w:r w:rsidDel="00000000" w:rsidR="00000000" w:rsidRPr="00000000">
        <w:rPr>
          <w:i w:val="1"/>
          <w:iCs w:val="1"/>
          <w:rtl w:val="0"/>
        </w:rPr>
        <w:t xml:space="preserve">e.g.</w:t>
      </w:r>
      <w:r w:rsidDel="00000000" w:rsidR="00000000" w:rsidRPr="00000000">
        <w:rPr>
          <w:rtl w:val="0"/>
        </w:rPr>
        <w:t xml:space="preserve">, “Describe the normal physiology and determinants of blood pressure”)</w:t>
      </w:r>
    </w:p>
    <w:p w:rsidR="00000000" w:rsidDel="00000000" w:rsidP="00000000" w:rsidRDefault="00000000" w:rsidRPr="00000000" w14:paraId="00000068">
      <w:pPr>
        <w:numPr>
          <w:ilvl w:val="0"/>
          <w:numId w:val="4"/>
        </w:numPr>
        <w:ind w:left="720" w:hanging="360"/>
        <w:rPr/>
      </w:pPr>
      <w:r w:rsidDel="00000000" w:rsidR="00000000" w:rsidRPr="00000000">
        <w:rPr>
          <w:rtl w:val="0"/>
        </w:rPr>
        <w:t xml:space="preserve">Question Stem: Developer-specified focus within the objective (</w:t>
      </w:r>
      <w:r w:rsidDel="00000000" w:rsidR="00000000" w:rsidRPr="00000000">
        <w:rPr>
          <w:i w:val="1"/>
          <w:iCs w:val="1"/>
          <w:rtl w:val="0"/>
        </w:rPr>
        <w:t xml:space="preserve">e.g.,</w:t>
      </w:r>
      <w:r w:rsidDel="00000000" w:rsidR="00000000" w:rsidRPr="00000000">
        <w:rPr>
          <w:rtl w:val="0"/>
        </w:rPr>
        <w:t xml:space="preserve"> “Create a question testing understanding of blood pressure management in septic shock”)</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5"/>
        <w:rPr/>
      </w:pPr>
      <w:bookmarkStart w:colFirst="0" w:colLast="0" w:name="_heading=h.13wj5vej6yjb" w:id="10"/>
      <w:bookmarkEnd w:id="10"/>
      <w:r w:rsidDel="00000000" w:rsidR="00000000" w:rsidRPr="00000000">
        <w:rPr>
          <w:rtl w:val="0"/>
        </w:rPr>
        <w:t xml:space="preserve">1.3.2.3 Step 2: Quality Review by Question Writer</w:t>
      </w:r>
    </w:p>
    <w:p w:rsidR="00000000" w:rsidDel="00000000" w:rsidP="00000000" w:rsidRDefault="00000000" w:rsidRPr="00000000" w14:paraId="0000006B">
      <w:pPr>
        <w:spacing w:after="240" w:before="240" w:lineRule="auto"/>
        <w:ind w:right="600"/>
        <w:rPr/>
      </w:pPr>
      <w:r w:rsidDel="00000000" w:rsidR="00000000" w:rsidRPr="00000000">
        <w:rPr>
          <w:rtl w:val="0"/>
        </w:rPr>
        <w:t xml:space="preserve">The question writer reviewed each ChatGPT-generated MCQ for logical consistency across all answer options, accuracy of medical content and explanations, clinical plausibility of the case presentation, and alignment with the intended learning objective. If deficiencies were identified in any domain, the question was regenerated through iterative prompting until it met all predefined quality criteria.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5"/>
        <w:rPr/>
      </w:pPr>
      <w:bookmarkStart w:colFirst="0" w:colLast="0" w:name="_heading=h.j23a42v5rp4z" w:id="11"/>
      <w:bookmarkEnd w:id="11"/>
      <w:r w:rsidDel="00000000" w:rsidR="00000000" w:rsidRPr="00000000">
        <w:rPr>
          <w:rtl w:val="0"/>
        </w:rPr>
        <w:t xml:space="preserve">1.3.2.4 Step 3A: Cross-Verification Using Google Gemini v1.5 Flash</w:t>
      </w:r>
    </w:p>
    <w:p w:rsidR="00000000" w:rsidDel="00000000" w:rsidP="00000000" w:rsidRDefault="00000000" w:rsidRPr="00000000" w14:paraId="0000006E">
      <w:pPr>
        <w:rPr/>
      </w:pPr>
      <w:r w:rsidDel="00000000" w:rsidR="00000000" w:rsidRPr="00000000">
        <w:rPr>
          <w:rtl w:val="0"/>
        </w:rPr>
        <w:t xml:space="preserve">Questions writers used Google Gemini (v1.5 Flash) to validate the question, answer, and rationale produced by ChatGPT. Question writers provided the entirety of the ChatGPT output to Google Gemini with no modification, using the following prompt: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 have a final exam question for MD students along with its answer key and explanation. I want you to verify that the question is correct, the answers make sense, and the explanation is accurate. I am using you as a second-check mechanism. Make sure you do not make any mistakes and double-check your reasoning.</w:t>
      </w:r>
    </w:p>
    <w:p w:rsidR="00000000" w:rsidDel="00000000" w:rsidP="00000000" w:rsidRDefault="00000000" w:rsidRPr="00000000" w14:paraId="00000071">
      <w:pPr>
        <w:numPr>
          <w:ilvl w:val="0"/>
          <w:numId w:val="1"/>
        </w:numPr>
        <w:ind w:left="720" w:hanging="360"/>
        <w:rPr/>
      </w:pPr>
      <w:r w:rsidDel="00000000" w:rsidR="00000000" w:rsidRPr="00000000">
        <w:rPr>
          <w:rtl w:val="0"/>
        </w:rPr>
        <w:t xml:space="preserve">The final question is: [ChatGPT Output]</w:t>
      </w:r>
    </w:p>
    <w:p w:rsidR="00000000" w:rsidDel="00000000" w:rsidP="00000000" w:rsidRDefault="00000000" w:rsidRPr="00000000" w14:paraId="00000072">
      <w:pPr>
        <w:numPr>
          <w:ilvl w:val="0"/>
          <w:numId w:val="1"/>
        </w:numPr>
        <w:ind w:left="720" w:hanging="360"/>
        <w:rPr/>
      </w:pPr>
      <w:r w:rsidDel="00000000" w:rsidR="00000000" w:rsidRPr="00000000">
        <w:rPr>
          <w:rtl w:val="0"/>
        </w:rPr>
        <w:t xml:space="preserve">If the question is correct, explain why. If it is incorrect, explain why.</w:t>
      </w:r>
    </w:p>
    <w:p w:rsidR="00000000" w:rsidDel="00000000" w:rsidP="00000000" w:rsidRDefault="00000000" w:rsidRPr="00000000" w14:paraId="00000073">
      <w:pPr>
        <w:numPr>
          <w:ilvl w:val="0"/>
          <w:numId w:val="1"/>
        </w:numPr>
        <w:ind w:left="720" w:hanging="360"/>
        <w:rPr/>
      </w:pPr>
      <w:r w:rsidDel="00000000" w:rsidR="00000000" w:rsidRPr="00000000">
        <w:rPr>
          <w:rtl w:val="0"/>
        </w:rPr>
        <w:t xml:space="preserve">Pretend to be a specialist in the medical topic related to this question.”</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pStyle w:val="Heading5"/>
        <w:rPr/>
      </w:pPr>
      <w:bookmarkStart w:colFirst="0" w:colLast="0" w:name="_heading=h.3udveejamjmq" w:id="12"/>
      <w:bookmarkEnd w:id="12"/>
      <w:r w:rsidDel="00000000" w:rsidR="00000000" w:rsidRPr="00000000">
        <w:rPr>
          <w:rtl w:val="0"/>
        </w:rPr>
        <w:t xml:space="preserve">1.3.2.5 Step 3B: Confidence Verification</w:t>
      </w:r>
    </w:p>
    <w:p w:rsidR="00000000" w:rsidDel="00000000" w:rsidP="00000000" w:rsidRDefault="00000000" w:rsidRPr="00000000" w14:paraId="00000076">
      <w:pPr>
        <w:rPr/>
      </w:pPr>
      <w:r w:rsidDel="00000000" w:rsidR="00000000" w:rsidRPr="00000000">
        <w:rPr>
          <w:rtl w:val="0"/>
        </w:rPr>
        <w:t xml:space="preserve">After Gemini provided initial feedback, developers asked the follow-up question: “Are you sure?” This additional prompt was designed to trigger deeper reasoning verification and reduce overconfidence in AI responses.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5"/>
        <w:rPr/>
      </w:pPr>
      <w:bookmarkStart w:colFirst="0" w:colLast="0" w:name="_heading=h.uddqajw1i4vv" w:id="13"/>
      <w:bookmarkEnd w:id="13"/>
      <w:r w:rsidDel="00000000" w:rsidR="00000000" w:rsidRPr="00000000">
        <w:rPr>
          <w:rtl w:val="0"/>
        </w:rPr>
        <w:t xml:space="preserve">1.3.2.6 Step 4: Decision Point and Documentation</w:t>
      </w:r>
    </w:p>
    <w:p w:rsidR="00000000" w:rsidDel="00000000" w:rsidP="00000000" w:rsidRDefault="00000000" w:rsidRPr="00000000" w14:paraId="00000079">
      <w:pPr>
        <w:rPr/>
      </w:pPr>
      <w:r w:rsidDel="00000000" w:rsidR="00000000" w:rsidRPr="00000000">
        <w:rPr>
          <w:rtl w:val="0"/>
        </w:rPr>
        <w:t xml:space="preserve">If both ChatGPT and Gemini agreed and the question met all quality standards, the MCQ was finalized and added to the exam bank. If discrepancies were identified or quality concerns arose, question writers returned to Step 1 and modified the Question Stem (but not the Week Objective) to regenerate the question. Once the question was finalized, question writers recorded the time from Step 1 initiation through Step 4 for each MCQ, including all regeneration attempts if necessary.</w:t>
      </w:r>
    </w:p>
    <w:p w:rsidR="00000000" w:rsidDel="00000000" w:rsidP="00000000" w:rsidRDefault="00000000" w:rsidRPr="00000000" w14:paraId="0000007A">
      <w:pPr>
        <w:ind w:firstLine="720"/>
        <w:rPr/>
      </w:pPr>
      <w:r w:rsidDel="00000000" w:rsidR="00000000" w:rsidRPr="00000000">
        <w:rPr>
          <w:rtl w:val="0"/>
        </w:rPr>
        <w:t xml:space="preserve">It should be noted that throughout the AI-Gen protocol, no manual editing of AI-gen content was permitted (</w:t>
      </w:r>
      <w:r w:rsidDel="00000000" w:rsidR="00000000" w:rsidRPr="00000000">
        <w:rPr>
          <w:i w:val="1"/>
          <w:iCs w:val="1"/>
          <w:rtl w:val="0"/>
        </w:rPr>
        <w:t xml:space="preserve">i.e.</w:t>
      </w:r>
      <w:r w:rsidDel="00000000" w:rsidR="00000000" w:rsidRPr="00000000">
        <w:rPr>
          <w:rtl w:val="0"/>
        </w:rPr>
        <w:t xml:space="preserve">, writers could modify prompts, but could not modify LLM outputs). The goal of this was to maintain experimental integrity regarding true AI capability without human refinement, prevent human bias from confounding AI-gen content, and reflect realistic AI-only generation scenarios for scalability assessment.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4"/>
        <w:rPr/>
      </w:pPr>
      <w:bookmarkStart w:colFirst="0" w:colLast="0" w:name="_heading=h.6zmvvlc5209o" w:id="14"/>
      <w:bookmarkEnd w:id="14"/>
      <w:r w:rsidDel="00000000" w:rsidR="00000000" w:rsidRPr="00000000">
        <w:rPr>
          <w:rtl w:val="0"/>
        </w:rPr>
        <w:t xml:space="preserve">1.3.3 Human-Gen Protocol</w:t>
      </w:r>
    </w:p>
    <w:p w:rsidR="00000000" w:rsidDel="00000000" w:rsidP="00000000" w:rsidRDefault="00000000" w:rsidRPr="00000000" w14:paraId="0000007D">
      <w:pPr>
        <w:pStyle w:val="Heading5"/>
        <w:rPr/>
      </w:pPr>
      <w:bookmarkStart w:colFirst="0" w:colLast="0" w:name="_heading=h.1dxon9gzob0k" w:id="15"/>
      <w:bookmarkEnd w:id="15"/>
      <w:r w:rsidDel="00000000" w:rsidR="00000000" w:rsidRPr="00000000">
        <w:rPr>
          <w:rtl w:val="0"/>
        </w:rPr>
        <w:t xml:space="preserve">1.3.3.1 General Principles</w:t>
      </w:r>
    </w:p>
    <w:p w:rsidR="00000000" w:rsidDel="00000000" w:rsidP="00000000" w:rsidRDefault="00000000" w:rsidRPr="00000000" w14:paraId="0000007E">
      <w:pPr>
        <w:rPr/>
      </w:pPr>
      <w:r w:rsidDel="00000000" w:rsidR="00000000" w:rsidRPr="00000000">
        <w:rPr>
          <w:rtl w:val="0"/>
        </w:rPr>
        <w:t xml:space="preserve">The objective of the following protocol is to generate examination questions following traditional methods to serve as the control condition. The use of any AI tools was prohibited at all stages of question development, review, or editing. All Human-gen team members signed written confirmation that each MCQ was developed entirely without AI assistance.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5"/>
        <w:rPr/>
      </w:pPr>
      <w:bookmarkStart w:colFirst="0" w:colLast="0" w:name="_heading=h.6j3wrqn8ghxg" w:id="16"/>
      <w:bookmarkEnd w:id="16"/>
      <w:r w:rsidDel="00000000" w:rsidR="00000000" w:rsidRPr="00000000">
        <w:rPr>
          <w:rtl w:val="0"/>
        </w:rPr>
        <w:t xml:space="preserve">1.3.3.2 Step 1: Question Development</w:t>
      </w:r>
    </w:p>
    <w:p w:rsidR="00000000" w:rsidDel="00000000" w:rsidP="00000000" w:rsidRDefault="00000000" w:rsidRPr="00000000" w14:paraId="00000081">
      <w:pPr>
        <w:rPr/>
      </w:pPr>
      <w:r w:rsidDel="00000000" w:rsidR="00000000" w:rsidRPr="00000000">
        <w:rPr>
          <w:rtl w:val="0"/>
        </w:rPr>
        <w:t xml:space="preserve">Question writers were provided with the same learning objectives as those provided for the AI-gen protocol. They were instructed to adhere to the same format requirements and quality guidelines as specified in the AI-gen protocol. They developed their question stem to address the learning objectives in the same manner as that used in the AI-gen protocol. Question writers drew on MEDD 411 lecture materials and course content, medical textbooks and primary literature, and prior experience with medical school examinations to inform their question development.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5"/>
        <w:rPr/>
      </w:pPr>
      <w:bookmarkStart w:colFirst="0" w:colLast="0" w:name="_heading=h.ylahltanvzoc" w:id="17"/>
      <w:bookmarkEnd w:id="17"/>
      <w:r w:rsidDel="00000000" w:rsidR="00000000" w:rsidRPr="00000000">
        <w:rPr>
          <w:rtl w:val="0"/>
        </w:rPr>
        <w:t xml:space="preserve">1.3.3.3 Step 2: Peer Review Process</w:t>
      </w:r>
    </w:p>
    <w:p w:rsidR="00000000" w:rsidDel="00000000" w:rsidP="00000000" w:rsidRDefault="00000000" w:rsidRPr="00000000" w14:paraId="00000084">
      <w:pPr>
        <w:rPr/>
      </w:pPr>
      <w:r w:rsidDel="00000000" w:rsidR="00000000" w:rsidRPr="00000000">
        <w:rPr>
          <w:rtl w:val="0"/>
        </w:rPr>
        <w:t xml:space="preserve">Human-gen MCQs underwent iterative peer review as follows:</w:t>
      </w:r>
    </w:p>
    <w:p w:rsidR="00000000" w:rsidDel="00000000" w:rsidP="00000000" w:rsidRDefault="00000000" w:rsidRPr="00000000" w14:paraId="00000085">
      <w:pPr>
        <w:numPr>
          <w:ilvl w:val="0"/>
          <w:numId w:val="7"/>
        </w:numPr>
        <w:ind w:left="720" w:hanging="360"/>
        <w:rPr/>
      </w:pPr>
      <w:r w:rsidDel="00000000" w:rsidR="00000000" w:rsidRPr="00000000">
        <w:rPr>
          <w:rtl w:val="0"/>
        </w:rPr>
        <w:t xml:space="preserve">Reviewer Assignment: Each question was randomly assigned to an independent peer reviewer (another member of the Human-gen team who did not write that specific question).</w:t>
      </w:r>
    </w:p>
    <w:p w:rsidR="00000000" w:rsidDel="00000000" w:rsidP="00000000" w:rsidRDefault="00000000" w:rsidRPr="00000000" w14:paraId="00000086">
      <w:pPr>
        <w:numPr>
          <w:ilvl w:val="0"/>
          <w:numId w:val="7"/>
        </w:numPr>
        <w:ind w:left="720" w:hanging="360"/>
        <w:rPr/>
      </w:pPr>
      <w:r w:rsidDel="00000000" w:rsidR="00000000" w:rsidRPr="00000000">
        <w:rPr>
          <w:rtl w:val="0"/>
        </w:rPr>
        <w:t xml:space="preserve">Blind Review: Reviewers attempted the question without knowing the intended answer key and evaluated the clarity of the clinical vignette, appropriateness of the question stem, accuracy of the answer key, and accuracy and completeness of the answer explanations.</w:t>
      </w:r>
    </w:p>
    <w:p w:rsidR="00000000" w:rsidDel="00000000" w:rsidP="00000000" w:rsidRDefault="00000000" w:rsidRPr="00000000" w14:paraId="00000087">
      <w:pPr>
        <w:numPr>
          <w:ilvl w:val="0"/>
          <w:numId w:val="7"/>
        </w:numPr>
        <w:ind w:left="720" w:hanging="360"/>
        <w:rPr/>
      </w:pPr>
      <w:r w:rsidDel="00000000" w:rsidR="00000000" w:rsidRPr="00000000">
        <w:rPr>
          <w:rtl w:val="0"/>
        </w:rPr>
        <w:t xml:space="preserve">Feedback and Revision: Reviewers provided written feedback via a collaborative spreadsheet. Original questions authors revised questions based on feedback. Multiple revision cycles were permitted until consensus was reached.</w:t>
        <w:br w:type="textWrapping"/>
      </w:r>
    </w:p>
    <w:p w:rsidR="00000000" w:rsidDel="00000000" w:rsidP="00000000" w:rsidRDefault="00000000" w:rsidRPr="00000000" w14:paraId="00000088">
      <w:pPr>
        <w:pStyle w:val="Heading5"/>
        <w:rPr/>
      </w:pPr>
      <w:bookmarkStart w:colFirst="0" w:colLast="0" w:name="_heading=h.fforzdc9zogu" w:id="18"/>
      <w:bookmarkEnd w:id="18"/>
      <w:r w:rsidDel="00000000" w:rsidR="00000000" w:rsidRPr="00000000">
        <w:rPr>
          <w:rtl w:val="0"/>
        </w:rPr>
        <w:t xml:space="preserve">1.3.3.4 Step 3: Time Documentation</w:t>
      </w:r>
    </w:p>
    <w:p w:rsidR="00000000" w:rsidDel="00000000" w:rsidP="00000000" w:rsidRDefault="00000000" w:rsidRPr="00000000" w14:paraId="00000089">
      <w:pPr>
        <w:rPr/>
      </w:pPr>
      <w:r w:rsidDel="00000000" w:rsidR="00000000" w:rsidRPr="00000000">
        <w:rPr>
          <w:rtl w:val="0"/>
        </w:rPr>
        <w:t xml:space="preserve">Developers recorded total time spent on each question, including the initial question writing, development of all answer options and explanations, and any revisions required.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3"/>
        <w:rPr/>
      </w:pPr>
      <w:bookmarkStart w:colFirst="0" w:colLast="0" w:name="_heading=h.kkn8tjdxiqxc" w:id="19"/>
      <w:bookmarkEnd w:id="19"/>
      <w:r w:rsidDel="00000000" w:rsidR="00000000" w:rsidRPr="00000000">
        <w:rPr>
          <w:rtl w:val="0"/>
        </w:rPr>
        <w:t xml:space="preserve">1.4 Content Validity and Curriculum Alignment</w:t>
      </w:r>
    </w:p>
    <w:p w:rsidR="00000000" w:rsidDel="00000000" w:rsidP="00000000" w:rsidRDefault="00000000" w:rsidRPr="00000000" w14:paraId="0000008C">
      <w:pPr>
        <w:rPr/>
      </w:pPr>
      <w:r w:rsidDel="00000000" w:rsidR="00000000" w:rsidRPr="00000000">
        <w:rPr>
          <w:rtl w:val="0"/>
        </w:rPr>
        <w:t xml:space="preserve">The MEDD 411 course curriculum includes learning objectives that serve as the blueprint for the official summative examination administered by the Faculty of Medicine. These objectives were developed by course directors and map to lecture-specific learning outcomes. To ensure that both the AI- and Human-gen exams assessed the same educational constructs, all questions were systematically mapped to these course objectives. Each MCQ in each exam addressed a single learning objective, and the same list of learning objectives was used to develop both the AI- and Human-gen exams.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3"/>
        <w:rPr/>
      </w:pPr>
      <w:bookmarkStart w:colFirst="0" w:colLast="0" w:name="_heading=h.6itrhte3zoeh" w:id="20"/>
      <w:bookmarkEnd w:id="20"/>
      <w:r w:rsidDel="00000000" w:rsidR="00000000" w:rsidRPr="00000000">
        <w:rPr>
          <w:rtl w:val="0"/>
        </w:rPr>
        <w:t xml:space="preserve">1.5 Statistical Analysis</w:t>
      </w:r>
    </w:p>
    <w:p w:rsidR="00000000" w:rsidDel="00000000" w:rsidP="00000000" w:rsidRDefault="00000000" w:rsidRPr="00000000" w14:paraId="0000008F">
      <w:pPr>
        <w:pStyle w:val="Heading4"/>
        <w:rPr/>
      </w:pPr>
      <w:bookmarkStart w:colFirst="0" w:colLast="0" w:name="_heading=h.hqbjz7ti4crh" w:id="21"/>
      <w:bookmarkEnd w:id="21"/>
      <w:r w:rsidDel="00000000" w:rsidR="00000000" w:rsidRPr="00000000">
        <w:rPr>
          <w:rtl w:val="0"/>
        </w:rPr>
        <w:t xml:space="preserve">1.5.1 General analytic approach</w:t>
      </w:r>
    </w:p>
    <w:p w:rsidR="00000000" w:rsidDel="00000000" w:rsidP="00000000" w:rsidRDefault="00000000" w:rsidRPr="00000000" w14:paraId="00000090">
      <w:pPr>
        <w:spacing w:after="240" w:before="240" w:lineRule="auto"/>
        <w:rPr/>
      </w:pPr>
      <w:r w:rsidDel="00000000" w:rsidR="00000000" w:rsidRPr="00000000">
        <w:rPr>
          <w:rtl w:val="0"/>
        </w:rPr>
        <w:t xml:space="preserve">Primary analyses were conducted according to the intention-to-treat (ITT) principle. Per-protocol (PP) analyses were performed as secondary sensitivity analyses and are reported in Supplementary Results Section 2.1-2.4. All analyses were performed in R (version 2024.09.1+394). Descriptive statistics were calculated for all variables, with continuous variables reported as mean ± standard deviation (SD) and categorical variables as counts and percentages. Statistical significance was defined as a two-tailed </w:t>
      </w:r>
      <w:r w:rsidDel="00000000" w:rsidR="00000000" w:rsidRPr="00000000">
        <w:rPr>
          <w:i w:val="1"/>
          <w:iCs w:val="1"/>
          <w:rtl w:val="0"/>
        </w:rPr>
        <w:t xml:space="preserve">p</w:t>
      </w:r>
      <w:r w:rsidDel="00000000" w:rsidR="00000000" w:rsidRPr="00000000">
        <w:rPr>
          <w:rtl w:val="0"/>
        </w:rPr>
        <w:t xml:space="preserve"> &lt; 0.05. Effect sizes were reported using Cohen’s d for parametric comparisons and rank-biserial correlations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for non-parametric comparisons.</w:t>
      </w:r>
    </w:p>
    <w:p w:rsidR="00000000" w:rsidDel="00000000" w:rsidP="00000000" w:rsidRDefault="00000000" w:rsidRPr="00000000" w14:paraId="00000091">
      <w:pPr>
        <w:pStyle w:val="Heading4"/>
        <w:rPr/>
      </w:pPr>
      <w:bookmarkStart w:colFirst="0" w:colLast="0" w:name="_heading=h.t3d98g3v0rjc" w:id="22"/>
      <w:bookmarkEnd w:id="22"/>
      <w:r w:rsidDel="00000000" w:rsidR="00000000" w:rsidRPr="00000000">
        <w:rPr>
          <w:rtl w:val="0"/>
        </w:rPr>
        <w:t xml:space="preserve">1.5.2 Feasibility analysis</w:t>
      </w:r>
    </w:p>
    <w:p w:rsidR="00000000" w:rsidDel="00000000" w:rsidP="00000000" w:rsidRDefault="00000000" w:rsidRPr="00000000" w14:paraId="00000092">
      <w:pPr>
        <w:rPr/>
      </w:pPr>
      <w:r w:rsidDel="00000000" w:rsidR="00000000" w:rsidRPr="00000000">
        <w:rPr>
          <w:rtl w:val="0"/>
        </w:rPr>
        <w:t xml:space="preserve">Efficiency ratios were calculated for each matched learning objective and summarized using mean ± SD. Differences in mean time per MCQ and total exam generation time between the Human-gen and AI-gen protocols were compared using two-tailed t-tests.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4"/>
        <w:rPr/>
      </w:pPr>
      <w:bookmarkStart w:colFirst="0" w:colLast="0" w:name="_heading=h.yo79a1iturtz" w:id="23"/>
      <w:bookmarkEnd w:id="23"/>
      <w:r w:rsidDel="00000000" w:rsidR="00000000" w:rsidRPr="00000000">
        <w:rPr>
          <w:rtl w:val="0"/>
        </w:rPr>
        <w:t xml:space="preserve">1.5.3 Acceptability analysis</w:t>
      </w:r>
    </w:p>
    <w:p w:rsidR="00000000" w:rsidDel="00000000" w:rsidP="00000000" w:rsidRDefault="00000000" w:rsidRPr="00000000" w14:paraId="00000095">
      <w:pPr>
        <w:rPr/>
      </w:pPr>
      <w:r w:rsidDel="00000000" w:rsidR="00000000" w:rsidRPr="00000000">
        <w:rPr>
          <w:rtl w:val="0"/>
        </w:rPr>
        <w:t xml:space="preserve">Perception ratings were compared using two-tailed t-tests.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4"/>
        <w:rPr/>
      </w:pPr>
      <w:bookmarkStart w:colFirst="0" w:colLast="0" w:name="_heading=h.5a3649j4zi6u" w:id="24"/>
      <w:bookmarkEnd w:id="24"/>
      <w:r w:rsidDel="00000000" w:rsidR="00000000" w:rsidRPr="00000000">
        <w:rPr>
          <w:rtl w:val="0"/>
        </w:rPr>
        <w:t xml:space="preserve">1.5.4 Reliability analysis</w:t>
      </w:r>
    </w:p>
    <w:p w:rsidR="00000000" w:rsidDel="00000000" w:rsidP="00000000" w:rsidRDefault="00000000" w:rsidRPr="00000000" w14:paraId="00000098">
      <w:pPr>
        <w:spacing w:after="240" w:before="240" w:lineRule="auto"/>
        <w:rPr/>
      </w:pPr>
      <w:r w:rsidDel="00000000" w:rsidR="00000000" w:rsidRPr="00000000">
        <w:rPr>
          <w:rtl w:val="0"/>
        </w:rPr>
        <w:t xml:space="preserve">Item-level DI and DE values were calculated for the AI-generated and Human-gen exams. Since both DI and DE are item-level properties (</w:t>
      </w:r>
      <w:r w:rsidDel="00000000" w:rsidR="00000000" w:rsidRPr="00000000">
        <w:rPr>
          <w:i w:val="1"/>
          <w:iCs w:val="1"/>
          <w:rtl w:val="0"/>
        </w:rPr>
        <w:t xml:space="preserve">N</w:t>
      </w:r>
      <w:r w:rsidDel="00000000" w:rsidR="00000000" w:rsidRPr="00000000">
        <w:rPr>
          <w:rtl w:val="0"/>
        </w:rPr>
        <w:t xml:space="preserve"> = 112 MCQs per exam), exam reliability was assessed by comparing the distributions of these psychometric metrics between the two exams. DI and DE distributions were non-normal by the Shapiro-Wilk test. Accordingly, between-exam comparisons were conducted using the non-parametric Wilcoxon rank-sum test. Rank-biserial correlation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was calculated as a non-parametric effect size. Effect sizes were interpreted using conventional thresholds (small: 0.10; moderate: 0.30).</w:t>
      </w:r>
      <w:hyperlink r:id="rId7">
        <w:r w:rsidDel="00000000" w:rsidR="00000000" w:rsidRPr="00000000">
          <w:rPr>
            <w:vertAlign w:val="superscript"/>
            <w:rtl w:val="0"/>
          </w:rPr>
          <w:t xml:space="preserve">1</w:t>
        </w:r>
      </w:hyperlink>
      <w:r w:rsidDel="00000000" w:rsidR="00000000" w:rsidRPr="00000000">
        <w:rPr>
          <w:rtl w:val="0"/>
        </w:rPr>
        <w:t xml:space="preserve"> The uncertainty in mean DI and DE estimates was quantified using non-parametric bootstrap resampling (5,000 iterations) to generate 95% confidence intervals (CIs).</w:t>
      </w:r>
    </w:p>
    <w:p w:rsidR="00000000" w:rsidDel="00000000" w:rsidP="00000000" w:rsidRDefault="00000000" w:rsidRPr="00000000" w14:paraId="00000099">
      <w:pPr>
        <w:spacing w:after="240" w:before="240" w:lineRule="auto"/>
        <w:rPr/>
      </w:pPr>
      <w:r w:rsidDel="00000000" w:rsidR="00000000" w:rsidRPr="00000000">
        <w:rPr>
          <w:rtl w:val="0"/>
        </w:rPr>
      </w:r>
    </w:p>
    <w:p w:rsidR="00000000" w:rsidDel="00000000" w:rsidP="00000000" w:rsidRDefault="00000000" w:rsidRPr="00000000" w14:paraId="0000009A">
      <w:pPr>
        <w:pStyle w:val="Heading4"/>
        <w:rPr/>
      </w:pPr>
      <w:bookmarkStart w:colFirst="0" w:colLast="0" w:name="_heading=h.dhrmndae16ic" w:id="25"/>
      <w:bookmarkEnd w:id="25"/>
      <w:r w:rsidDel="00000000" w:rsidR="00000000" w:rsidRPr="00000000">
        <w:rPr>
          <w:rtl w:val="0"/>
        </w:rPr>
        <w:t xml:space="preserve">1.5.5 Validity and subgroup analyses</w:t>
      </w:r>
    </w:p>
    <w:p w:rsidR="00000000" w:rsidDel="00000000" w:rsidP="00000000" w:rsidRDefault="00000000" w:rsidRPr="00000000" w14:paraId="0000009B">
      <w:pPr>
        <w:spacing w:after="240" w:before="240" w:lineRule="auto"/>
        <w:rPr/>
      </w:pPr>
      <w:r w:rsidDel="00000000" w:rsidR="00000000" w:rsidRPr="00000000">
        <w:rPr>
          <w:rtl w:val="0"/>
        </w:rPr>
        <w:t xml:space="preserve">Student performance outcomes were compared using Welch’s t-test to account for potentially unequal variances between groups. Cohen’s </w:t>
      </w:r>
      <w:r w:rsidDel="00000000" w:rsidR="00000000" w:rsidRPr="00000000">
        <w:rPr>
          <w:i w:val="1"/>
          <w:iCs w:val="1"/>
          <w:rtl w:val="0"/>
        </w:rPr>
        <w:t xml:space="preserve">d</w:t>
      </w:r>
      <w:r w:rsidDel="00000000" w:rsidR="00000000" w:rsidRPr="00000000">
        <w:rPr>
          <w:rtl w:val="0"/>
        </w:rPr>
        <w:t xml:space="preserve"> was calculated to quantify the magnitude of the difference.</w:t>
      </w:r>
    </w:p>
    <w:p w:rsidR="00000000" w:rsidDel="00000000" w:rsidP="00000000" w:rsidRDefault="00000000" w:rsidRPr="00000000" w14:paraId="0000009C">
      <w:pPr>
        <w:spacing w:after="240" w:before="240" w:lineRule="auto"/>
        <w:rPr/>
      </w:pPr>
      <w:r w:rsidDel="00000000" w:rsidR="00000000" w:rsidRPr="00000000">
        <w:rPr>
          <w:rtl w:val="0"/>
        </w:rPr>
        <w:t xml:space="preserve">For curricular theme analyses, independent t-tests were performed for each of the eight themes. These analyses were exploratory and raw </w:t>
      </w:r>
      <w:r w:rsidDel="00000000" w:rsidR="00000000" w:rsidRPr="00000000">
        <w:rPr>
          <w:i w:val="1"/>
          <w:iCs w:val="1"/>
          <w:rtl w:val="0"/>
        </w:rPr>
        <w:t xml:space="preserve">p</w:t>
      </w:r>
      <w:r w:rsidDel="00000000" w:rsidR="00000000" w:rsidRPr="00000000">
        <w:rPr>
          <w:rtl w:val="0"/>
        </w:rPr>
        <w:t xml:space="preserve">-values are reported without multiplicity adjustment.</w:t>
      </w:r>
    </w:p>
    <w:p w:rsidR="00000000" w:rsidDel="00000000" w:rsidP="00000000" w:rsidRDefault="00000000" w:rsidRPr="00000000" w14:paraId="0000009D">
      <w:pPr>
        <w:spacing w:after="240" w:before="240" w:lineRule="auto"/>
        <w:rPr/>
      </w:pPr>
      <w:r w:rsidDel="00000000" w:rsidR="00000000" w:rsidRPr="00000000">
        <w:rPr>
          <w:rtl w:val="0"/>
        </w:rPr>
        <w:t xml:space="preserve">Subgroup comparisons were conducted using the Wilcoxon rank-sum test where score distributions were non-normal. Gender was treated as a binary variable, and students were given the option not to report their gender. Due to the low number of participants who either declined to disclose their gender or identified outside of the binary, these categories were excluded from the sub-group analysis.</w:t>
      </w:r>
    </w:p>
    <w:p w:rsidR="00000000" w:rsidDel="00000000" w:rsidP="00000000" w:rsidRDefault="00000000" w:rsidRPr="00000000" w14:paraId="0000009E">
      <w:pPr>
        <w:spacing w:after="240" w:before="240" w:lineRule="auto"/>
        <w:rPr/>
      </w:pPr>
      <w:r w:rsidDel="00000000" w:rsidR="00000000" w:rsidRPr="00000000">
        <w:rPr>
          <w:rtl w:val="0"/>
        </w:rPr>
      </w:r>
    </w:p>
    <w:p w:rsidR="00000000" w:rsidDel="00000000" w:rsidP="00000000" w:rsidRDefault="00000000" w:rsidRPr="00000000" w14:paraId="0000009F">
      <w:pPr>
        <w:pStyle w:val="Heading4"/>
        <w:rPr/>
      </w:pPr>
      <w:bookmarkStart w:colFirst="0" w:colLast="0" w:name="_heading=h.1lt064w5giz5" w:id="26"/>
      <w:bookmarkEnd w:id="26"/>
      <w:r w:rsidDel="00000000" w:rsidR="00000000" w:rsidRPr="00000000">
        <w:rPr>
          <w:rtl w:val="0"/>
        </w:rPr>
        <w:t xml:space="preserve">1.5.6 Educational impact</w:t>
      </w:r>
    </w:p>
    <w:p w:rsidR="00000000" w:rsidDel="00000000" w:rsidP="00000000" w:rsidRDefault="00000000" w:rsidRPr="00000000" w14:paraId="000000A0">
      <w:pPr>
        <w:spacing w:after="240" w:before="240" w:lineRule="auto"/>
        <w:rPr/>
      </w:pPr>
      <w:r w:rsidDel="00000000" w:rsidR="00000000" w:rsidRPr="00000000">
        <w:rPr>
          <w:rtl w:val="0"/>
        </w:rPr>
        <w:t xml:space="preserve">Changes in preparedness were analysed using a linear mixed-effects repeated-measures model with fixed effects for time (pre- versus post-exam), group (AI-gen versus Human-gen), and their interaction, and a random intercept for participants.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3"/>
        <w:rPr/>
      </w:pPr>
      <w:bookmarkStart w:colFirst="0" w:colLast="0" w:name="_heading=h.v8ca2oy5ah4b" w:id="27"/>
      <w:bookmarkEnd w:id="27"/>
      <w:r w:rsidDel="00000000" w:rsidR="00000000" w:rsidRPr="00000000">
        <w:rPr>
          <w:rtl w:val="0"/>
        </w:rPr>
        <w:t xml:space="preserve">1.6 Survey Instruments</w:t>
      </w:r>
    </w:p>
    <w:p w:rsidR="00000000" w:rsidDel="00000000" w:rsidP="00000000" w:rsidRDefault="00000000" w:rsidRPr="00000000" w14:paraId="000000A3">
      <w:pPr>
        <w:pStyle w:val="Heading4"/>
        <w:rPr/>
      </w:pPr>
      <w:bookmarkStart w:colFirst="0" w:colLast="0" w:name="_heading=h.tryxek11qdgx" w:id="28"/>
      <w:bookmarkEnd w:id="28"/>
      <w:r w:rsidDel="00000000" w:rsidR="00000000" w:rsidRPr="00000000">
        <w:rPr>
          <w:rtl w:val="0"/>
        </w:rPr>
        <w:t xml:space="preserve">1.6.1 Pre-Exam Survey</w:t>
      </w:r>
    </w:p>
    <w:p w:rsidR="00000000" w:rsidDel="00000000" w:rsidP="00000000" w:rsidRDefault="00000000" w:rsidRPr="00000000" w14:paraId="000000A4">
      <w:pPr>
        <w:pStyle w:val="Heading5"/>
        <w:rPr/>
      </w:pPr>
      <w:bookmarkStart w:colFirst="0" w:colLast="0" w:name="_heading=h.wh1mxkbdvfuy" w:id="29"/>
      <w:bookmarkEnd w:id="29"/>
      <w:r w:rsidDel="00000000" w:rsidR="00000000" w:rsidRPr="00000000">
        <w:rPr>
          <w:rtl w:val="0"/>
        </w:rPr>
        <w:t xml:space="preserve">1.6.1.1 Demographic and Academic Variables</w:t>
      </w:r>
    </w:p>
    <w:p w:rsidR="00000000" w:rsidDel="00000000" w:rsidP="00000000" w:rsidRDefault="00000000" w:rsidRPr="00000000" w14:paraId="000000A5">
      <w:pPr>
        <w:rPr/>
      </w:pPr>
      <w:r w:rsidDel="00000000" w:rsidR="00000000" w:rsidRPr="00000000">
        <w:rPr>
          <w:rtl w:val="0"/>
        </w:rPr>
        <w:t xml:space="preserve">Demographic Variables</w:t>
      </w:r>
    </w:p>
    <w:p w:rsidR="00000000" w:rsidDel="00000000" w:rsidP="00000000" w:rsidRDefault="00000000" w:rsidRPr="00000000" w14:paraId="000000A6">
      <w:pPr>
        <w:numPr>
          <w:ilvl w:val="0"/>
          <w:numId w:val="5"/>
        </w:numPr>
        <w:ind w:left="720" w:hanging="360"/>
        <w:rPr/>
      </w:pPr>
      <w:r w:rsidDel="00000000" w:rsidR="00000000" w:rsidRPr="00000000">
        <w:rPr>
          <w:rtl w:val="0"/>
        </w:rPr>
        <w:t xml:space="preserve">Age (years; free-text entry)</w:t>
      </w:r>
    </w:p>
    <w:p w:rsidR="00000000" w:rsidDel="00000000" w:rsidP="00000000" w:rsidRDefault="00000000" w:rsidRPr="00000000" w14:paraId="000000A7">
      <w:pPr>
        <w:numPr>
          <w:ilvl w:val="0"/>
          <w:numId w:val="5"/>
        </w:numPr>
        <w:ind w:left="720" w:hanging="360"/>
        <w:rPr/>
      </w:pPr>
      <w:r w:rsidDel="00000000" w:rsidR="00000000" w:rsidRPr="00000000">
        <w:rPr>
          <w:rtl w:val="0"/>
        </w:rPr>
        <w:t xml:space="preserve">Gender identity (multiple choice: Female, Male, Non-binary, Prefer not to say)</w:t>
      </w:r>
    </w:p>
    <w:p w:rsidR="00000000" w:rsidDel="00000000" w:rsidP="00000000" w:rsidRDefault="00000000" w:rsidRPr="00000000" w14:paraId="000000A8">
      <w:pPr>
        <w:ind w:left="720" w:firstLine="0"/>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Academic Background</w:t>
      </w:r>
    </w:p>
    <w:p w:rsidR="00000000" w:rsidDel="00000000" w:rsidP="00000000" w:rsidRDefault="00000000" w:rsidRPr="00000000" w14:paraId="000000AA">
      <w:pPr>
        <w:numPr>
          <w:ilvl w:val="0"/>
          <w:numId w:val="6"/>
        </w:numPr>
        <w:ind w:left="720" w:hanging="360"/>
        <w:rPr/>
      </w:pPr>
      <w:r w:rsidDel="00000000" w:rsidR="00000000" w:rsidRPr="00000000">
        <w:rPr>
          <w:rtl w:val="0"/>
        </w:rPr>
        <w:t xml:space="preserve">Undergraduate major (multiple choice: Health Sciences, Non–Health Sciences, Other)</w:t>
      </w:r>
    </w:p>
    <w:p w:rsidR="00000000" w:rsidDel="00000000" w:rsidP="00000000" w:rsidRDefault="00000000" w:rsidRPr="00000000" w14:paraId="000000AB">
      <w:pPr>
        <w:numPr>
          <w:ilvl w:val="0"/>
          <w:numId w:val="6"/>
        </w:numPr>
        <w:ind w:left="720" w:hanging="360"/>
        <w:rPr/>
      </w:pPr>
      <w:r w:rsidDel="00000000" w:rsidR="00000000" w:rsidRPr="00000000">
        <w:rPr>
          <w:rtl w:val="0"/>
        </w:rPr>
        <w:t xml:space="preserve">Undergraduate GPA (self-reported percentage; free-text entry)</w:t>
      </w:r>
    </w:p>
    <w:p w:rsidR="00000000" w:rsidDel="00000000" w:rsidP="00000000" w:rsidRDefault="00000000" w:rsidRPr="00000000" w14:paraId="000000AC">
      <w:pPr>
        <w:numPr>
          <w:ilvl w:val="0"/>
          <w:numId w:val="6"/>
        </w:numPr>
        <w:ind w:left="720" w:hanging="360"/>
        <w:rPr/>
      </w:pPr>
      <w:r w:rsidDel="00000000" w:rsidR="00000000" w:rsidRPr="00000000">
        <w:rPr>
          <w:rtl w:val="0"/>
        </w:rPr>
        <w:t xml:space="preserve">Average weekly study time for medical school coursework (self-reported hours; free-text entry)</w:t>
      </w:r>
    </w:p>
    <w:p w:rsidR="00000000" w:rsidDel="00000000" w:rsidP="00000000" w:rsidRDefault="00000000" w:rsidRPr="00000000" w14:paraId="000000AD">
      <w:pPr>
        <w:ind w:left="720" w:firstLine="0"/>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AI Familiarity</w:t>
      </w:r>
    </w:p>
    <w:p w:rsidR="00000000" w:rsidDel="00000000" w:rsidP="00000000" w:rsidRDefault="00000000" w:rsidRPr="00000000" w14:paraId="000000AF">
      <w:pPr>
        <w:numPr>
          <w:ilvl w:val="0"/>
          <w:numId w:val="9"/>
        </w:numPr>
        <w:ind w:left="720" w:hanging="360"/>
        <w:rPr/>
      </w:pPr>
      <w:r w:rsidDel="00000000" w:rsidR="00000000" w:rsidRPr="00000000">
        <w:rPr>
          <w:rtl w:val="0"/>
        </w:rPr>
        <w:t xml:space="preserve">How familiar are you with the use of AI tools (</w:t>
      </w:r>
      <w:r w:rsidDel="00000000" w:rsidR="00000000" w:rsidRPr="00000000">
        <w:rPr>
          <w:i w:val="1"/>
          <w:iCs w:val="1"/>
          <w:rtl w:val="0"/>
        </w:rPr>
        <w:t xml:space="preserve">e.g.,</w:t>
      </w:r>
      <w:r w:rsidDel="00000000" w:rsidR="00000000" w:rsidRPr="00000000">
        <w:rPr>
          <w:rtl w:val="0"/>
        </w:rPr>
        <w:t xml:space="preserve"> ChatGPT, Google Bard) in your medical education? (multiple-choice: Very familiar, Familiar, Neutral, Somewhat familiar, Not familiar at all)</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5"/>
        <w:rPr/>
      </w:pPr>
      <w:bookmarkStart w:colFirst="0" w:colLast="0" w:name="_heading=h.fig37pjlg5pr" w:id="30"/>
      <w:bookmarkEnd w:id="30"/>
      <w:r w:rsidDel="00000000" w:rsidR="00000000" w:rsidRPr="00000000">
        <w:rPr>
          <w:rtl w:val="0"/>
        </w:rPr>
        <w:t xml:space="preserve">1.6.1.2 Self-Efficacy and Learning Strategy Assessment</w:t>
      </w:r>
    </w:p>
    <w:p w:rsidR="00000000" w:rsidDel="00000000" w:rsidP="00000000" w:rsidRDefault="00000000" w:rsidRPr="00000000" w14:paraId="000000B2">
      <w:pPr>
        <w:rPr/>
      </w:pPr>
      <w:r w:rsidDel="00000000" w:rsidR="00000000" w:rsidRPr="00000000">
        <w:rPr>
          <w:rtl w:val="0"/>
        </w:rPr>
        <w:t xml:space="preserve">All items were rated on 10-point Likert scales where 1 = Not at all confident/sufficient and 10 = Extremely confident/sufficient.</w:t>
      </w:r>
    </w:p>
    <w:p w:rsidR="00000000" w:rsidDel="00000000" w:rsidP="00000000" w:rsidRDefault="00000000" w:rsidRPr="00000000" w14:paraId="000000B3">
      <w:pPr>
        <w:numPr>
          <w:ilvl w:val="0"/>
          <w:numId w:val="3"/>
        </w:numPr>
        <w:ind w:left="720" w:hanging="360"/>
        <w:rPr/>
      </w:pPr>
      <w:r w:rsidDel="00000000" w:rsidR="00000000" w:rsidRPr="00000000">
        <w:rPr>
          <w:rtl w:val="0"/>
        </w:rPr>
        <w:t xml:space="preserve">How confident are you in your understanding of the material covered in the mock exam?</w:t>
      </w:r>
    </w:p>
    <w:p w:rsidR="00000000" w:rsidDel="00000000" w:rsidP="00000000" w:rsidRDefault="00000000" w:rsidRPr="00000000" w14:paraId="000000B4">
      <w:pPr>
        <w:numPr>
          <w:ilvl w:val="0"/>
          <w:numId w:val="3"/>
        </w:numPr>
        <w:ind w:left="720" w:hanging="360"/>
        <w:rPr/>
      </w:pPr>
      <w:r w:rsidDel="00000000" w:rsidR="00000000" w:rsidRPr="00000000">
        <w:rPr>
          <w:rtl w:val="0"/>
        </w:rPr>
        <w:t xml:space="preserve">How confident are you in your ability to perform well on multiple-choice questions?</w:t>
      </w:r>
    </w:p>
    <w:p w:rsidR="00000000" w:rsidDel="00000000" w:rsidP="00000000" w:rsidRDefault="00000000" w:rsidRPr="00000000" w14:paraId="000000B5">
      <w:pPr>
        <w:numPr>
          <w:ilvl w:val="0"/>
          <w:numId w:val="3"/>
        </w:numPr>
        <w:ind w:left="720" w:hanging="360"/>
        <w:rPr/>
      </w:pPr>
      <w:r w:rsidDel="00000000" w:rsidR="00000000" w:rsidRPr="00000000">
        <w:rPr>
          <w:rtl w:val="0"/>
        </w:rPr>
        <w:t xml:space="preserve">How confident are you in your ability to manage time effectively during exams?</w:t>
      </w:r>
    </w:p>
    <w:p w:rsidR="00000000" w:rsidDel="00000000" w:rsidP="00000000" w:rsidRDefault="00000000" w:rsidRPr="00000000" w14:paraId="000000B6">
      <w:pPr>
        <w:numPr>
          <w:ilvl w:val="0"/>
          <w:numId w:val="3"/>
        </w:numPr>
        <w:ind w:left="720" w:hanging="360"/>
        <w:rPr/>
      </w:pPr>
      <w:r w:rsidDel="00000000" w:rsidR="00000000" w:rsidRPr="00000000">
        <w:rPr>
          <w:rtl w:val="0"/>
        </w:rPr>
        <w:t xml:space="preserve">How sufficient do you feel the resources you’ve used to study (</w:t>
      </w:r>
      <w:r w:rsidDel="00000000" w:rsidR="00000000" w:rsidRPr="00000000">
        <w:rPr>
          <w:i w:val="1"/>
          <w:iCs w:val="1"/>
          <w:rtl w:val="0"/>
        </w:rPr>
        <w:t xml:space="preserve">e.g.</w:t>
      </w:r>
      <w:r w:rsidDel="00000000" w:rsidR="00000000" w:rsidRPr="00000000">
        <w:rPr>
          <w:rtl w:val="0"/>
        </w:rPr>
        <w:t xml:space="preserve">, textbooks, lectures, online materials) have been in preparing you for the mock exam?</w:t>
      </w:r>
    </w:p>
    <w:p w:rsidR="00000000" w:rsidDel="00000000" w:rsidP="00000000" w:rsidRDefault="00000000" w:rsidRPr="00000000" w14:paraId="000000B7">
      <w:pPr>
        <w:numPr>
          <w:ilvl w:val="0"/>
          <w:numId w:val="3"/>
        </w:numPr>
        <w:ind w:left="720" w:hanging="360"/>
        <w:rPr/>
      </w:pPr>
      <w:r w:rsidDel="00000000" w:rsidR="00000000" w:rsidRPr="00000000">
        <w:rPr>
          <w:rtl w:val="0"/>
        </w:rPr>
        <w:t xml:space="preserve">How confident are you in your ability to recall key information during the mock exam?</w:t>
      </w:r>
    </w:p>
    <w:p w:rsidR="00000000" w:rsidDel="00000000" w:rsidP="00000000" w:rsidRDefault="00000000" w:rsidRPr="00000000" w14:paraId="000000B8">
      <w:pPr>
        <w:numPr>
          <w:ilvl w:val="0"/>
          <w:numId w:val="3"/>
        </w:numPr>
        <w:ind w:left="720" w:hanging="360"/>
        <w:rPr/>
      </w:pPr>
      <w:r w:rsidDel="00000000" w:rsidR="00000000" w:rsidRPr="00000000">
        <w:rPr>
          <w:rtl w:val="0"/>
        </w:rPr>
        <w:t xml:space="preserve">How extensively have you used flashcard apps (</w:t>
      </w:r>
      <w:r w:rsidDel="00000000" w:rsidR="00000000" w:rsidRPr="00000000">
        <w:rPr>
          <w:i w:val="1"/>
          <w:iCs w:val="1"/>
          <w:rtl w:val="0"/>
        </w:rPr>
        <w:t xml:space="preserve">e.g.</w:t>
      </w:r>
      <w:r w:rsidDel="00000000" w:rsidR="00000000" w:rsidRPr="00000000">
        <w:rPr>
          <w:rtl w:val="0"/>
        </w:rPr>
        <w:t xml:space="preserve">, Anki) during your medical education? (1 = Not at all, 10 = Very extensively)</w:t>
      </w:r>
    </w:p>
    <w:p w:rsidR="00000000" w:rsidDel="00000000" w:rsidP="00000000" w:rsidRDefault="00000000" w:rsidRPr="00000000" w14:paraId="000000B9">
      <w:pPr>
        <w:ind w:left="720" w:firstLine="0"/>
        <w:rPr/>
      </w:pPr>
      <w:r w:rsidDel="00000000" w:rsidR="00000000" w:rsidRPr="00000000">
        <w:rPr>
          <w:rtl w:val="0"/>
        </w:rPr>
      </w:r>
    </w:p>
    <w:p w:rsidR="00000000" w:rsidDel="00000000" w:rsidP="00000000" w:rsidRDefault="00000000" w:rsidRPr="00000000" w14:paraId="000000BA">
      <w:pPr>
        <w:pStyle w:val="Heading4"/>
        <w:rPr/>
      </w:pPr>
      <w:bookmarkStart w:colFirst="0" w:colLast="0" w:name="_heading=h.fus8ewtwlseo" w:id="31"/>
      <w:bookmarkEnd w:id="31"/>
      <w:r w:rsidDel="00000000" w:rsidR="00000000" w:rsidRPr="00000000">
        <w:rPr>
          <w:rtl w:val="0"/>
        </w:rPr>
        <w:t xml:space="preserve">1.6.2 Post-Exam Survey</w:t>
      </w:r>
    </w:p>
    <w:p w:rsidR="00000000" w:rsidDel="00000000" w:rsidP="00000000" w:rsidRDefault="00000000" w:rsidRPr="00000000" w14:paraId="000000BB">
      <w:pPr>
        <w:rPr/>
      </w:pPr>
      <w:r w:rsidDel="00000000" w:rsidR="00000000" w:rsidRPr="00000000">
        <w:rPr>
          <w:rtl w:val="0"/>
        </w:rPr>
        <w:t xml:space="preserve">The post-exam survey was completed by all consenting students immediately after exam submission and before students could access their scores or answer explanations to ensure that student perception metrics were not affected by their score. All items were rated on 10-point Likert scales.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numPr>
          <w:ilvl w:val="0"/>
          <w:numId w:val="8"/>
        </w:numPr>
        <w:ind w:left="720" w:hanging="360"/>
        <w:rPr/>
      </w:pPr>
      <w:r w:rsidDel="00000000" w:rsidR="00000000" w:rsidRPr="00000000">
        <w:rPr>
          <w:rtl w:val="0"/>
        </w:rPr>
        <w:t xml:space="preserve">How difficult did you find the exam overall? (1 = Very easy, 10 = Extremely difficult)</w:t>
      </w:r>
    </w:p>
    <w:p w:rsidR="00000000" w:rsidDel="00000000" w:rsidP="00000000" w:rsidRDefault="00000000" w:rsidRPr="00000000" w14:paraId="000000BE">
      <w:pPr>
        <w:numPr>
          <w:ilvl w:val="0"/>
          <w:numId w:val="8"/>
        </w:numPr>
        <w:ind w:left="720" w:hanging="360"/>
        <w:rPr/>
      </w:pPr>
      <w:r w:rsidDel="00000000" w:rsidR="00000000" w:rsidRPr="00000000">
        <w:rPr>
          <w:rtl w:val="0"/>
        </w:rPr>
        <w:t xml:space="preserve">How clear were the exam questions? (1 = Very unclear/confusing, 10 = Extremely clear)</w:t>
      </w:r>
    </w:p>
    <w:p w:rsidR="00000000" w:rsidDel="00000000" w:rsidP="00000000" w:rsidRDefault="00000000" w:rsidRPr="00000000" w14:paraId="000000BF">
      <w:pPr>
        <w:numPr>
          <w:ilvl w:val="0"/>
          <w:numId w:val="8"/>
        </w:numPr>
        <w:ind w:left="720" w:hanging="360"/>
        <w:rPr/>
      </w:pPr>
      <w:r w:rsidDel="00000000" w:rsidR="00000000" w:rsidRPr="00000000">
        <w:rPr>
          <w:rtl w:val="0"/>
        </w:rPr>
        <w:t xml:space="preserve">How relevant were the exam questions to the course material? (1 = Not relevant at all, 10 = Extremely relevant)</w:t>
      </w:r>
    </w:p>
    <w:p w:rsidR="00000000" w:rsidDel="00000000" w:rsidP="00000000" w:rsidRDefault="00000000" w:rsidRPr="00000000" w14:paraId="000000C0">
      <w:pPr>
        <w:numPr>
          <w:ilvl w:val="0"/>
          <w:numId w:val="8"/>
        </w:numPr>
        <w:ind w:left="720" w:hanging="360"/>
        <w:rPr/>
      </w:pPr>
      <w:r w:rsidDel="00000000" w:rsidR="00000000" w:rsidRPr="00000000">
        <w:rPr>
          <w:rtl w:val="0"/>
        </w:rPr>
        <w:t xml:space="preserve">Did you feel you had enough time to complete the exam? (1 = Not enough time at all, 10 = More than enough time)</w:t>
      </w:r>
    </w:p>
    <w:p w:rsidR="00000000" w:rsidDel="00000000" w:rsidP="00000000" w:rsidRDefault="00000000" w:rsidRPr="00000000" w14:paraId="000000C1">
      <w:pPr>
        <w:numPr>
          <w:ilvl w:val="0"/>
          <w:numId w:val="8"/>
        </w:numPr>
        <w:ind w:left="720" w:hanging="360"/>
        <w:rPr/>
      </w:pPr>
      <w:r w:rsidDel="00000000" w:rsidR="00000000" w:rsidRPr="00000000">
        <w:rPr>
          <w:rtl w:val="0"/>
        </w:rPr>
        <w:t xml:space="preserve">How would you rate the quality of the multiple-choice questions? (1 = Very poor quality, 10 = Excellent quality)</w:t>
      </w:r>
    </w:p>
    <w:p w:rsidR="00000000" w:rsidDel="00000000" w:rsidP="00000000" w:rsidRDefault="00000000" w:rsidRPr="00000000" w14:paraId="000000C2">
      <w:pPr>
        <w:numPr>
          <w:ilvl w:val="0"/>
          <w:numId w:val="8"/>
        </w:numPr>
        <w:ind w:left="720" w:hanging="360"/>
        <w:rPr/>
      </w:pPr>
      <w:r w:rsidDel="00000000" w:rsidR="00000000" w:rsidRPr="00000000">
        <w:rPr>
          <w:rtl w:val="0"/>
        </w:rPr>
        <w:t xml:space="preserve">After completing the exam, how confident are you in your understanding of the clinical concepts covered? (1 = Not at all confident, 10 = Extremely confident)</w:t>
      </w:r>
    </w:p>
    <w:p w:rsidR="00000000" w:rsidDel="00000000" w:rsidP="00000000" w:rsidRDefault="00000000" w:rsidRPr="00000000" w14:paraId="000000C3">
      <w:pPr>
        <w:numPr>
          <w:ilvl w:val="0"/>
          <w:numId w:val="8"/>
        </w:numPr>
        <w:ind w:left="720" w:hanging="360"/>
        <w:rPr/>
      </w:pPr>
      <w:r w:rsidDel="00000000" w:rsidR="00000000" w:rsidRPr="00000000">
        <w:rPr>
          <w:rtl w:val="0"/>
        </w:rPr>
        <w:t xml:space="preserve">How prepared do you feel overall for the upcoming real [summative] exam? (1 = Not at all prepared, 10 = Extremely prepared; this metric was assessed in both the pre- and post-exam surveys)</w:t>
      </w:r>
    </w:p>
    <w:p w:rsidR="00000000" w:rsidDel="00000000" w:rsidP="00000000" w:rsidRDefault="00000000" w:rsidRPr="00000000" w14:paraId="000000C4">
      <w:pPr>
        <w:numPr>
          <w:ilvl w:val="0"/>
          <w:numId w:val="8"/>
        </w:numPr>
        <w:ind w:left="720" w:hanging="360"/>
        <w:rPr/>
      </w:pPr>
      <w:r w:rsidDel="00000000" w:rsidR="00000000" w:rsidRPr="00000000">
        <w:rPr>
          <w:rtl w:val="0"/>
        </w:rPr>
        <w:t xml:space="preserve">How much did the exam help you identify areas where you need to improve your understanding? (1 = Did not help at all, 10 = Helped extremely well)</w:t>
      </w:r>
    </w:p>
    <w:p w:rsidR="00000000" w:rsidDel="00000000" w:rsidP="00000000" w:rsidRDefault="00000000" w:rsidRPr="00000000" w14:paraId="000000C5">
      <w:pPr>
        <w:numPr>
          <w:ilvl w:val="0"/>
          <w:numId w:val="8"/>
        </w:numPr>
        <w:ind w:left="720" w:hanging="360"/>
        <w:rPr/>
      </w:pPr>
      <w:r w:rsidDel="00000000" w:rsidR="00000000" w:rsidRPr="00000000">
        <w:rPr>
          <w:rtl w:val="0"/>
        </w:rPr>
        <w:t xml:space="preserve">How confident are you that you will retain the information tested in the exam for future clinical practice? (1 = Not at all confident, 10 = Extremely confident)</w:t>
      </w:r>
    </w:p>
    <w:p w:rsidR="00000000" w:rsidDel="00000000" w:rsidP="00000000" w:rsidRDefault="00000000" w:rsidRPr="00000000" w14:paraId="000000C6">
      <w:pPr>
        <w:pStyle w:val="Heading2"/>
        <w:rPr/>
      </w:pPr>
      <w:bookmarkStart w:colFirst="0" w:colLast="0" w:name="_heading=h.fu6hsq2n83lx" w:id="32"/>
      <w:bookmarkEnd w:id="32"/>
      <w:r w:rsidDel="00000000" w:rsidR="00000000" w:rsidRPr="00000000">
        <w:br w:type="page"/>
      </w:r>
      <w:r w:rsidDel="00000000" w:rsidR="00000000" w:rsidRPr="00000000">
        <w:rPr>
          <w:rtl w:val="0"/>
        </w:rPr>
        <w:t xml:space="preserve">2. Supplementary Per-Protocol (PP)  Results</w:t>
      </w:r>
    </w:p>
    <w:p w:rsidR="00000000" w:rsidDel="00000000" w:rsidP="00000000" w:rsidRDefault="00000000" w:rsidRPr="00000000" w14:paraId="000000C7">
      <w:pPr>
        <w:rPr/>
      </w:pPr>
      <w:r w:rsidDel="00000000" w:rsidR="00000000" w:rsidRPr="00000000">
        <w:rPr>
          <w:rtl w:val="0"/>
        </w:rPr>
        <w:t xml:space="preserve">Per-protocol (PP) analyses were conducted including participants who met all pre-specified eligibility criteria and completed the mock examination with evidence of adequate engagement. These analyses were designed to evaluate exam performance under optimal test-taking conditions and to minimize noise introduced by minimally engaged participants. ITT analyses, which included all randomized participants (N = 258; Human-generated exam arm N = 131; AI-generated exam arm N = 127; see CONSORT flow diagram in </w:t>
      </w:r>
      <w:r w:rsidDel="00000000" w:rsidR="00000000" w:rsidRPr="00000000">
        <w:rPr>
          <w:b w:val="1"/>
          <w:bCs w:val="1"/>
          <w:rtl w:val="0"/>
        </w:rPr>
        <w:t xml:space="preserve">Figure 2</w:t>
      </w:r>
      <w:r w:rsidDel="00000000" w:rsidR="00000000" w:rsidRPr="00000000">
        <w:rPr>
          <w:rtl w:val="0"/>
        </w:rPr>
        <w:t xml:space="preserve"> of the main manuscript), were conducted for comparison to assess the robustness of PP findings to inclusion criteria. Baseline characteristics of the PP population are summarized in Table S1.</w:t>
      </w:r>
    </w:p>
    <w:p w:rsidR="00000000" w:rsidDel="00000000" w:rsidP="00000000" w:rsidRDefault="00000000" w:rsidRPr="00000000" w14:paraId="000000C8">
      <w:pPr>
        <w:pStyle w:val="Heading3"/>
        <w:spacing w:after="0" w:lineRule="auto"/>
        <w:rPr/>
      </w:pPr>
      <w:bookmarkStart w:colFirst="0" w:colLast="0" w:name="_heading=h.g32senhrcu06" w:id="33"/>
      <w:bookmarkEnd w:id="33"/>
      <w:r w:rsidDel="00000000" w:rsidR="00000000" w:rsidRPr="00000000">
        <w:rPr>
          <w:rtl w:val="0"/>
        </w:rPr>
        <w:t xml:space="preserve">2.1 Acceptability Measures</w:t>
      </w:r>
    </w:p>
    <w:p w:rsidR="00000000" w:rsidDel="00000000" w:rsidP="00000000" w:rsidRDefault="00000000" w:rsidRPr="00000000" w14:paraId="000000C9">
      <w:pPr>
        <w:spacing w:after="240" w:lineRule="auto"/>
        <w:rPr/>
      </w:pPr>
      <w:r w:rsidDel="00000000" w:rsidR="00000000" w:rsidRPr="00000000">
        <w:rPr>
          <w:rtl w:val="0"/>
        </w:rPr>
        <w:t xml:space="preserve">Students’ perceptions of the AI- and Human-gen exams in the PP population are compared in Figure S11 (PP </w:t>
      </w:r>
      <w:r w:rsidDel="00000000" w:rsidR="00000000" w:rsidRPr="00000000">
        <w:rPr>
          <w:i w:val="1"/>
          <w:iCs w:val="1"/>
          <w:rtl w:val="0"/>
        </w:rPr>
        <w:t xml:space="preserve">N</w:t>
      </w:r>
      <w:r w:rsidDel="00000000" w:rsidR="00000000" w:rsidRPr="00000000">
        <w:rPr>
          <w:rtl w:val="0"/>
        </w:rPr>
        <w:t xml:space="preserve"> = 248; AI-gen </w:t>
      </w:r>
      <w:r w:rsidDel="00000000" w:rsidR="00000000" w:rsidRPr="00000000">
        <w:rPr>
          <w:i w:val="1"/>
          <w:iCs w:val="1"/>
          <w:rtl w:val="0"/>
        </w:rPr>
        <w:t xml:space="preserve">N</w:t>
      </w:r>
      <w:r w:rsidDel="00000000" w:rsidR="00000000" w:rsidRPr="00000000">
        <w:rPr>
          <w:rtl w:val="0"/>
        </w:rPr>
        <w:t xml:space="preserve"> = 123, Human-gen </w:t>
      </w:r>
      <w:r w:rsidDel="00000000" w:rsidR="00000000" w:rsidRPr="00000000">
        <w:rPr>
          <w:i w:val="1"/>
          <w:iCs w:val="1"/>
          <w:rtl w:val="0"/>
        </w:rPr>
        <w:t xml:space="preserve">N</w:t>
      </w:r>
      <w:r w:rsidDel="00000000" w:rsidR="00000000" w:rsidRPr="00000000">
        <w:rPr>
          <w:rtl w:val="0"/>
        </w:rPr>
        <w:t xml:space="preserve"> = 125). Using Welch t-tests with </w:t>
      </w:r>
      <w:r w:rsidDel="00000000" w:rsidR="00000000" w:rsidRPr="00000000">
        <w:rPr>
          <w:i w:val="1"/>
          <w:iCs w:val="1"/>
          <w:rtl w:val="0"/>
        </w:rPr>
        <w:t xml:space="preserve">p</w:t>
      </w:r>
      <w:r w:rsidDel="00000000" w:rsidR="00000000" w:rsidRPr="00000000">
        <w:rPr>
          <w:rtl w:val="0"/>
        </w:rPr>
        <w:t xml:space="preserve">-values, ratings were similar across most acceptability domains. Four domains showed small differences favoring the Human-gen exam: Identifying knowledge gaps (AI-gen 7.31 versus Human-gen 7.89; </w:t>
      </w:r>
      <w:r w:rsidDel="00000000" w:rsidR="00000000" w:rsidRPr="00000000">
        <w:rPr>
          <w:i w:val="1"/>
          <w:iCs w:val="1"/>
          <w:rtl w:val="0"/>
        </w:rPr>
        <w:t xml:space="preserve">p</w:t>
      </w:r>
      <w:r w:rsidDel="00000000" w:rsidR="00000000" w:rsidRPr="00000000">
        <w:rPr>
          <w:rtl w:val="0"/>
        </w:rPr>
        <w:t xml:space="preserve"> = 0.0115), Retention of information for future practice (AI-gen 5.87 versus Human-gen 6.38; </w:t>
      </w:r>
      <w:r w:rsidDel="00000000" w:rsidR="00000000" w:rsidRPr="00000000">
        <w:rPr>
          <w:i w:val="1"/>
          <w:iCs w:val="1"/>
          <w:rtl w:val="0"/>
        </w:rPr>
        <w:t xml:space="preserve">p</w:t>
      </w:r>
      <w:r w:rsidDel="00000000" w:rsidR="00000000" w:rsidRPr="00000000">
        <w:rPr>
          <w:rtl w:val="0"/>
        </w:rPr>
        <w:t xml:space="preserve"> = 0.0254), Understanding clinical concepts (AI-gen 5.81 versus Human-gen 6.22; </w:t>
      </w:r>
      <w:r w:rsidDel="00000000" w:rsidR="00000000" w:rsidRPr="00000000">
        <w:rPr>
          <w:i w:val="1"/>
          <w:iCs w:val="1"/>
          <w:rtl w:val="0"/>
        </w:rPr>
        <w:t xml:space="preserve">p</w:t>
      </w:r>
      <w:r w:rsidDel="00000000" w:rsidR="00000000" w:rsidRPr="00000000">
        <w:rPr>
          <w:rtl w:val="0"/>
        </w:rPr>
        <w:t xml:space="preserve"> = 0.0346), and General preparedness for the real exam (AI-gen 5.72 versus Human-gen 6.14; </w:t>
      </w:r>
      <w:r w:rsidDel="00000000" w:rsidR="00000000" w:rsidRPr="00000000">
        <w:rPr>
          <w:i w:val="1"/>
          <w:iCs w:val="1"/>
          <w:rtl w:val="0"/>
        </w:rPr>
        <w:t xml:space="preserve">p</w:t>
      </w:r>
      <w:r w:rsidDel="00000000" w:rsidR="00000000" w:rsidRPr="00000000">
        <w:rPr>
          <w:rtl w:val="0"/>
        </w:rPr>
        <w:t xml:space="preserve"> = 0.0443). All other domains were not statistically different: Clarity of questions (</w:t>
      </w:r>
      <w:r w:rsidDel="00000000" w:rsidR="00000000" w:rsidRPr="00000000">
        <w:rPr>
          <w:i w:val="1"/>
          <w:iCs w:val="1"/>
          <w:rtl w:val="0"/>
        </w:rPr>
        <w:t xml:space="preserve">p</w:t>
      </w:r>
      <w:r w:rsidDel="00000000" w:rsidR="00000000" w:rsidRPr="00000000">
        <w:rPr>
          <w:rtl w:val="0"/>
        </w:rPr>
        <w:t xml:space="preserve"> = 0.857), Enough time to complete exam (</w:t>
      </w:r>
      <w:r w:rsidDel="00000000" w:rsidR="00000000" w:rsidRPr="00000000">
        <w:rPr>
          <w:i w:val="1"/>
          <w:iCs w:val="1"/>
          <w:rtl w:val="0"/>
        </w:rPr>
        <w:t xml:space="preserve">p</w:t>
      </w:r>
      <w:r w:rsidDel="00000000" w:rsidR="00000000" w:rsidRPr="00000000">
        <w:rPr>
          <w:rtl w:val="0"/>
        </w:rPr>
        <w:t xml:space="preserve"> = 0.201), Overall difficulty (</w:t>
      </w:r>
      <w:r w:rsidDel="00000000" w:rsidR="00000000" w:rsidRPr="00000000">
        <w:rPr>
          <w:i w:val="1"/>
          <w:iCs w:val="1"/>
          <w:rtl w:val="0"/>
        </w:rPr>
        <w:t xml:space="preserve">p</w:t>
      </w:r>
      <w:r w:rsidDel="00000000" w:rsidR="00000000" w:rsidRPr="00000000">
        <w:rPr>
          <w:rtl w:val="0"/>
        </w:rPr>
        <w:t xml:space="preserve"> = 0.126), Question quality (</w:t>
      </w:r>
      <w:r w:rsidDel="00000000" w:rsidR="00000000" w:rsidRPr="00000000">
        <w:rPr>
          <w:i w:val="1"/>
          <w:iCs w:val="1"/>
          <w:rtl w:val="0"/>
        </w:rPr>
        <w:t xml:space="preserve">p</w:t>
      </w:r>
      <w:r w:rsidDel="00000000" w:rsidR="00000000" w:rsidRPr="00000000">
        <w:rPr>
          <w:rtl w:val="0"/>
        </w:rPr>
        <w:t xml:space="preserve"> = 0.407), and Relevance to course material (</w:t>
      </w:r>
      <w:r w:rsidDel="00000000" w:rsidR="00000000" w:rsidRPr="00000000">
        <w:rPr>
          <w:i w:val="1"/>
          <w:iCs w:val="1"/>
          <w:rtl w:val="0"/>
        </w:rPr>
        <w:t xml:space="preserve">p</w:t>
      </w:r>
      <w:r w:rsidDel="00000000" w:rsidR="00000000" w:rsidRPr="00000000">
        <w:rPr>
          <w:rtl w:val="0"/>
        </w:rPr>
        <w:t xml:space="preserve"> = 0.110). Across all domains, mean differences were small in magnitude (absolute mean differences between 0.05–0.58 on the 0–10 scale).</w:t>
      </w:r>
    </w:p>
    <w:p w:rsidR="00000000" w:rsidDel="00000000" w:rsidP="00000000" w:rsidRDefault="00000000" w:rsidRPr="00000000" w14:paraId="000000CA">
      <w:pPr>
        <w:pStyle w:val="Heading3"/>
        <w:rPr/>
      </w:pPr>
      <w:bookmarkStart w:colFirst="0" w:colLast="0" w:name="_heading=h.h52l3xnnn3ln" w:id="34"/>
      <w:bookmarkEnd w:id="34"/>
      <w:r w:rsidDel="00000000" w:rsidR="00000000" w:rsidRPr="00000000">
        <w:rPr>
          <w:rtl w:val="0"/>
        </w:rPr>
        <w:t xml:space="preserve">2.2 Reliability Measures</w:t>
      </w:r>
    </w:p>
    <w:p w:rsidR="00000000" w:rsidDel="00000000" w:rsidP="00000000" w:rsidRDefault="00000000" w:rsidRPr="00000000" w14:paraId="000000CB">
      <w:pPr>
        <w:pStyle w:val="Heading4"/>
        <w:rPr/>
      </w:pPr>
      <w:bookmarkStart w:colFirst="0" w:colLast="0" w:name="_heading=h.r45hu4fpahi0" w:id="35"/>
      <w:bookmarkEnd w:id="35"/>
      <w:r w:rsidDel="00000000" w:rsidR="00000000" w:rsidRPr="00000000">
        <w:rPr>
          <w:rtl w:val="0"/>
        </w:rPr>
        <w:t xml:space="preserve">2.2.1 Item Discrimination (DI):</w:t>
      </w:r>
    </w:p>
    <w:p w:rsidR="00000000" w:rsidDel="00000000" w:rsidP="00000000" w:rsidRDefault="00000000" w:rsidRPr="00000000" w14:paraId="000000CC">
      <w:pPr>
        <w:spacing w:after="240" w:before="240" w:lineRule="auto"/>
        <w:rPr/>
      </w:pPr>
      <w:r w:rsidDel="00000000" w:rsidR="00000000" w:rsidRPr="00000000">
        <w:rPr>
          <w:rtl w:val="0"/>
        </w:rPr>
        <w:t xml:space="preserve">In the per-protocol (PP) analysis, Human-gen MCQs demonstrated significantly higher item-level discrimination than AI-generated MCQs (mean DI: 0.21 [95% bootstrap CI 0.18–0.24] vs. 0.17 [0.14–0.20]; </w:t>
      </w:r>
      <w:r w:rsidDel="00000000" w:rsidR="00000000" w:rsidRPr="00000000">
        <w:rPr>
          <w:i w:val="1"/>
          <w:iCs w:val="1"/>
          <w:rtl w:val="0"/>
        </w:rPr>
        <w:t xml:space="preserve">p</w:t>
      </w:r>
      <w:r w:rsidDel="00000000" w:rsidR="00000000" w:rsidRPr="00000000">
        <w:rPr>
          <w:rtl w:val="0"/>
        </w:rPr>
        <w:t xml:space="preserve"> = 0.030). Although this difference reached statistical significance, the magnitude of the effect was small.</w:t>
      </w:r>
    </w:p>
    <w:p w:rsidR="00000000" w:rsidDel="00000000" w:rsidP="00000000" w:rsidRDefault="00000000" w:rsidRPr="00000000" w14:paraId="000000CD">
      <w:pPr>
        <w:spacing w:after="240" w:before="240" w:lineRule="auto"/>
        <w:rPr/>
      </w:pPr>
      <w:r w:rsidDel="00000000" w:rsidR="00000000" w:rsidRPr="00000000">
        <w:rPr>
          <w:rtl w:val="0"/>
        </w:rPr>
        <w:t xml:space="preserve">When compared with the intention-to-treat (ITT) population, DI values were modestly higher in both exam arms (Human-gen: 0.25 [0.22–0.27]; AI-gen: 0.19 [0.16–0.22]; p = 0.002). The higher absolute DI values observed in the ITT analysis are likely attributable to the inclusion of minimally engaged participants. Such participants tend to cluster within the lower-performance tail of the score distribution, which mathematically increases the separation between upper and lower scoring groups used in DI calculations.</w:t>
      </w:r>
    </w:p>
    <w:p w:rsidR="00000000" w:rsidDel="00000000" w:rsidP="00000000" w:rsidRDefault="00000000" w:rsidRPr="00000000" w14:paraId="000000CE">
      <w:pPr>
        <w:spacing w:after="240" w:before="240" w:lineRule="auto"/>
        <w:rPr/>
      </w:pPr>
      <w:r w:rsidDel="00000000" w:rsidR="00000000" w:rsidRPr="00000000">
        <w:rPr>
          <w:rtl w:val="0"/>
        </w:rPr>
        <w:t xml:space="preserve">Despite these differences in absolute DI values, the direction of the effect remained consistent across analytic populations, with Human-gen items demonstrating greater discrimination than AI-generated items. Comparisons of DI distributions and mean values across PP and ITT populations are shown in Figures S9 and S10.</w:t>
      </w:r>
    </w:p>
    <w:p w:rsidR="00000000" w:rsidDel="00000000" w:rsidP="00000000" w:rsidRDefault="00000000" w:rsidRPr="00000000" w14:paraId="000000CF">
      <w:pPr>
        <w:pStyle w:val="Heading4"/>
        <w:rPr/>
      </w:pPr>
      <w:bookmarkStart w:colFirst="0" w:colLast="0" w:name="_heading=h.gty10l7authd" w:id="36"/>
      <w:bookmarkEnd w:id="36"/>
      <w:r w:rsidDel="00000000" w:rsidR="00000000" w:rsidRPr="00000000">
        <w:rPr>
          <w:rtl w:val="0"/>
        </w:rPr>
        <w:t xml:space="preserve">2.2.2 Distractor Efficiency (DE) </w:t>
      </w:r>
    </w:p>
    <w:p w:rsidR="00000000" w:rsidDel="00000000" w:rsidP="00000000" w:rsidRDefault="00000000" w:rsidRPr="00000000" w14:paraId="000000D0">
      <w:pPr>
        <w:spacing w:after="240" w:before="240" w:lineRule="auto"/>
        <w:rPr/>
      </w:pPr>
      <w:r w:rsidDel="00000000" w:rsidR="00000000" w:rsidRPr="00000000">
        <w:rPr>
          <w:rtl w:val="0"/>
        </w:rPr>
        <w:t xml:space="preserve">In the PP analysis, no statistically significant difference in DE was observed between protocols (mean DE: 37.8% ± 29.9% for Human-gen versus 31.5% ± 27.0% for AI-gen; Wilcoxon rank-sum test, W = 7055, </w:t>
      </w:r>
      <w:r w:rsidDel="00000000" w:rsidR="00000000" w:rsidRPr="00000000">
        <w:rPr>
          <w:i w:val="1"/>
          <w:iCs w:val="1"/>
          <w:rtl w:val="0"/>
        </w:rPr>
        <w:t xml:space="preserve">p</w:t>
      </w:r>
      <w:r w:rsidDel="00000000" w:rsidR="00000000" w:rsidRPr="00000000">
        <w:rPr>
          <w:rtl w:val="0"/>
        </w:rPr>
        <w:t xml:space="preserve"> = 0.123). The associated effect size was small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0.115). Bootstrap resampling demonstrated overlapping 95% confidence intervals (Human-gen: 32.3%–43.4%; AI-gen: 26.8%–36.6%), indicating comparable distractor plausibility between exams.</w:t>
      </w:r>
    </w:p>
    <w:p w:rsidR="00000000" w:rsidDel="00000000" w:rsidP="00000000" w:rsidRDefault="00000000" w:rsidRPr="00000000" w14:paraId="000000D1">
      <w:pPr>
        <w:pStyle w:val="Heading3"/>
        <w:rPr/>
      </w:pPr>
      <w:bookmarkStart w:colFirst="0" w:colLast="0" w:name="_heading=h.4r8nn0o9pk91" w:id="37"/>
      <w:bookmarkEnd w:id="37"/>
      <w:r w:rsidDel="00000000" w:rsidR="00000000" w:rsidRPr="00000000">
        <w:rPr>
          <w:rtl w:val="0"/>
        </w:rPr>
        <w:t xml:space="preserve">2.3 Validity Measures </w:t>
      </w:r>
    </w:p>
    <w:p w:rsidR="00000000" w:rsidDel="00000000" w:rsidP="00000000" w:rsidRDefault="00000000" w:rsidRPr="00000000" w14:paraId="000000D2">
      <w:pPr>
        <w:pStyle w:val="Heading4"/>
        <w:rPr/>
      </w:pPr>
      <w:bookmarkStart w:colFirst="0" w:colLast="0" w:name="_heading=h.ysohr9u6e936" w:id="38"/>
      <w:bookmarkEnd w:id="38"/>
      <w:r w:rsidDel="00000000" w:rsidR="00000000" w:rsidRPr="00000000">
        <w:rPr>
          <w:rtl w:val="0"/>
        </w:rPr>
        <w:t xml:space="preserve">2.3.1 Mean Exam Scores </w:t>
      </w:r>
    </w:p>
    <w:p w:rsidR="00000000" w:rsidDel="00000000" w:rsidP="00000000" w:rsidRDefault="00000000" w:rsidRPr="00000000" w14:paraId="000000D3">
      <w:pPr>
        <w:spacing w:after="240" w:before="240" w:lineRule="auto"/>
        <w:rPr/>
      </w:pPr>
      <w:r w:rsidDel="00000000" w:rsidR="00000000" w:rsidRPr="00000000">
        <w:rPr>
          <w:rtl w:val="0"/>
        </w:rPr>
        <w:t xml:space="preserve">In the PP population, students assigned to the Human-gen exam achieved higher mean scores than those assigned to the AI-generated exam (mean ± SD: 74.6% ± 9.1% versus 71.7% ± 7.1%). This difference reached statistical significance (</w:t>
      </w:r>
      <w:r w:rsidDel="00000000" w:rsidR="00000000" w:rsidRPr="00000000">
        <w:rPr>
          <w:i w:val="1"/>
          <w:iCs w:val="1"/>
          <w:rtl w:val="0"/>
        </w:rPr>
        <w:t xml:space="preserve">p</w:t>
      </w:r>
      <w:r w:rsidDel="00000000" w:rsidR="00000000" w:rsidRPr="00000000">
        <w:rPr>
          <w:rtl w:val="0"/>
        </w:rPr>
        <w:t xml:space="preserve"> = 0.005); however, the associated effect size was small (Cohen’s </w:t>
      </w:r>
      <w:r w:rsidDel="00000000" w:rsidR="00000000" w:rsidRPr="00000000">
        <w:rPr>
          <w:i w:val="1"/>
          <w:iCs w:val="1"/>
          <w:rtl w:val="0"/>
        </w:rPr>
        <w:t xml:space="preserve">d</w:t>
      </w:r>
      <w:r w:rsidDel="00000000" w:rsidR="00000000" w:rsidRPr="00000000">
        <w:rPr>
          <w:rtl w:val="0"/>
        </w:rPr>
        <w:t xml:space="preserve"> = 0.36), indicating substantial overlap in score distributions between groups. When the analysis was expanded to the ITT population, mean exam scores were 73.4% ± 12.3% for the Human-gen exam and 71.0% ± 9.0% for the AI-generated exam. Although the direction of the difference was preserved, the magnitude of the effect was attenuated and no longer statistically significant (</w:t>
      </w:r>
      <w:r w:rsidDel="00000000" w:rsidR="00000000" w:rsidRPr="00000000">
        <w:rPr>
          <w:i w:val="1"/>
          <w:iCs w:val="1"/>
          <w:rtl w:val="0"/>
        </w:rPr>
        <w:t xml:space="preserve">p</w:t>
      </w:r>
      <w:r w:rsidDel="00000000" w:rsidR="00000000" w:rsidRPr="00000000">
        <w:rPr>
          <w:rtl w:val="0"/>
        </w:rPr>
        <w:t xml:space="preserve"> = 0.083; Cohen’s </w:t>
      </w:r>
      <w:r w:rsidDel="00000000" w:rsidR="00000000" w:rsidRPr="00000000">
        <w:rPr>
          <w:i w:val="1"/>
          <w:iCs w:val="1"/>
          <w:rtl w:val="0"/>
        </w:rPr>
        <w:t xml:space="preserve">d</w:t>
      </w:r>
      <w:r w:rsidDel="00000000" w:rsidR="00000000" w:rsidRPr="00000000">
        <w:rPr>
          <w:rtl w:val="0"/>
        </w:rPr>
        <w:t xml:space="preserve"> = 0.22), consistent with a smaller and less precise group difference. The attenuation observed in the ITT analysis was primarily attributable to increased score variability in the Human-generated arm, where inclusion of six minimally engaged participants increased the standard deviation from 9.1% in the PP population to 12.3% in the ITT population. This additional variance reduced the precision of the estimated group difference without materially altering its direction.</w:t>
      </w:r>
    </w:p>
    <w:p w:rsidR="00000000" w:rsidDel="00000000" w:rsidP="00000000" w:rsidRDefault="00000000" w:rsidRPr="00000000" w14:paraId="000000D4">
      <w:pPr>
        <w:spacing w:after="240" w:before="240" w:lineRule="auto"/>
        <w:rPr/>
      </w:pPr>
      <w:r w:rsidDel="00000000" w:rsidR="00000000" w:rsidRPr="00000000">
        <w:rPr>
          <w:rtl w:val="0"/>
        </w:rPr>
        <w:t xml:space="preserve">Taken together, these findings suggest that while the PP analysis identified a statistically significant difference under conditions of adequate engagement, the small effect size and attenuation in the ITT analysis indicate that overall performance differences between AI-gen and Human-gen exams were modest and did not meaningfully diverge across analytic populations.</w:t>
      </w:r>
    </w:p>
    <w:p w:rsidR="00000000" w:rsidDel="00000000" w:rsidP="00000000" w:rsidRDefault="00000000" w:rsidRPr="00000000" w14:paraId="000000D5">
      <w:pPr>
        <w:pStyle w:val="Heading4"/>
        <w:rPr/>
      </w:pPr>
      <w:bookmarkStart w:colFirst="0" w:colLast="0" w:name="_heading=h.e98cvix9pfql" w:id="39"/>
      <w:bookmarkEnd w:id="39"/>
      <w:r w:rsidDel="00000000" w:rsidR="00000000" w:rsidRPr="00000000">
        <w:rPr>
          <w:rtl w:val="0"/>
        </w:rPr>
        <w:t xml:space="preserve">2.3.2  Subgroup Analysis: Performance by Undergraduate Academic Background </w:t>
      </w:r>
    </w:p>
    <w:p w:rsidR="00000000" w:rsidDel="00000000" w:rsidP="00000000" w:rsidRDefault="00000000" w:rsidRPr="00000000" w14:paraId="000000D6">
      <w:pPr>
        <w:spacing w:after="240" w:before="240" w:lineRule="auto"/>
        <w:rPr/>
      </w:pPr>
      <w:r w:rsidDel="00000000" w:rsidR="00000000" w:rsidRPr="00000000">
        <w:rPr>
          <w:rtl w:val="0"/>
        </w:rPr>
        <w:t xml:space="preserve">We evaluated whether exam performance differed by undergraduate academic background and whether any such differences depended on whether students completed the AI-gen versus Human-gen mock exam. Undergraduate background was categorized as Medical/Health Sciences (biology, biochemistry, nursing, or other health-related degrees) or Non-medical/Non-health Sciences (arts, social sciences, engineering, business, or other non-health-related degrees). Students who selected “Other” but could not be confidently classified were excluded from subgroup analyses.</w:t>
      </w:r>
    </w:p>
    <w:p w:rsidR="00000000" w:rsidDel="00000000" w:rsidP="00000000" w:rsidRDefault="00000000" w:rsidRPr="00000000" w14:paraId="000000D7">
      <w:pPr>
        <w:spacing w:after="240" w:before="240" w:lineRule="auto"/>
        <w:rPr/>
      </w:pPr>
      <w:r w:rsidDel="00000000" w:rsidR="00000000" w:rsidRPr="00000000">
        <w:rPr>
          <w:rtl w:val="0"/>
        </w:rPr>
        <w:t xml:space="preserve">In the PP population, 244 participants were available for subgroup analysis. Four participants were excluded because their undergraduate academic background was reported as “Other” and could not be classified as either medical or non-medical. Subgroup sizes were as follows: AI-gen exam: medical </w:t>
      </w:r>
      <w:r w:rsidDel="00000000" w:rsidR="00000000" w:rsidRPr="00000000">
        <w:rPr>
          <w:i w:val="1"/>
          <w:iCs w:val="1"/>
          <w:rtl w:val="0"/>
        </w:rPr>
        <w:t xml:space="preserve">N</w:t>
      </w:r>
      <w:r w:rsidDel="00000000" w:rsidR="00000000" w:rsidRPr="00000000">
        <w:rPr>
          <w:rtl w:val="0"/>
        </w:rPr>
        <w:t xml:space="preserve"> = 104, non-medical </w:t>
      </w:r>
      <w:r w:rsidDel="00000000" w:rsidR="00000000" w:rsidRPr="00000000">
        <w:rPr>
          <w:i w:val="1"/>
          <w:iCs w:val="1"/>
          <w:rtl w:val="0"/>
        </w:rPr>
        <w:t xml:space="preserve">N</w:t>
      </w:r>
      <w:r w:rsidDel="00000000" w:rsidR="00000000" w:rsidRPr="00000000">
        <w:rPr>
          <w:rtl w:val="0"/>
        </w:rPr>
        <w:t xml:space="preserve"> = 17; Human-generated exam: medical </w:t>
      </w:r>
      <w:r w:rsidDel="00000000" w:rsidR="00000000" w:rsidRPr="00000000">
        <w:rPr>
          <w:i w:val="1"/>
          <w:iCs w:val="1"/>
          <w:rtl w:val="0"/>
        </w:rPr>
        <w:t xml:space="preserve">N</w:t>
      </w:r>
      <w:r w:rsidDel="00000000" w:rsidR="00000000" w:rsidRPr="00000000">
        <w:rPr>
          <w:rtl w:val="0"/>
        </w:rPr>
        <w:t xml:space="preserve"> = 113, non-medical </w:t>
      </w:r>
      <w:r w:rsidDel="00000000" w:rsidR="00000000" w:rsidRPr="00000000">
        <w:rPr>
          <w:i w:val="1"/>
          <w:iCs w:val="1"/>
          <w:rtl w:val="0"/>
        </w:rPr>
        <w:t xml:space="preserve">N</w:t>
      </w:r>
      <w:r w:rsidDel="00000000" w:rsidR="00000000" w:rsidRPr="00000000">
        <w:rPr>
          <w:rtl w:val="0"/>
        </w:rPr>
        <w:t xml:space="preserve"> = 10. Within both examination arms, the mean scores were statistically indistinguishable across academic backgrounds (Figure S6.1). In the AI-gen exam, students with the medical background scored 71.8% ± 7.3% (mean ± SD), compared with 70.9% ± 6.3% among those with a non-medical background (Wilcoxon rank-sum test: W = 1012, </w:t>
      </w:r>
      <w:r w:rsidDel="00000000" w:rsidR="00000000" w:rsidRPr="00000000">
        <w:rPr>
          <w:i w:val="1"/>
          <w:iCs w:val="1"/>
          <w:rtl w:val="0"/>
        </w:rPr>
        <w:t xml:space="preserve">p</w:t>
      </w:r>
      <w:r w:rsidDel="00000000" w:rsidR="00000000" w:rsidRPr="00000000">
        <w:rPr>
          <w:rtl w:val="0"/>
        </w:rPr>
        <w:t xml:space="preserve"> = 0.341;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0.14). In the Human-gen exam, medical-background students scored 74.7% ± 9.1% versus 72.8% ± 10.1% for students with non-medical-backgrounds (W = 609, </w:t>
      </w:r>
      <w:r w:rsidDel="00000000" w:rsidR="00000000" w:rsidRPr="00000000">
        <w:rPr>
          <w:i w:val="1"/>
          <w:iCs w:val="1"/>
          <w:rtl w:val="0"/>
        </w:rPr>
        <w:t xml:space="preserve">p</w:t>
      </w:r>
      <w:r w:rsidDel="00000000" w:rsidR="00000000" w:rsidRPr="00000000">
        <w:rPr>
          <w:rtl w:val="0"/>
        </w:rPr>
        <w:t xml:space="preserve"> = 0.687;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0.14). Levene’s tests did not show a meaningful heterogeneity of variance (AI-gen: </w:t>
      </w:r>
      <w:r w:rsidDel="00000000" w:rsidR="00000000" w:rsidRPr="00000000">
        <w:rPr>
          <w:i w:val="1"/>
          <w:iCs w:val="1"/>
          <w:rtl w:val="0"/>
        </w:rPr>
        <w:t xml:space="preserve">p</w:t>
      </w:r>
      <w:r w:rsidDel="00000000" w:rsidR="00000000" w:rsidRPr="00000000">
        <w:rPr>
          <w:rtl w:val="0"/>
        </w:rPr>
        <w:t xml:space="preserve"> = 0.731; Human-gen: </w:t>
      </w:r>
      <w:r w:rsidDel="00000000" w:rsidR="00000000" w:rsidRPr="00000000">
        <w:rPr>
          <w:i w:val="1"/>
          <w:iCs w:val="1"/>
          <w:rtl w:val="0"/>
        </w:rPr>
        <w:t xml:space="preserve">p </w:t>
      </w:r>
      <w:r w:rsidDel="00000000" w:rsidR="00000000" w:rsidRPr="00000000">
        <w:rPr>
          <w:rtl w:val="0"/>
        </w:rPr>
        <w:t xml:space="preserve">= 0.591). </w:t>
      </w:r>
    </w:p>
    <w:p w:rsidR="00000000" w:rsidDel="00000000" w:rsidP="00000000" w:rsidRDefault="00000000" w:rsidRPr="00000000" w14:paraId="000000D8">
      <w:pPr>
        <w:pStyle w:val="Heading4"/>
        <w:rPr/>
      </w:pPr>
      <w:bookmarkStart w:colFirst="0" w:colLast="0" w:name="_heading=h.gzzk6six87is" w:id="40"/>
      <w:bookmarkEnd w:id="40"/>
      <w:r w:rsidDel="00000000" w:rsidR="00000000" w:rsidRPr="00000000">
        <w:rPr>
          <w:rtl w:val="0"/>
        </w:rPr>
        <w:t xml:space="preserve">2.3.3  Subgroup Analysis: Performance by Curricular Theme </w:t>
      </w:r>
    </w:p>
    <w:p w:rsidR="00000000" w:rsidDel="00000000" w:rsidP="00000000" w:rsidRDefault="00000000" w:rsidRPr="00000000" w14:paraId="000000D9">
      <w:pPr>
        <w:spacing w:after="240" w:before="240" w:lineRule="auto"/>
        <w:rPr/>
      </w:pPr>
      <w:r w:rsidDel="00000000" w:rsidR="00000000" w:rsidRPr="00000000">
        <w:rPr>
          <w:rtl w:val="0"/>
        </w:rPr>
        <w:t xml:space="preserve">Per-protocol analyses were conducted as a sensitivity analysis including participants who met all pre-specified engagement criteria (Figure S7.1). Theme-level patterns observed in the PP population were consistent with the primary ITT analysis. Specifically, the same curricular themes favored Human-gen items (Heart Murmur, Upper Gastrointestinal Tract, Pregnancy, and Diabetes), while Nutrient Absorption favored AI-gen items, and no meaningful differences were observed for Hypertension, Infertility, or Lower Gastrointestinal Tract (Table S4).</w:t>
      </w:r>
    </w:p>
    <w:p w:rsidR="00000000" w:rsidDel="00000000" w:rsidP="00000000" w:rsidRDefault="00000000" w:rsidRPr="00000000" w14:paraId="000000DA">
      <w:pPr>
        <w:spacing w:after="240" w:before="240" w:lineRule="auto"/>
        <w:rPr/>
      </w:pPr>
      <w:sdt>
        <w:sdtPr>
          <w:id w:val="-2101223835"/>
          <w:tag w:val="goog_rdk_0"/>
        </w:sdtPr>
        <w:sdtContent>
          <w:r w:rsidDel="00000000" w:rsidR="00000000" w:rsidRPr="00000000">
            <w:rPr>
              <w:rFonts w:ascii="Gungsuh" w:cs="Gungsuh" w:eastAsia="Gungsuh" w:hAnsi="Gungsuh"/>
              <w:rtl w:val="0"/>
            </w:rPr>
            <w:t xml:space="preserve">As in the ITT analysis, effect sizes (|d| ≈ 0.09–0.33) remained small across themes, indicating minimal practical differences in performance between examination formats. The consistency in direction and magnitude of effects across analytic populations supports the robustness of the primary ITT findings.</w:t>
          </w:r>
        </w:sdtContent>
      </w:sdt>
    </w:p>
    <w:p w:rsidR="00000000" w:rsidDel="00000000" w:rsidP="00000000" w:rsidRDefault="00000000" w:rsidRPr="00000000" w14:paraId="000000DB">
      <w:pPr>
        <w:pStyle w:val="Heading4"/>
        <w:rPr/>
      </w:pPr>
      <w:bookmarkStart w:colFirst="0" w:colLast="0" w:name="_heading=h.nv1uuipw4ei0" w:id="41"/>
      <w:bookmarkEnd w:id="41"/>
      <w:r w:rsidDel="00000000" w:rsidR="00000000" w:rsidRPr="00000000">
        <w:rPr>
          <w:rtl w:val="0"/>
        </w:rPr>
        <w:t xml:space="preserve">2.3.4  Subgroup Analysis: Performance by Gender</w:t>
      </w:r>
    </w:p>
    <w:p w:rsidR="00000000" w:rsidDel="00000000" w:rsidP="00000000" w:rsidRDefault="00000000" w:rsidRPr="00000000" w14:paraId="000000DC">
      <w:pPr>
        <w:spacing w:after="240" w:before="240" w:lineRule="auto"/>
        <w:rPr/>
      </w:pPr>
      <w:r w:rsidDel="00000000" w:rsidR="00000000" w:rsidRPr="00000000">
        <w:rPr>
          <w:rtl w:val="0"/>
        </w:rPr>
        <w:t xml:space="preserve">In the PP population, 237 participants were included in the gender subgroup analysis. Eleven participants were excluded due to missing gender data or self-identification outside the male/female categories, given insufficient sample size for separate subgroup evaluation. Subgroup sizes were: AI-generated exam: male </w:t>
      </w:r>
      <w:r w:rsidDel="00000000" w:rsidR="00000000" w:rsidRPr="00000000">
        <w:rPr>
          <w:i w:val="1"/>
          <w:iCs w:val="1"/>
          <w:rtl w:val="0"/>
        </w:rPr>
        <w:t xml:space="preserve">N</w:t>
      </w:r>
      <w:r w:rsidDel="00000000" w:rsidR="00000000" w:rsidRPr="00000000">
        <w:rPr>
          <w:rtl w:val="0"/>
        </w:rPr>
        <w:t xml:space="preserve"> = 45 and female </w:t>
      </w:r>
      <w:r w:rsidDel="00000000" w:rsidR="00000000" w:rsidRPr="00000000">
        <w:rPr>
          <w:i w:val="1"/>
          <w:iCs w:val="1"/>
          <w:rtl w:val="0"/>
        </w:rPr>
        <w:t xml:space="preserve">N</w:t>
      </w:r>
      <w:r w:rsidDel="00000000" w:rsidR="00000000" w:rsidRPr="00000000">
        <w:rPr>
          <w:rtl w:val="0"/>
        </w:rPr>
        <w:t xml:space="preserve"> = 72; Human-generated exam: male </w:t>
      </w:r>
      <w:r w:rsidDel="00000000" w:rsidR="00000000" w:rsidRPr="00000000">
        <w:rPr>
          <w:i w:val="1"/>
          <w:iCs w:val="1"/>
          <w:rtl w:val="0"/>
        </w:rPr>
        <w:t xml:space="preserve">N</w:t>
      </w:r>
      <w:r w:rsidDel="00000000" w:rsidR="00000000" w:rsidRPr="00000000">
        <w:rPr>
          <w:rtl w:val="0"/>
        </w:rPr>
        <w:t xml:space="preserve"> = 56 and female </w:t>
      </w:r>
      <w:r w:rsidDel="00000000" w:rsidR="00000000" w:rsidRPr="00000000">
        <w:rPr>
          <w:i w:val="1"/>
          <w:iCs w:val="1"/>
          <w:rtl w:val="0"/>
        </w:rPr>
        <w:t xml:space="preserve">N</w:t>
      </w:r>
      <w:r w:rsidDel="00000000" w:rsidR="00000000" w:rsidRPr="00000000">
        <w:rPr>
          <w:rtl w:val="0"/>
        </w:rPr>
        <w:t xml:space="preserve"> = 64. Within the AI-gen exam, male students achieved higher mean scores than female students (73.5% ± 6.2 versus 70.7% ± 7.3; W = 2005.5, </w:t>
      </w:r>
      <w:r w:rsidDel="00000000" w:rsidR="00000000" w:rsidRPr="00000000">
        <w:rPr>
          <w:i w:val="1"/>
          <w:iCs w:val="1"/>
          <w:rtl w:val="0"/>
        </w:rPr>
        <w:t xml:space="preserve">p</w:t>
      </w:r>
      <w:r w:rsidDel="00000000" w:rsidR="00000000" w:rsidRPr="00000000">
        <w:rPr>
          <w:rtl w:val="0"/>
        </w:rPr>
        <w:t xml:space="preserve"> = 0.0308;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0.24), corresponding to a small-to-moderate effect size (Figure S8.1). In contrast, there was no statistically significant gender difference observed within the Human-gen exam (male: 74.5% ± 10.8; female: 74.3% ± 7.6; W = 1946, </w:t>
      </w:r>
      <w:r w:rsidDel="00000000" w:rsidR="00000000" w:rsidRPr="00000000">
        <w:rPr>
          <w:i w:val="1"/>
          <w:iCs w:val="1"/>
          <w:rtl w:val="0"/>
        </w:rPr>
        <w:t xml:space="preserve">p</w:t>
      </w:r>
      <w:r w:rsidDel="00000000" w:rsidR="00000000" w:rsidRPr="00000000">
        <w:rPr>
          <w:rtl w:val="0"/>
        </w:rPr>
        <w:t xml:space="preserve"> = 0.419;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0.09).</w:t>
      </w:r>
    </w:p>
    <w:p w:rsidR="00000000" w:rsidDel="00000000" w:rsidP="00000000" w:rsidRDefault="00000000" w:rsidRPr="00000000" w14:paraId="000000DD">
      <w:pPr>
        <w:pStyle w:val="Heading3"/>
        <w:rPr/>
      </w:pPr>
      <w:bookmarkStart w:colFirst="0" w:colLast="0" w:name="_heading=h.45v10om5jd1h" w:id="42"/>
      <w:bookmarkEnd w:id="42"/>
      <w:r w:rsidDel="00000000" w:rsidR="00000000" w:rsidRPr="00000000">
        <w:rPr>
          <w:rtl w:val="0"/>
        </w:rPr>
        <w:t xml:space="preserve">2.4 Educational impact</w:t>
      </w:r>
    </w:p>
    <w:p w:rsidR="00000000" w:rsidDel="00000000" w:rsidP="00000000" w:rsidRDefault="00000000" w:rsidRPr="00000000" w14:paraId="000000DE">
      <w:pPr>
        <w:spacing w:after="240" w:before="240" w:lineRule="auto"/>
        <w:rPr/>
      </w:pPr>
      <w:r w:rsidDel="00000000" w:rsidR="00000000" w:rsidRPr="00000000">
        <w:rPr>
          <w:rtl w:val="0"/>
        </w:rPr>
        <w:t xml:space="preserve">In the PP population (</w:t>
      </w:r>
      <w:r w:rsidDel="00000000" w:rsidR="00000000" w:rsidRPr="00000000">
        <w:rPr>
          <w:i w:val="1"/>
          <w:iCs w:val="1"/>
          <w:rtl w:val="0"/>
        </w:rPr>
        <w:t xml:space="preserve">N</w:t>
      </w:r>
      <w:r w:rsidDel="00000000" w:rsidR="00000000" w:rsidRPr="00000000">
        <w:rPr>
          <w:rtl w:val="0"/>
        </w:rPr>
        <w:t xml:space="preserve"> = 248), findings were consistent with the primary ITT analysis. A mixed-effects repeated-measures model (random intercept for participant)  demonstrated no statistically significant main effects of time (pre- versus post; F(1,247) = 3.24, </w:t>
      </w:r>
      <w:r w:rsidDel="00000000" w:rsidR="00000000" w:rsidRPr="00000000">
        <w:rPr>
          <w:i w:val="1"/>
          <w:iCs w:val="1"/>
          <w:rtl w:val="0"/>
        </w:rPr>
        <w:t xml:space="preserve">p</w:t>
      </w:r>
      <w:r w:rsidDel="00000000" w:rsidR="00000000" w:rsidRPr="00000000">
        <w:rPr>
          <w:rtl w:val="0"/>
        </w:rPr>
        <w:t xml:space="preserve"> = 0.073, η²p = 0.01), group assignment (AI-gen versus Human-gen; F(1,247) = 2.53, </w:t>
      </w:r>
      <w:r w:rsidDel="00000000" w:rsidR="00000000" w:rsidRPr="00000000">
        <w:rPr>
          <w:i w:val="1"/>
          <w:iCs w:val="1"/>
          <w:rtl w:val="0"/>
        </w:rPr>
        <w:t xml:space="preserve">p</w:t>
      </w:r>
      <w:r w:rsidDel="00000000" w:rsidR="00000000" w:rsidRPr="00000000">
        <w:rPr>
          <w:rtl w:val="0"/>
        </w:rPr>
        <w:t xml:space="preserve"> = 0.113, η²p = 0.01), or time × group interaction (F(1,247) = 1.06, p = 0.303, η²p = 0.004). Within-group comparisons showed small increases in preparedness in both groups (AI-gen: mean difference = 0.074, SE = 0.142, </w:t>
      </w:r>
      <w:r w:rsidDel="00000000" w:rsidR="00000000" w:rsidRPr="00000000">
        <w:rPr>
          <w:i w:val="1"/>
          <w:iCs w:val="1"/>
          <w:rtl w:val="0"/>
        </w:rPr>
        <w:t xml:space="preserve">p</w:t>
      </w:r>
      <w:r w:rsidDel="00000000" w:rsidR="00000000" w:rsidRPr="00000000">
        <w:rPr>
          <w:rtl w:val="0"/>
        </w:rPr>
        <w:t xml:space="preserve"> = 0.604; Human-gen: mean difference = 0.272, SE = 0.131, </w:t>
      </w:r>
      <w:r w:rsidDel="00000000" w:rsidR="00000000" w:rsidRPr="00000000">
        <w:rPr>
          <w:i w:val="1"/>
          <w:iCs w:val="1"/>
          <w:rtl w:val="0"/>
        </w:rPr>
        <w:t xml:space="preserve">p</w:t>
      </w:r>
      <w:r w:rsidDel="00000000" w:rsidR="00000000" w:rsidRPr="00000000">
        <w:rPr>
          <w:rtl w:val="0"/>
        </w:rPr>
        <w:t xml:space="preserve"> = 0.040). Although the change in the Human-gen group reached statistical significance, the magnitude of improvement remained below the pre-specified effect size of 0.5, indicating limited practical significance.</w:t>
      </w:r>
    </w:p>
    <w:p w:rsidR="00000000" w:rsidDel="00000000" w:rsidP="00000000" w:rsidRDefault="00000000" w:rsidRPr="00000000" w14:paraId="000000DF">
      <w:pPr>
        <w:pStyle w:val="Heading2"/>
        <w:rPr/>
      </w:pPr>
      <w:bookmarkStart w:colFirst="0" w:colLast="0" w:name="_heading=h.qrbo0rrqnwip" w:id="43"/>
      <w:bookmarkEnd w:id="43"/>
      <w:r w:rsidDel="00000000" w:rsidR="00000000" w:rsidRPr="00000000">
        <w:br w:type="page"/>
      </w:r>
      <w:r w:rsidDel="00000000" w:rsidR="00000000" w:rsidRPr="00000000">
        <w:rPr>
          <w:rtl w:val="0"/>
        </w:rPr>
      </w:r>
    </w:p>
    <w:p w:rsidR="00000000" w:rsidDel="00000000" w:rsidP="00000000" w:rsidRDefault="00000000" w:rsidRPr="00000000" w14:paraId="000000E0">
      <w:pPr>
        <w:pStyle w:val="Heading2"/>
        <w:rPr/>
      </w:pPr>
      <w:bookmarkStart w:colFirst="0" w:colLast="0" w:name="_heading=h.mp813oxp6dmo" w:id="44"/>
      <w:bookmarkEnd w:id="44"/>
      <w:r w:rsidDel="00000000" w:rsidR="00000000" w:rsidRPr="00000000">
        <w:rPr>
          <w:rtl w:val="0"/>
        </w:rPr>
        <w:t xml:space="preserve">3. Supplementary Intention-to-treat (ITT)  Results</w:t>
      </w:r>
    </w:p>
    <w:p w:rsidR="00000000" w:rsidDel="00000000" w:rsidP="00000000" w:rsidRDefault="00000000" w:rsidRPr="00000000" w14:paraId="000000E1">
      <w:pPr>
        <w:pStyle w:val="Heading3"/>
        <w:rPr/>
      </w:pPr>
      <w:bookmarkStart w:colFirst="0" w:colLast="0" w:name="_heading=h.gm7l7owxrfs7" w:id="45"/>
      <w:bookmarkEnd w:id="45"/>
      <w:r w:rsidDel="00000000" w:rsidR="00000000" w:rsidRPr="00000000">
        <w:rPr>
          <w:rtl w:val="0"/>
        </w:rPr>
        <w:t xml:space="preserve">3.1 Subgroup Analysis: Performance by Undergraduate Academic Background </w:t>
      </w:r>
    </w:p>
    <w:p w:rsidR="00000000" w:rsidDel="00000000" w:rsidP="00000000" w:rsidRDefault="00000000" w:rsidRPr="00000000" w14:paraId="000000E2">
      <w:pPr>
        <w:spacing w:after="240" w:before="240" w:lineRule="auto"/>
        <w:rPr/>
      </w:pPr>
      <w:r w:rsidDel="00000000" w:rsidR="00000000" w:rsidRPr="00000000">
        <w:rPr>
          <w:rtl w:val="0"/>
        </w:rPr>
        <w:t xml:space="preserve">In the ITT population, 250 participants were available for subgroup analysis. Eight participants were excluded because their undergraduate academic background was reported as “Other” and could not be classified as either medical or non-medical. Subgroup sizes were as follows: AI-gen exam: medical background </w:t>
      </w:r>
      <w:r w:rsidDel="00000000" w:rsidR="00000000" w:rsidRPr="00000000">
        <w:rPr>
          <w:i w:val="1"/>
          <w:iCs w:val="1"/>
          <w:rtl w:val="0"/>
        </w:rPr>
        <w:t xml:space="preserve">N</w:t>
      </w:r>
      <w:r w:rsidDel="00000000" w:rsidR="00000000" w:rsidRPr="00000000">
        <w:rPr>
          <w:rtl w:val="0"/>
        </w:rPr>
        <w:t xml:space="preserve"> = 105, non-medical background </w:t>
      </w:r>
      <w:r w:rsidDel="00000000" w:rsidR="00000000" w:rsidRPr="00000000">
        <w:rPr>
          <w:i w:val="1"/>
          <w:iCs w:val="1"/>
          <w:rtl w:val="0"/>
        </w:rPr>
        <w:t xml:space="preserve">N</w:t>
      </w:r>
      <w:r w:rsidDel="00000000" w:rsidR="00000000" w:rsidRPr="00000000">
        <w:rPr>
          <w:rtl w:val="0"/>
        </w:rPr>
        <w:t xml:space="preserve"> = 17; Human-gen exam: medical background </w:t>
      </w:r>
      <w:r w:rsidDel="00000000" w:rsidR="00000000" w:rsidRPr="00000000">
        <w:rPr>
          <w:i w:val="1"/>
          <w:iCs w:val="1"/>
          <w:rtl w:val="0"/>
        </w:rPr>
        <w:t xml:space="preserve">N</w:t>
      </w:r>
      <w:r w:rsidDel="00000000" w:rsidR="00000000" w:rsidRPr="00000000">
        <w:rPr>
          <w:rtl w:val="0"/>
        </w:rPr>
        <w:t xml:space="preserve"> = 117, non-medical </w:t>
      </w:r>
      <w:r w:rsidDel="00000000" w:rsidR="00000000" w:rsidRPr="00000000">
        <w:rPr>
          <w:i w:val="1"/>
          <w:iCs w:val="1"/>
          <w:rtl w:val="0"/>
        </w:rPr>
        <w:t xml:space="preserve">N</w:t>
      </w:r>
      <w:r w:rsidDel="00000000" w:rsidR="00000000" w:rsidRPr="00000000">
        <w:rPr>
          <w:rtl w:val="0"/>
        </w:rPr>
        <w:t xml:space="preserve"> = 11. In the AI-gen exam, students with a medical background scored 71.5% ± 8.1% (mean ± SD), compared with 70.9% ± 6.3% among those with a non-medical background (Wilcoxon rank-sum test: W = 1012, </w:t>
      </w:r>
      <w:r w:rsidDel="00000000" w:rsidR="00000000" w:rsidRPr="00000000">
        <w:rPr>
          <w:i w:val="1"/>
          <w:iCs w:val="1"/>
          <w:rtl w:val="0"/>
        </w:rPr>
        <w:t xml:space="preserve">p</w:t>
      </w:r>
      <w:r w:rsidDel="00000000" w:rsidR="00000000" w:rsidRPr="00000000">
        <w:rPr>
          <w:rtl w:val="0"/>
        </w:rPr>
        <w:t xml:space="preserve"> = 0.378,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0.13; Figure S6.2). In the Human-gen exam, students with medical backgrounds scored 73.3% ± 12.6% versus 72.8% ± 9.6% for students with non-medical-backgrounds (W = 685, </w:t>
      </w:r>
      <w:r w:rsidDel="00000000" w:rsidR="00000000" w:rsidRPr="00000000">
        <w:rPr>
          <w:i w:val="1"/>
          <w:iCs w:val="1"/>
          <w:rtl w:val="0"/>
        </w:rPr>
        <w:t xml:space="preserve">p</w:t>
      </w:r>
      <w:r w:rsidDel="00000000" w:rsidR="00000000" w:rsidRPr="00000000">
        <w:rPr>
          <w:rtl w:val="0"/>
        </w:rPr>
        <w:t xml:space="preserve"> =  0.730;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0.06). Levene’s tests did not show a meaningful within-group heterogeneity of variance (AI-gen: </w:t>
      </w:r>
      <w:r w:rsidDel="00000000" w:rsidR="00000000" w:rsidRPr="00000000">
        <w:rPr>
          <w:i w:val="1"/>
          <w:iCs w:val="1"/>
          <w:rtl w:val="0"/>
        </w:rPr>
        <w:t xml:space="preserve">p</w:t>
      </w:r>
      <w:r w:rsidDel="00000000" w:rsidR="00000000" w:rsidRPr="00000000">
        <w:rPr>
          <w:rtl w:val="0"/>
        </w:rPr>
        <w:t xml:space="preserve"> = 0.615; Human-gen: </w:t>
      </w:r>
      <w:r w:rsidDel="00000000" w:rsidR="00000000" w:rsidRPr="00000000">
        <w:rPr>
          <w:i w:val="1"/>
          <w:iCs w:val="1"/>
          <w:rtl w:val="0"/>
        </w:rPr>
        <w:t xml:space="preserve">p </w:t>
      </w:r>
      <w:r w:rsidDel="00000000" w:rsidR="00000000" w:rsidRPr="00000000">
        <w:rPr>
          <w:rtl w:val="0"/>
        </w:rPr>
        <w:t xml:space="preserve">= 0.797).</w:t>
      </w:r>
    </w:p>
    <w:p w:rsidR="00000000" w:rsidDel="00000000" w:rsidP="00000000" w:rsidRDefault="00000000" w:rsidRPr="00000000" w14:paraId="000000E3">
      <w:pPr>
        <w:pStyle w:val="Heading3"/>
        <w:rPr/>
      </w:pPr>
      <w:bookmarkStart w:colFirst="0" w:colLast="0" w:name="_heading=h.2x1mre6luzkc" w:id="46"/>
      <w:bookmarkEnd w:id="46"/>
      <w:r w:rsidDel="00000000" w:rsidR="00000000" w:rsidRPr="00000000">
        <w:rPr>
          <w:rtl w:val="0"/>
        </w:rPr>
        <w:t xml:space="preserve">3.2 Subgroup Analysis: Performance by Curricular Theme </w:t>
      </w:r>
    </w:p>
    <w:p w:rsidR="00000000" w:rsidDel="00000000" w:rsidP="00000000" w:rsidRDefault="00000000" w:rsidRPr="00000000" w14:paraId="000000E4">
      <w:pPr>
        <w:spacing w:after="200" w:lineRule="auto"/>
        <w:rPr/>
      </w:pPr>
      <w:sdt>
        <w:sdtPr>
          <w:id w:val="-707936803"/>
          <w:tag w:val="goog_rdk_1"/>
        </w:sdtPr>
        <w:sdtContent>
          <w:r w:rsidDel="00000000" w:rsidR="00000000" w:rsidRPr="00000000">
            <w:rPr>
              <w:rFonts w:ascii="Gungsuh" w:cs="Gungsuh" w:eastAsia="Gungsuh" w:hAnsi="Gungsuh"/>
              <w:rtl w:val="0"/>
            </w:rPr>
            <w:t xml:space="preserve">Each of the AI-gen and Human-gen examinations included 14 questions distributed across eight predefined curricular themes (Figure S7.2). Theme-level performance was evaluated by comparing mean scores between examination formats within each theme using independent-samples t-tests. Raw p-values and standardized mean differences (Cohen’s d; AI − Human) are presented descriptively. Results for the ITT population are summarized in Table S4. In the ITT analysis, four curricular themes which are Heart Murmur, Upper Gastrointestinal Tract, Pregnancy, and Diabetes demonstrated higher mean performance on Human-gen items compared with AI-gen items. In contrast, Nutrient Absorption showed higher performance on AI-generated items. No statistically meaningful differences were observed between examination formats for Hypertension, Infertility, or Lower Gastrointestinal Tract.</w:t>
          </w:r>
        </w:sdtContent>
      </w:sdt>
    </w:p>
    <w:p w:rsidR="00000000" w:rsidDel="00000000" w:rsidP="00000000" w:rsidRDefault="00000000" w:rsidRPr="00000000" w14:paraId="000000E5">
      <w:pPr>
        <w:rPr/>
      </w:pPr>
      <w:sdt>
        <w:sdtPr>
          <w:id w:val="-1271819908"/>
          <w:tag w:val="goog_rdk_2"/>
        </w:sdtPr>
        <w:sdtContent>
          <w:r w:rsidDel="00000000" w:rsidR="00000000" w:rsidRPr="00000000">
            <w:rPr>
              <w:rFonts w:ascii="Gungsuh" w:cs="Gungsuh" w:eastAsia="Gungsuh" w:hAnsi="Gungsuh"/>
              <w:rtl w:val="0"/>
            </w:rPr>
            <w:t xml:space="preserve">Although several theme-level comparisons reached statistical significance, standardized effect sizes were small across themes (|d| ≈ 0.09–0.33), indicating limited practical differences in student performance between examination formats at the curricular theme level.</w:t>
          </w:r>
        </w:sdtContent>
      </w:sdt>
    </w:p>
    <w:p w:rsidR="00000000" w:rsidDel="00000000" w:rsidP="00000000" w:rsidRDefault="00000000" w:rsidRPr="00000000" w14:paraId="000000E6">
      <w:pPr>
        <w:pStyle w:val="Heading3"/>
        <w:rPr/>
      </w:pPr>
      <w:bookmarkStart w:colFirst="0" w:colLast="0" w:name="_heading=h.1ppl5r7e83f0" w:id="47"/>
      <w:bookmarkEnd w:id="47"/>
      <w:r w:rsidDel="00000000" w:rsidR="00000000" w:rsidRPr="00000000">
        <w:rPr>
          <w:rtl w:val="0"/>
        </w:rPr>
        <w:t xml:space="preserve">3.3 Subgroup Analysis: Performance by Gender</w:t>
      </w:r>
    </w:p>
    <w:p w:rsidR="00000000" w:rsidDel="00000000" w:rsidP="00000000" w:rsidRDefault="00000000" w:rsidRPr="00000000" w14:paraId="000000E7">
      <w:pPr>
        <w:spacing w:after="240" w:before="240" w:lineRule="auto"/>
        <w:rPr/>
      </w:pPr>
      <w:r w:rsidDel="00000000" w:rsidR="00000000" w:rsidRPr="00000000">
        <w:rPr>
          <w:rtl w:val="0"/>
        </w:rPr>
        <w:t xml:space="preserve">We examined whether examination performance differed by gender within the AI-gen and Human-gen mock exams. Analyses were restricted to students who self-identified as male or female; participants reporting other gender identities or missing gender data were excluded due to small subgroup sizes.</w:t>
      </w:r>
    </w:p>
    <w:p w:rsidR="00000000" w:rsidDel="00000000" w:rsidP="00000000" w:rsidRDefault="00000000" w:rsidRPr="00000000" w14:paraId="000000E8">
      <w:pPr>
        <w:spacing w:after="240" w:before="240" w:lineRule="auto"/>
        <w:rPr/>
      </w:pPr>
      <w:r w:rsidDel="00000000" w:rsidR="00000000" w:rsidRPr="00000000">
        <w:rPr>
          <w:rtl w:val="0"/>
        </w:rPr>
        <w:t xml:space="preserve">In the ITT population, 243 participants were included in the gender subgroup analysis. Fifteen participants were excluded due to missing gender data or self-identification outside the male/female categories, given insufficient sample size for separate subgroup evaluation. Subgroup sizes were: AI-gen exam: male </w:t>
      </w:r>
      <w:r w:rsidDel="00000000" w:rsidR="00000000" w:rsidRPr="00000000">
        <w:rPr>
          <w:i w:val="1"/>
          <w:iCs w:val="1"/>
          <w:rtl w:val="0"/>
        </w:rPr>
        <w:t xml:space="preserve">N</w:t>
      </w:r>
      <w:r w:rsidDel="00000000" w:rsidR="00000000" w:rsidRPr="00000000">
        <w:rPr>
          <w:rtl w:val="0"/>
        </w:rPr>
        <w:t xml:space="preserve"> = 45 and female </w:t>
      </w:r>
      <w:r w:rsidDel="00000000" w:rsidR="00000000" w:rsidRPr="00000000">
        <w:rPr>
          <w:i w:val="1"/>
          <w:iCs w:val="1"/>
          <w:rtl w:val="0"/>
        </w:rPr>
        <w:t xml:space="preserve">N</w:t>
      </w:r>
      <w:r w:rsidDel="00000000" w:rsidR="00000000" w:rsidRPr="00000000">
        <w:rPr>
          <w:rtl w:val="0"/>
        </w:rPr>
        <w:t xml:space="preserve"> = 74; Human-gen exam: male </w:t>
      </w:r>
      <w:r w:rsidDel="00000000" w:rsidR="00000000" w:rsidRPr="00000000">
        <w:rPr>
          <w:i w:val="1"/>
          <w:iCs w:val="1"/>
          <w:rtl w:val="0"/>
        </w:rPr>
        <w:t xml:space="preserve">N</w:t>
      </w:r>
      <w:r w:rsidDel="00000000" w:rsidR="00000000" w:rsidRPr="00000000">
        <w:rPr>
          <w:rtl w:val="0"/>
        </w:rPr>
        <w:t xml:space="preserve"> = 59 and female </w:t>
      </w:r>
      <w:r w:rsidDel="00000000" w:rsidR="00000000" w:rsidRPr="00000000">
        <w:rPr>
          <w:i w:val="1"/>
          <w:iCs w:val="1"/>
          <w:rtl w:val="0"/>
        </w:rPr>
        <w:t xml:space="preserve">N</w:t>
      </w:r>
      <w:r w:rsidDel="00000000" w:rsidR="00000000" w:rsidRPr="00000000">
        <w:rPr>
          <w:rtl w:val="0"/>
        </w:rPr>
        <w:t xml:space="preserve"> = 65. Within the AI-gen exam, male students achieved significantly higher mean scores than female students (73.5% ± 6.2 vs. 69.5% ± 10.1; W = 2095.5, </w:t>
      </w:r>
      <w:r w:rsidDel="00000000" w:rsidR="00000000" w:rsidRPr="00000000">
        <w:rPr>
          <w:i w:val="1"/>
          <w:iCs w:val="1"/>
          <w:rtl w:val="0"/>
        </w:rPr>
        <w:t xml:space="preserve">p</w:t>
      </w:r>
      <w:r w:rsidDel="00000000" w:rsidR="00000000" w:rsidRPr="00000000">
        <w:rPr>
          <w:rtl w:val="0"/>
        </w:rPr>
        <w:t xml:space="preserve"> = 0.0183;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0.26), corresponding to a small-to-moderate effect size (Figure S8.2). In contrast, there was no statistically significant gender difference observed within the Human-gen exam (male: 72.8% ± 14.6; female: 73.4% ± 10.4; W = 2057.5, </w:t>
      </w:r>
      <w:r w:rsidDel="00000000" w:rsidR="00000000" w:rsidRPr="00000000">
        <w:rPr>
          <w:i w:val="1"/>
          <w:iCs w:val="1"/>
          <w:rtl w:val="0"/>
        </w:rPr>
        <w:t xml:space="preserve">p</w:t>
      </w:r>
      <w:r w:rsidDel="00000000" w:rsidR="00000000" w:rsidRPr="00000000">
        <w:rPr>
          <w:rtl w:val="0"/>
        </w:rPr>
        <w:t xml:space="preserve"> = 0.485;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0.07).</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pStyle w:val="Heading2"/>
        <w:rPr>
          <w:b w:val="0"/>
          <w:bCs w:val="0"/>
        </w:rPr>
      </w:pPr>
      <w:bookmarkStart w:colFirst="0" w:colLast="0" w:name="_heading=h.cq74c8b66adw" w:id="48"/>
      <w:bookmarkEnd w:id="48"/>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2"/>
        <w:rPr/>
      </w:pPr>
      <w:bookmarkStart w:colFirst="0" w:colLast="0" w:name="_heading=h.jy15nntjt7cu" w:id="49"/>
      <w:bookmarkEnd w:id="49"/>
      <w:r w:rsidDel="00000000" w:rsidR="00000000" w:rsidRPr="00000000">
        <w:rPr>
          <w:rtl w:val="0"/>
        </w:rPr>
        <w:t xml:space="preserve">4. Supplementary Tables</w:t>
      </w:r>
    </w:p>
    <w:p w:rsidR="00000000" w:rsidDel="00000000" w:rsidP="00000000" w:rsidRDefault="00000000" w:rsidRPr="00000000" w14:paraId="000000EE">
      <w:pPr>
        <w:pStyle w:val="Heading3"/>
        <w:rPr/>
      </w:pPr>
      <w:bookmarkStart w:colFirst="0" w:colLast="0" w:name="_heading=h.pyqtogexdmd" w:id="50"/>
      <w:bookmarkEnd w:id="50"/>
      <w:r w:rsidDel="00000000" w:rsidR="00000000" w:rsidRPr="00000000">
        <w:rPr>
          <w:rtl w:val="0"/>
        </w:rPr>
        <w:t xml:space="preserve">Table S1. Baseline Characteristics of the students in the PP population</w:t>
      </w:r>
    </w:p>
    <w:tbl>
      <w:tblPr>
        <w:tblStyle w:val="Table1"/>
        <w:tblW w:w="8880.0" w:type="dxa"/>
        <w:jc w:val="left"/>
        <w:tblLayout w:type="fixed"/>
        <w:tblLook w:val="0600"/>
      </w:tblPr>
      <w:tblGrid>
        <w:gridCol w:w="3720"/>
        <w:gridCol w:w="2130"/>
        <w:gridCol w:w="2130"/>
        <w:gridCol w:w="900"/>
        <w:tblGridChange w:id="0">
          <w:tblGrid>
            <w:gridCol w:w="3720"/>
            <w:gridCol w:w="2130"/>
            <w:gridCol w:w="2130"/>
            <w:gridCol w:w="900"/>
          </w:tblGrid>
        </w:tblGridChange>
      </w:tblGrid>
      <w:tr>
        <w:trPr>
          <w:cantSplit w:val="0"/>
          <w:trHeight w:val="72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EF">
            <w:pPr>
              <w:spacing w:line="240" w:lineRule="auto"/>
              <w:jc w:val="left"/>
              <w:rPr>
                <w:sz w:val="22"/>
                <w:szCs w:val="22"/>
              </w:rPr>
            </w:pPr>
            <w:r w:rsidDel="00000000" w:rsidR="00000000" w:rsidRPr="00000000">
              <w:rPr>
                <w:sz w:val="22"/>
                <w:szCs w:val="22"/>
                <w:rtl w:val="0"/>
              </w:rPr>
              <w:t xml:space="preserve">Variable</w:t>
            </w:r>
          </w:p>
        </w:tc>
        <w:tc>
          <w:tcPr>
            <w:tcBorders>
              <w:top w:color="000000" w:space="0" w:sz="4" w:val="single"/>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F0">
            <w:pPr>
              <w:spacing w:line="240" w:lineRule="auto"/>
              <w:jc w:val="center"/>
              <w:rPr>
                <w:sz w:val="22"/>
                <w:szCs w:val="22"/>
              </w:rPr>
            </w:pPr>
            <w:r w:rsidDel="00000000" w:rsidR="00000000" w:rsidRPr="00000000">
              <w:rPr>
                <w:sz w:val="22"/>
                <w:szCs w:val="22"/>
                <w:rtl w:val="0"/>
              </w:rPr>
              <w:t xml:space="preserve">AI-gen exam</w:t>
            </w:r>
          </w:p>
          <w:p w:rsidR="00000000" w:rsidDel="00000000" w:rsidP="00000000" w:rsidRDefault="00000000" w:rsidRPr="00000000" w14:paraId="000000F1">
            <w:pPr>
              <w:spacing w:line="240" w:lineRule="auto"/>
              <w:jc w:val="center"/>
              <w:rPr>
                <w:sz w:val="22"/>
                <w:szCs w:val="22"/>
              </w:rPr>
            </w:pPr>
            <w:r w:rsidDel="00000000" w:rsidR="00000000" w:rsidRPr="00000000">
              <w:rPr>
                <w:sz w:val="22"/>
                <w:szCs w:val="22"/>
                <w:rtl w:val="0"/>
              </w:rPr>
              <w:t xml:space="preserve">(N= 123)</w:t>
            </w:r>
          </w:p>
        </w:tc>
        <w:tc>
          <w:tcPr>
            <w:tcBorders>
              <w:top w:color="000000" w:space="0" w:sz="4" w:val="single"/>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F2">
            <w:pPr>
              <w:spacing w:line="240" w:lineRule="auto"/>
              <w:jc w:val="center"/>
              <w:rPr>
                <w:sz w:val="22"/>
                <w:szCs w:val="22"/>
              </w:rPr>
            </w:pPr>
            <w:r w:rsidDel="00000000" w:rsidR="00000000" w:rsidRPr="00000000">
              <w:rPr>
                <w:sz w:val="22"/>
                <w:szCs w:val="22"/>
                <w:rtl w:val="0"/>
              </w:rPr>
              <w:t xml:space="preserve">Human-gen exam</w:t>
              <w:br w:type="textWrapping"/>
              <w:t xml:space="preserve"> (N=125)</w:t>
            </w:r>
          </w:p>
        </w:tc>
        <w:tc>
          <w:tcPr>
            <w:tcBorders>
              <w:top w:color="000000" w:space="0" w:sz="4" w:val="single"/>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F3">
            <w:pPr>
              <w:spacing w:line="240" w:lineRule="auto"/>
              <w:rPr>
                <w:sz w:val="22"/>
                <w:szCs w:val="22"/>
              </w:rPr>
            </w:pPr>
            <w:r w:rsidDel="00000000" w:rsidR="00000000" w:rsidRPr="00000000">
              <w:rPr>
                <w:sz w:val="22"/>
                <w:szCs w:val="22"/>
                <w:rtl w:val="0"/>
              </w:rPr>
              <w:t xml:space="preserve">p-Value</w:t>
            </w:r>
          </w:p>
        </w:tc>
      </w:tr>
      <w:tr>
        <w:trPr>
          <w:cantSplit w:val="0"/>
          <w:trHeight w:val="240" w:hRule="atLeast"/>
          <w:tblHeader w:val="0"/>
        </w:trPr>
        <w:tc>
          <w:tcPr>
            <w:tcBorders>
              <w:top w:color="000000" w:space="0" w:sz="4" w:val="single"/>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0F4">
            <w:pPr>
              <w:spacing w:after="240" w:line="240" w:lineRule="auto"/>
              <w:ind w:left="1060" w:hanging="700"/>
              <w:jc w:val="left"/>
              <w:rPr>
                <w:sz w:val="22"/>
                <w:szCs w:val="22"/>
              </w:rPr>
            </w:pPr>
            <w:r w:rsidDel="00000000" w:rsidR="00000000" w:rsidRPr="00000000">
              <w:rPr>
                <w:sz w:val="22"/>
                <w:szCs w:val="22"/>
                <w:rtl w:val="0"/>
              </w:rPr>
              <w:t xml:space="preserve">Age, Mean (SD)</w:t>
            </w:r>
          </w:p>
        </w:tc>
        <w:tc>
          <w:tcPr>
            <w:tcBorders>
              <w:top w:color="000000" w:space="0" w:sz="4" w:val="single"/>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0F5">
            <w:pPr>
              <w:spacing w:line="240" w:lineRule="auto"/>
              <w:jc w:val="center"/>
              <w:rPr>
                <w:sz w:val="22"/>
                <w:szCs w:val="22"/>
              </w:rPr>
            </w:pPr>
            <w:r w:rsidDel="00000000" w:rsidR="00000000" w:rsidRPr="00000000">
              <w:rPr>
                <w:sz w:val="22"/>
                <w:szCs w:val="22"/>
                <w:rtl w:val="0"/>
              </w:rPr>
              <w:t xml:space="preserve">24.6 (3.0)</w:t>
            </w:r>
          </w:p>
        </w:tc>
        <w:tc>
          <w:tcPr>
            <w:tcBorders>
              <w:top w:color="000000" w:space="0" w:sz="4" w:val="single"/>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0F6">
            <w:pPr>
              <w:spacing w:line="240" w:lineRule="auto"/>
              <w:jc w:val="center"/>
              <w:rPr>
                <w:sz w:val="22"/>
                <w:szCs w:val="22"/>
              </w:rPr>
            </w:pPr>
            <w:r w:rsidDel="00000000" w:rsidR="00000000" w:rsidRPr="00000000">
              <w:rPr>
                <w:sz w:val="22"/>
                <w:szCs w:val="22"/>
                <w:rtl w:val="0"/>
              </w:rPr>
              <w:t xml:space="preserve">25.0 (3.5)</w:t>
            </w:r>
          </w:p>
        </w:tc>
        <w:tc>
          <w:tcPr>
            <w:tcBorders>
              <w:top w:color="000000" w:space="0" w:sz="4" w:val="single"/>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0F7">
            <w:pPr>
              <w:spacing w:line="240" w:lineRule="auto"/>
              <w:jc w:val="center"/>
              <w:rPr>
                <w:sz w:val="22"/>
                <w:szCs w:val="22"/>
              </w:rPr>
            </w:pPr>
            <w:r w:rsidDel="00000000" w:rsidR="00000000" w:rsidRPr="00000000">
              <w:rPr>
                <w:sz w:val="22"/>
                <w:szCs w:val="22"/>
                <w:rtl w:val="0"/>
              </w:rPr>
              <w:t xml:space="preserve">0.31</w:t>
            </w:r>
          </w:p>
        </w:tc>
      </w:tr>
      <w:tr>
        <w:trPr>
          <w:cantSplit w:val="0"/>
          <w:trHeight w:val="225"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0F8">
            <w:pPr>
              <w:spacing w:line="240" w:lineRule="auto"/>
              <w:jc w:val="left"/>
              <w:rPr>
                <w:sz w:val="22"/>
                <w:szCs w:val="22"/>
              </w:rPr>
            </w:pPr>
            <w:r w:rsidDel="00000000" w:rsidR="00000000" w:rsidRPr="00000000">
              <w:rPr>
                <w:sz w:val="22"/>
                <w:szCs w:val="22"/>
                <w:rtl w:val="0"/>
              </w:rPr>
              <w:t xml:space="preserve">Students' academic level characteristics, Mean (SD)</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0FC">
            <w:pPr>
              <w:spacing w:line="240" w:lineRule="auto"/>
              <w:ind w:left="380" w:firstLine="0"/>
              <w:rPr>
                <w:sz w:val="22"/>
                <w:szCs w:val="22"/>
              </w:rPr>
            </w:pPr>
            <w:r w:rsidDel="00000000" w:rsidR="00000000" w:rsidRPr="00000000">
              <w:rPr>
                <w:sz w:val="22"/>
                <w:szCs w:val="22"/>
                <w:rtl w:val="0"/>
              </w:rPr>
              <w:t xml:space="preserve">GPA %</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0FD">
            <w:pPr>
              <w:spacing w:line="240" w:lineRule="auto"/>
              <w:jc w:val="center"/>
              <w:rPr>
                <w:sz w:val="22"/>
                <w:szCs w:val="22"/>
              </w:rPr>
            </w:pPr>
            <w:r w:rsidDel="00000000" w:rsidR="00000000" w:rsidRPr="00000000">
              <w:rPr>
                <w:sz w:val="22"/>
                <w:szCs w:val="22"/>
                <w:rtl w:val="0"/>
              </w:rPr>
              <w:t xml:space="preserve">92.3 (5.7)</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0FE">
            <w:pPr>
              <w:spacing w:line="240" w:lineRule="auto"/>
              <w:jc w:val="center"/>
              <w:rPr>
                <w:sz w:val="22"/>
                <w:szCs w:val="22"/>
              </w:rPr>
            </w:pPr>
            <w:r w:rsidDel="00000000" w:rsidR="00000000" w:rsidRPr="00000000">
              <w:rPr>
                <w:sz w:val="22"/>
                <w:szCs w:val="22"/>
                <w:rtl w:val="0"/>
              </w:rPr>
              <w:t xml:space="preserve">92.0 (5.2)</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0FF">
            <w:pPr>
              <w:spacing w:line="240" w:lineRule="auto"/>
              <w:jc w:val="center"/>
              <w:rPr>
                <w:sz w:val="22"/>
                <w:szCs w:val="22"/>
              </w:rPr>
            </w:pPr>
            <w:r w:rsidDel="00000000" w:rsidR="00000000" w:rsidRPr="00000000">
              <w:rPr>
                <w:sz w:val="22"/>
                <w:szCs w:val="22"/>
                <w:rtl w:val="0"/>
              </w:rPr>
              <w:t xml:space="preserve">0.62</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00">
            <w:pPr>
              <w:spacing w:line="240" w:lineRule="auto"/>
              <w:ind w:left="380" w:firstLine="0"/>
              <w:rPr>
                <w:sz w:val="22"/>
                <w:szCs w:val="22"/>
              </w:rPr>
            </w:pPr>
            <w:r w:rsidDel="00000000" w:rsidR="00000000" w:rsidRPr="00000000">
              <w:rPr>
                <w:sz w:val="22"/>
                <w:szCs w:val="22"/>
                <w:rtl w:val="0"/>
              </w:rPr>
              <w:t xml:space="preserve">Hours studying per week</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1">
            <w:pPr>
              <w:spacing w:line="240" w:lineRule="auto"/>
              <w:jc w:val="center"/>
              <w:rPr>
                <w:sz w:val="22"/>
                <w:szCs w:val="22"/>
              </w:rPr>
            </w:pPr>
            <w:r w:rsidDel="00000000" w:rsidR="00000000" w:rsidRPr="00000000">
              <w:rPr>
                <w:sz w:val="22"/>
                <w:szCs w:val="22"/>
                <w:rtl w:val="0"/>
              </w:rPr>
              <w:t xml:space="preserve">22.8 (17.0)</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2">
            <w:pPr>
              <w:spacing w:line="240" w:lineRule="auto"/>
              <w:jc w:val="center"/>
              <w:rPr>
                <w:sz w:val="22"/>
                <w:szCs w:val="22"/>
              </w:rPr>
            </w:pPr>
            <w:r w:rsidDel="00000000" w:rsidR="00000000" w:rsidRPr="00000000">
              <w:rPr>
                <w:sz w:val="22"/>
                <w:szCs w:val="22"/>
                <w:rtl w:val="0"/>
              </w:rPr>
              <w:t xml:space="preserve">23.7 (16.3)</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3">
            <w:pPr>
              <w:spacing w:line="240" w:lineRule="auto"/>
              <w:jc w:val="center"/>
              <w:rPr>
                <w:sz w:val="22"/>
                <w:szCs w:val="22"/>
              </w:rPr>
            </w:pPr>
            <w:r w:rsidDel="00000000" w:rsidR="00000000" w:rsidRPr="00000000">
              <w:rPr>
                <w:sz w:val="22"/>
                <w:szCs w:val="22"/>
                <w:rtl w:val="0"/>
              </w:rPr>
              <w:t xml:space="preserve">0.65</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04">
            <w:pPr>
              <w:spacing w:line="240" w:lineRule="auto"/>
              <w:ind w:left="380" w:firstLine="0"/>
              <w:rPr>
                <w:sz w:val="22"/>
                <w:szCs w:val="22"/>
              </w:rPr>
            </w:pPr>
            <w:r w:rsidDel="00000000" w:rsidR="00000000" w:rsidRPr="00000000">
              <w:rPr>
                <w:sz w:val="22"/>
                <w:szCs w:val="22"/>
                <w:rtl w:val="0"/>
              </w:rPr>
              <w:t xml:space="preserve">Knowledge confidence*</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5">
            <w:pPr>
              <w:spacing w:line="240" w:lineRule="auto"/>
              <w:jc w:val="center"/>
              <w:rPr>
                <w:sz w:val="22"/>
                <w:szCs w:val="22"/>
              </w:rPr>
            </w:pPr>
            <w:r w:rsidDel="00000000" w:rsidR="00000000" w:rsidRPr="00000000">
              <w:rPr>
                <w:sz w:val="22"/>
                <w:szCs w:val="22"/>
                <w:rtl w:val="0"/>
              </w:rPr>
              <w:t xml:space="preserve">5.9 (1.4)</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6">
            <w:pPr>
              <w:spacing w:line="240" w:lineRule="auto"/>
              <w:jc w:val="center"/>
              <w:rPr>
                <w:sz w:val="22"/>
                <w:szCs w:val="22"/>
              </w:rPr>
            </w:pPr>
            <w:r w:rsidDel="00000000" w:rsidR="00000000" w:rsidRPr="00000000">
              <w:rPr>
                <w:sz w:val="22"/>
                <w:szCs w:val="22"/>
                <w:rtl w:val="0"/>
              </w:rPr>
              <w:t xml:space="preserve">6.1 (1.6)</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7">
            <w:pPr>
              <w:spacing w:line="240" w:lineRule="auto"/>
              <w:jc w:val="center"/>
              <w:rPr>
                <w:sz w:val="22"/>
                <w:szCs w:val="22"/>
              </w:rPr>
            </w:pPr>
            <w:r w:rsidDel="00000000" w:rsidR="00000000" w:rsidRPr="00000000">
              <w:rPr>
                <w:sz w:val="22"/>
                <w:szCs w:val="22"/>
                <w:rtl w:val="0"/>
              </w:rPr>
              <w:t xml:space="preserve">0.18</w:t>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08">
            <w:pPr>
              <w:spacing w:line="240" w:lineRule="auto"/>
              <w:ind w:left="380" w:firstLine="0"/>
              <w:rPr>
                <w:sz w:val="22"/>
                <w:szCs w:val="22"/>
              </w:rPr>
            </w:pPr>
            <w:r w:rsidDel="00000000" w:rsidR="00000000" w:rsidRPr="00000000">
              <w:rPr>
                <w:sz w:val="22"/>
                <w:szCs w:val="22"/>
                <w:rtl w:val="0"/>
              </w:rPr>
              <w:t xml:space="preserve">Preparation level for real exam*</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9">
            <w:pPr>
              <w:spacing w:line="240" w:lineRule="auto"/>
              <w:jc w:val="center"/>
              <w:rPr>
                <w:sz w:val="22"/>
                <w:szCs w:val="22"/>
              </w:rPr>
            </w:pPr>
            <w:r w:rsidDel="00000000" w:rsidR="00000000" w:rsidRPr="00000000">
              <w:rPr>
                <w:sz w:val="22"/>
                <w:szCs w:val="22"/>
                <w:rtl w:val="0"/>
              </w:rPr>
              <w:t xml:space="preserve">5.7 (1.4)</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A">
            <w:pPr>
              <w:spacing w:line="240" w:lineRule="auto"/>
              <w:jc w:val="center"/>
              <w:rPr>
                <w:sz w:val="22"/>
                <w:szCs w:val="22"/>
              </w:rPr>
            </w:pPr>
            <w:r w:rsidDel="00000000" w:rsidR="00000000" w:rsidRPr="00000000">
              <w:rPr>
                <w:sz w:val="22"/>
                <w:szCs w:val="22"/>
                <w:rtl w:val="0"/>
              </w:rPr>
              <w:t xml:space="preserve">5.9 (1.6)</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B">
            <w:pPr>
              <w:spacing w:line="240" w:lineRule="auto"/>
              <w:jc w:val="center"/>
              <w:rPr>
                <w:sz w:val="22"/>
                <w:szCs w:val="22"/>
              </w:rPr>
            </w:pPr>
            <w:r w:rsidDel="00000000" w:rsidR="00000000" w:rsidRPr="00000000">
              <w:rPr>
                <w:sz w:val="22"/>
                <w:szCs w:val="22"/>
                <w:rtl w:val="0"/>
              </w:rPr>
              <w:t xml:space="preserve">0.31</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0C">
            <w:pPr>
              <w:spacing w:line="240" w:lineRule="auto"/>
              <w:ind w:left="380" w:firstLine="0"/>
              <w:rPr>
                <w:sz w:val="22"/>
                <w:szCs w:val="22"/>
              </w:rPr>
            </w:pPr>
            <w:r w:rsidDel="00000000" w:rsidR="00000000" w:rsidRPr="00000000">
              <w:rPr>
                <w:sz w:val="22"/>
                <w:szCs w:val="22"/>
                <w:rtl w:val="0"/>
              </w:rPr>
              <w:t xml:space="preserve">Test-taking skills*</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D">
            <w:pPr>
              <w:spacing w:line="240" w:lineRule="auto"/>
              <w:jc w:val="center"/>
              <w:rPr>
                <w:sz w:val="22"/>
                <w:szCs w:val="22"/>
              </w:rPr>
            </w:pPr>
            <w:r w:rsidDel="00000000" w:rsidR="00000000" w:rsidRPr="00000000">
              <w:rPr>
                <w:sz w:val="22"/>
                <w:szCs w:val="22"/>
                <w:rtl w:val="0"/>
              </w:rPr>
              <w:t xml:space="preserve">6.7 (1.7)</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E">
            <w:pPr>
              <w:spacing w:line="240" w:lineRule="auto"/>
              <w:jc w:val="center"/>
              <w:rPr>
                <w:sz w:val="22"/>
                <w:szCs w:val="22"/>
              </w:rPr>
            </w:pPr>
            <w:r w:rsidDel="00000000" w:rsidR="00000000" w:rsidRPr="00000000">
              <w:rPr>
                <w:sz w:val="22"/>
                <w:szCs w:val="22"/>
                <w:rtl w:val="0"/>
              </w:rPr>
              <w:t xml:space="preserve">6.8 (1.8)</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0F">
            <w:pPr>
              <w:spacing w:line="240" w:lineRule="auto"/>
              <w:jc w:val="center"/>
              <w:rPr>
                <w:sz w:val="22"/>
                <w:szCs w:val="22"/>
              </w:rPr>
            </w:pPr>
            <w:r w:rsidDel="00000000" w:rsidR="00000000" w:rsidRPr="00000000">
              <w:rPr>
                <w:sz w:val="22"/>
                <w:szCs w:val="22"/>
                <w:rtl w:val="0"/>
              </w:rPr>
              <w:t xml:space="preserve">0.57</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10">
            <w:pPr>
              <w:spacing w:line="240" w:lineRule="auto"/>
              <w:ind w:left="380" w:firstLine="0"/>
              <w:rPr>
                <w:sz w:val="22"/>
                <w:szCs w:val="22"/>
              </w:rPr>
            </w:pPr>
            <w:r w:rsidDel="00000000" w:rsidR="00000000" w:rsidRPr="00000000">
              <w:rPr>
                <w:sz w:val="22"/>
                <w:szCs w:val="22"/>
                <w:rtl w:val="0"/>
              </w:rPr>
              <w:t xml:space="preserve">Time management skills*</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1">
            <w:pPr>
              <w:spacing w:line="240" w:lineRule="auto"/>
              <w:jc w:val="center"/>
              <w:rPr>
                <w:sz w:val="22"/>
                <w:szCs w:val="22"/>
              </w:rPr>
            </w:pPr>
            <w:r w:rsidDel="00000000" w:rsidR="00000000" w:rsidRPr="00000000">
              <w:rPr>
                <w:sz w:val="22"/>
                <w:szCs w:val="22"/>
                <w:rtl w:val="0"/>
              </w:rPr>
              <w:t xml:space="preserve">7.0 (1.9)</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2">
            <w:pPr>
              <w:spacing w:line="240" w:lineRule="auto"/>
              <w:jc w:val="center"/>
              <w:rPr>
                <w:sz w:val="22"/>
                <w:szCs w:val="22"/>
              </w:rPr>
            </w:pPr>
            <w:r w:rsidDel="00000000" w:rsidR="00000000" w:rsidRPr="00000000">
              <w:rPr>
                <w:sz w:val="22"/>
                <w:szCs w:val="22"/>
                <w:rtl w:val="0"/>
              </w:rPr>
              <w:t xml:space="preserve">6.9 (2.2)</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3">
            <w:pPr>
              <w:spacing w:line="240" w:lineRule="auto"/>
              <w:jc w:val="center"/>
              <w:rPr>
                <w:sz w:val="22"/>
                <w:szCs w:val="22"/>
              </w:rPr>
            </w:pPr>
            <w:r w:rsidDel="00000000" w:rsidR="00000000" w:rsidRPr="00000000">
              <w:rPr>
                <w:sz w:val="22"/>
                <w:szCs w:val="22"/>
                <w:rtl w:val="0"/>
              </w:rPr>
              <w:t xml:space="preserve">0.56</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14">
            <w:pPr>
              <w:spacing w:line="240" w:lineRule="auto"/>
              <w:ind w:left="380" w:firstLine="0"/>
              <w:rPr>
                <w:sz w:val="22"/>
                <w:szCs w:val="22"/>
              </w:rPr>
            </w:pPr>
            <w:r w:rsidDel="00000000" w:rsidR="00000000" w:rsidRPr="00000000">
              <w:rPr>
                <w:sz w:val="22"/>
                <w:szCs w:val="22"/>
                <w:rtl w:val="0"/>
              </w:rPr>
              <w:t xml:space="preserve">Sufficiency of study resources*</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5">
            <w:pPr>
              <w:spacing w:line="240" w:lineRule="auto"/>
              <w:jc w:val="center"/>
              <w:rPr>
                <w:sz w:val="22"/>
                <w:szCs w:val="22"/>
              </w:rPr>
            </w:pPr>
            <w:r w:rsidDel="00000000" w:rsidR="00000000" w:rsidRPr="00000000">
              <w:rPr>
                <w:sz w:val="22"/>
                <w:szCs w:val="22"/>
                <w:rtl w:val="0"/>
              </w:rPr>
              <w:t xml:space="preserve">6.6 (1.7)</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6">
            <w:pPr>
              <w:spacing w:line="240" w:lineRule="auto"/>
              <w:jc w:val="center"/>
              <w:rPr>
                <w:sz w:val="22"/>
                <w:szCs w:val="22"/>
              </w:rPr>
            </w:pPr>
            <w:r w:rsidDel="00000000" w:rsidR="00000000" w:rsidRPr="00000000">
              <w:rPr>
                <w:sz w:val="22"/>
                <w:szCs w:val="22"/>
                <w:rtl w:val="0"/>
              </w:rPr>
              <w:t xml:space="preserve">6.7 (1.6)</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7">
            <w:pPr>
              <w:spacing w:line="240" w:lineRule="auto"/>
              <w:jc w:val="center"/>
              <w:rPr>
                <w:sz w:val="22"/>
                <w:szCs w:val="22"/>
              </w:rPr>
            </w:pPr>
            <w:r w:rsidDel="00000000" w:rsidR="00000000" w:rsidRPr="00000000">
              <w:rPr>
                <w:sz w:val="22"/>
                <w:szCs w:val="22"/>
                <w:rtl w:val="0"/>
              </w:rPr>
              <w:t xml:space="preserve">0.42</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18">
            <w:pPr>
              <w:spacing w:line="240" w:lineRule="auto"/>
              <w:ind w:left="380" w:firstLine="0"/>
              <w:rPr>
                <w:sz w:val="22"/>
                <w:szCs w:val="22"/>
              </w:rPr>
            </w:pPr>
            <w:r w:rsidDel="00000000" w:rsidR="00000000" w:rsidRPr="00000000">
              <w:rPr>
                <w:sz w:val="22"/>
                <w:szCs w:val="22"/>
                <w:rtl w:val="0"/>
              </w:rPr>
              <w:t xml:space="preserve">Retention of information*</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9">
            <w:pPr>
              <w:spacing w:line="240" w:lineRule="auto"/>
              <w:jc w:val="center"/>
              <w:rPr>
                <w:sz w:val="22"/>
                <w:szCs w:val="22"/>
              </w:rPr>
            </w:pPr>
            <w:r w:rsidDel="00000000" w:rsidR="00000000" w:rsidRPr="00000000">
              <w:rPr>
                <w:sz w:val="22"/>
                <w:szCs w:val="22"/>
                <w:rtl w:val="0"/>
              </w:rPr>
              <w:t xml:space="preserve">6.0 (1.6)</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A">
            <w:pPr>
              <w:spacing w:line="240" w:lineRule="auto"/>
              <w:jc w:val="center"/>
              <w:rPr>
                <w:sz w:val="22"/>
                <w:szCs w:val="22"/>
              </w:rPr>
            </w:pPr>
            <w:r w:rsidDel="00000000" w:rsidR="00000000" w:rsidRPr="00000000">
              <w:rPr>
                <w:sz w:val="22"/>
                <w:szCs w:val="22"/>
                <w:rtl w:val="0"/>
              </w:rPr>
              <w:t xml:space="preserve">6.0 (1.8)</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B">
            <w:pPr>
              <w:spacing w:line="240" w:lineRule="auto"/>
              <w:jc w:val="center"/>
              <w:rPr>
                <w:sz w:val="22"/>
                <w:szCs w:val="22"/>
              </w:rPr>
            </w:pPr>
            <w:r w:rsidDel="00000000" w:rsidR="00000000" w:rsidRPr="00000000">
              <w:rPr>
                <w:sz w:val="22"/>
                <w:szCs w:val="22"/>
                <w:rtl w:val="0"/>
              </w:rPr>
              <w:t xml:space="preserve">0.82</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1C">
            <w:pPr>
              <w:spacing w:after="240" w:line="240" w:lineRule="auto"/>
              <w:ind w:left="380" w:firstLine="0"/>
              <w:rPr>
                <w:sz w:val="22"/>
                <w:szCs w:val="22"/>
              </w:rPr>
            </w:pPr>
            <w:r w:rsidDel="00000000" w:rsidR="00000000" w:rsidRPr="00000000">
              <w:rPr>
                <w:sz w:val="22"/>
                <w:szCs w:val="22"/>
                <w:rtl w:val="0"/>
              </w:rPr>
              <w:t xml:space="preserve">Flashcard usage*</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D">
            <w:pPr>
              <w:spacing w:line="240" w:lineRule="auto"/>
              <w:jc w:val="center"/>
              <w:rPr>
                <w:sz w:val="22"/>
                <w:szCs w:val="22"/>
              </w:rPr>
            </w:pPr>
            <w:r w:rsidDel="00000000" w:rsidR="00000000" w:rsidRPr="00000000">
              <w:rPr>
                <w:sz w:val="22"/>
                <w:szCs w:val="22"/>
                <w:rtl w:val="0"/>
              </w:rPr>
              <w:t xml:space="preserve">5.9 (3.0)</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E">
            <w:pPr>
              <w:spacing w:line="240" w:lineRule="auto"/>
              <w:jc w:val="center"/>
              <w:rPr>
                <w:sz w:val="22"/>
                <w:szCs w:val="22"/>
              </w:rPr>
            </w:pPr>
            <w:r w:rsidDel="00000000" w:rsidR="00000000" w:rsidRPr="00000000">
              <w:rPr>
                <w:sz w:val="22"/>
                <w:szCs w:val="22"/>
                <w:rtl w:val="0"/>
              </w:rPr>
              <w:t xml:space="preserve">6.1 (2.9)</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1F">
            <w:pPr>
              <w:spacing w:line="240" w:lineRule="auto"/>
              <w:jc w:val="center"/>
              <w:rPr>
                <w:sz w:val="22"/>
                <w:szCs w:val="22"/>
              </w:rPr>
            </w:pPr>
            <w:r w:rsidDel="00000000" w:rsidR="00000000" w:rsidRPr="00000000">
              <w:rPr>
                <w:sz w:val="22"/>
                <w:szCs w:val="22"/>
                <w:rtl w:val="0"/>
              </w:rPr>
              <w:t xml:space="preserve">0.59</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20">
            <w:pPr>
              <w:spacing w:line="240" w:lineRule="auto"/>
              <w:rPr>
                <w:sz w:val="22"/>
                <w:szCs w:val="22"/>
              </w:rPr>
            </w:pPr>
            <w:r w:rsidDel="00000000" w:rsidR="00000000" w:rsidRPr="00000000">
              <w:rPr>
                <w:sz w:val="22"/>
                <w:szCs w:val="22"/>
                <w:rtl w:val="0"/>
              </w:rPr>
              <w:t xml:space="preserve">Gender (%)</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21">
            <w:pPr>
              <w:spacing w:line="240" w:lineRule="auto"/>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22">
            <w:pPr>
              <w:spacing w:line="240" w:lineRule="auto"/>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23">
            <w:pPr>
              <w:spacing w:line="240" w:lineRule="auto"/>
              <w:rPr>
                <w:sz w:val="22"/>
                <w:szCs w:val="22"/>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4">
            <w:pPr>
              <w:keepLines w:val="1"/>
              <w:spacing w:line="240" w:lineRule="auto"/>
              <w:ind w:left="1060" w:hanging="610"/>
              <w:rPr>
                <w:sz w:val="22"/>
                <w:szCs w:val="22"/>
              </w:rPr>
            </w:pPr>
            <w:r w:rsidDel="00000000" w:rsidR="00000000" w:rsidRPr="00000000">
              <w:rPr>
                <w:sz w:val="22"/>
                <w:szCs w:val="22"/>
                <w:rtl w:val="0"/>
              </w:rPr>
              <w:t xml:space="preserve">Female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5">
            <w:pPr>
              <w:keepLines w:val="1"/>
              <w:spacing w:line="240" w:lineRule="auto"/>
              <w:jc w:val="center"/>
              <w:rPr>
                <w:sz w:val="22"/>
                <w:szCs w:val="22"/>
              </w:rPr>
            </w:pPr>
            <w:r w:rsidDel="00000000" w:rsidR="00000000" w:rsidRPr="00000000">
              <w:rPr>
                <w:sz w:val="22"/>
                <w:szCs w:val="22"/>
                <w:rtl w:val="0"/>
              </w:rPr>
              <w:t xml:space="preserve">72 (58.5)</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6">
            <w:pPr>
              <w:keepLines w:val="1"/>
              <w:spacing w:line="240" w:lineRule="auto"/>
              <w:jc w:val="center"/>
              <w:rPr>
                <w:sz w:val="22"/>
                <w:szCs w:val="22"/>
              </w:rPr>
            </w:pPr>
            <w:r w:rsidDel="00000000" w:rsidR="00000000" w:rsidRPr="00000000">
              <w:rPr>
                <w:sz w:val="22"/>
                <w:szCs w:val="22"/>
                <w:rtl w:val="0"/>
              </w:rPr>
              <w:t xml:space="preserve">65 (52.0)</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7">
            <w:pPr>
              <w:keepLines w:val="1"/>
              <w:spacing w:line="240" w:lineRule="auto"/>
              <w:jc w:val="center"/>
              <w:rPr>
                <w:sz w:val="22"/>
                <w:szCs w:val="22"/>
              </w:rPr>
            </w:pPr>
            <w:r w:rsidDel="00000000" w:rsidR="00000000" w:rsidRPr="00000000">
              <w:rPr>
                <w:sz w:val="22"/>
                <w:szCs w:val="22"/>
                <w:rtl w:val="0"/>
              </w:rPr>
              <w:t xml:space="preserve">0.45</w:t>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8">
            <w:pPr>
              <w:keepLines w:val="1"/>
              <w:spacing w:line="240" w:lineRule="auto"/>
              <w:ind w:left="1060" w:hanging="610"/>
              <w:rPr>
                <w:sz w:val="22"/>
                <w:szCs w:val="22"/>
              </w:rPr>
            </w:pPr>
            <w:r w:rsidDel="00000000" w:rsidR="00000000" w:rsidRPr="00000000">
              <w:rPr>
                <w:sz w:val="22"/>
                <w:szCs w:val="22"/>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9">
            <w:pPr>
              <w:keepLines w:val="1"/>
              <w:spacing w:line="240" w:lineRule="auto"/>
              <w:jc w:val="center"/>
              <w:rPr>
                <w:sz w:val="22"/>
                <w:szCs w:val="22"/>
              </w:rPr>
            </w:pPr>
            <w:r w:rsidDel="00000000" w:rsidR="00000000" w:rsidRPr="00000000">
              <w:rPr>
                <w:sz w:val="22"/>
                <w:szCs w:val="22"/>
                <w:rtl w:val="0"/>
              </w:rPr>
              <w:t xml:space="preserve">45 (36.6)</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A">
            <w:pPr>
              <w:keepLines w:val="1"/>
              <w:spacing w:line="240" w:lineRule="auto"/>
              <w:jc w:val="center"/>
              <w:rPr>
                <w:sz w:val="22"/>
                <w:szCs w:val="22"/>
              </w:rPr>
            </w:pPr>
            <w:r w:rsidDel="00000000" w:rsidR="00000000" w:rsidRPr="00000000">
              <w:rPr>
                <w:sz w:val="22"/>
                <w:szCs w:val="22"/>
                <w:rtl w:val="0"/>
              </w:rPr>
              <w:t xml:space="preserve">56 (44.8)</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B">
            <w:pPr>
              <w:keepLines w:val="1"/>
              <w:spacing w:line="240" w:lineRule="auto"/>
              <w:rPr>
                <w:sz w:val="22"/>
                <w:szCs w:val="22"/>
              </w:rPr>
            </w:pPr>
            <w:r w:rsidDel="00000000" w:rsidR="00000000" w:rsidRPr="00000000">
              <w:rPr>
                <w:sz w:val="22"/>
                <w:szCs w:val="22"/>
                <w:rtl w:val="0"/>
              </w:rPr>
              <w:t xml:space="preserve"> </w:t>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C">
            <w:pPr>
              <w:keepLines w:val="1"/>
              <w:spacing w:line="240" w:lineRule="auto"/>
              <w:ind w:left="1060" w:hanging="610"/>
              <w:rPr>
                <w:sz w:val="22"/>
                <w:szCs w:val="22"/>
              </w:rPr>
            </w:pPr>
            <w:r w:rsidDel="00000000" w:rsidR="00000000" w:rsidRPr="00000000">
              <w:rPr>
                <w:sz w:val="22"/>
                <w:szCs w:val="22"/>
                <w:rtl w:val="0"/>
              </w:rPr>
              <w:t xml:space="preserve">Non-binary</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D">
            <w:pPr>
              <w:keepLines w:val="1"/>
              <w:spacing w:line="240" w:lineRule="auto"/>
              <w:jc w:val="center"/>
              <w:rPr>
                <w:sz w:val="22"/>
                <w:szCs w:val="22"/>
              </w:rPr>
            </w:pPr>
            <w:r w:rsidDel="00000000" w:rsidR="00000000" w:rsidRPr="00000000">
              <w:rPr>
                <w:sz w:val="22"/>
                <w:szCs w:val="22"/>
                <w:rtl w:val="0"/>
              </w:rPr>
              <w:t xml:space="preserve">1 (0.8)</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E">
            <w:pPr>
              <w:keepLines w:val="1"/>
              <w:spacing w:line="240" w:lineRule="auto"/>
              <w:jc w:val="center"/>
              <w:rPr>
                <w:sz w:val="22"/>
                <w:szCs w:val="22"/>
              </w:rPr>
            </w:pPr>
            <w:r w:rsidDel="00000000" w:rsidR="00000000" w:rsidRPr="00000000">
              <w:rPr>
                <w:sz w:val="22"/>
                <w:szCs w:val="22"/>
                <w:rtl w:val="0"/>
              </w:rPr>
              <w:t xml:space="preserve">0 (0.0)</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2F">
            <w:pPr>
              <w:keepLines w:val="1"/>
              <w:spacing w:line="240" w:lineRule="auto"/>
              <w:rPr>
                <w:sz w:val="22"/>
                <w:szCs w:val="22"/>
              </w:rPr>
            </w:pPr>
            <w:r w:rsidDel="00000000" w:rsidR="00000000" w:rsidRPr="00000000">
              <w:rPr>
                <w:sz w:val="22"/>
                <w:szCs w:val="22"/>
                <w:rtl w:val="0"/>
              </w:rPr>
              <w:t xml:space="preserve"> </w:t>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30">
            <w:pPr>
              <w:keepLines w:val="1"/>
              <w:spacing w:line="240" w:lineRule="auto"/>
              <w:ind w:left="1060" w:hanging="610"/>
              <w:rPr>
                <w:sz w:val="22"/>
                <w:szCs w:val="22"/>
              </w:rPr>
            </w:pPr>
            <w:r w:rsidDel="00000000" w:rsidR="00000000" w:rsidRPr="00000000">
              <w:rPr>
                <w:sz w:val="22"/>
                <w:szCs w:val="22"/>
                <w:rtl w:val="0"/>
              </w:rPr>
              <w:t xml:space="preserve">Prefer not to say</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31">
            <w:pPr>
              <w:keepLines w:val="1"/>
              <w:spacing w:line="240" w:lineRule="auto"/>
              <w:jc w:val="center"/>
              <w:rPr>
                <w:sz w:val="22"/>
                <w:szCs w:val="22"/>
              </w:rPr>
            </w:pPr>
            <w:r w:rsidDel="00000000" w:rsidR="00000000" w:rsidRPr="00000000">
              <w:rPr>
                <w:sz w:val="22"/>
                <w:szCs w:val="22"/>
                <w:rtl w:val="0"/>
              </w:rPr>
              <w:t xml:space="preserve">5 (4.1)</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32">
            <w:pPr>
              <w:keepLines w:val="1"/>
              <w:spacing w:line="240" w:lineRule="auto"/>
              <w:jc w:val="center"/>
              <w:rPr>
                <w:sz w:val="22"/>
                <w:szCs w:val="22"/>
              </w:rPr>
            </w:pPr>
            <w:r w:rsidDel="00000000" w:rsidR="00000000" w:rsidRPr="00000000">
              <w:rPr>
                <w:sz w:val="22"/>
                <w:szCs w:val="22"/>
                <w:rtl w:val="0"/>
              </w:rPr>
              <w:t xml:space="preserve">4 (3.2)</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133">
            <w:pPr>
              <w:keepLines w:val="1"/>
              <w:spacing w:line="240" w:lineRule="auto"/>
              <w:rPr>
                <w:sz w:val="22"/>
                <w:szCs w:val="22"/>
              </w:rPr>
            </w:pPr>
            <w:r w:rsidDel="00000000" w:rsidR="00000000" w:rsidRPr="00000000">
              <w:rPr>
                <w:sz w:val="22"/>
                <w:szCs w:val="22"/>
                <w:rtl w:val="0"/>
              </w:rPr>
              <w:t xml:space="preserv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4">
            <w:pPr>
              <w:spacing w:line="240" w:lineRule="auto"/>
              <w:rPr>
                <w:sz w:val="22"/>
                <w:szCs w:val="22"/>
              </w:rPr>
            </w:pPr>
            <w:r w:rsidDel="00000000" w:rsidR="00000000" w:rsidRPr="00000000">
              <w:rPr>
                <w:sz w:val="22"/>
                <w:szCs w:val="22"/>
                <w:rtl w:val="0"/>
              </w:rPr>
              <w:t xml:space="preserve">Major prior to MD school</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5">
            <w:pPr>
              <w:spacing w:after="240" w:line="240" w:lineRule="auto"/>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6">
            <w:pPr>
              <w:spacing w:after="240" w:line="240" w:lineRule="auto"/>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7">
            <w:pPr>
              <w:spacing w:after="240" w:line="240" w:lineRule="auto"/>
              <w:rPr>
                <w:sz w:val="22"/>
                <w:szCs w:val="22"/>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8">
            <w:pPr>
              <w:spacing w:line="240" w:lineRule="auto"/>
              <w:ind w:left="1060" w:hanging="610"/>
              <w:rPr>
                <w:sz w:val="22"/>
                <w:szCs w:val="22"/>
              </w:rPr>
            </w:pPr>
            <w:r w:rsidDel="00000000" w:rsidR="00000000" w:rsidRPr="00000000">
              <w:rPr>
                <w:sz w:val="22"/>
                <w:szCs w:val="22"/>
                <w:rtl w:val="0"/>
              </w:rPr>
              <w:t xml:space="preserve">Health sciences</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9">
            <w:pPr>
              <w:spacing w:line="240" w:lineRule="auto"/>
              <w:jc w:val="center"/>
              <w:rPr>
                <w:sz w:val="22"/>
                <w:szCs w:val="22"/>
              </w:rPr>
            </w:pPr>
            <w:r w:rsidDel="00000000" w:rsidR="00000000" w:rsidRPr="00000000">
              <w:rPr>
                <w:sz w:val="22"/>
                <w:szCs w:val="22"/>
                <w:rtl w:val="0"/>
              </w:rPr>
              <w:t xml:space="preserve">100 (81.3)</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A">
            <w:pPr>
              <w:spacing w:line="240" w:lineRule="auto"/>
              <w:jc w:val="center"/>
              <w:rPr>
                <w:sz w:val="22"/>
                <w:szCs w:val="22"/>
              </w:rPr>
            </w:pPr>
            <w:r w:rsidDel="00000000" w:rsidR="00000000" w:rsidRPr="00000000">
              <w:rPr>
                <w:sz w:val="22"/>
                <w:szCs w:val="22"/>
                <w:rtl w:val="0"/>
              </w:rPr>
              <w:t xml:space="preserve">112 (89.6)</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B">
            <w:pPr>
              <w:spacing w:line="240" w:lineRule="auto"/>
              <w:jc w:val="center"/>
              <w:rPr>
                <w:sz w:val="22"/>
                <w:szCs w:val="22"/>
              </w:rPr>
            </w:pPr>
            <w:r w:rsidDel="00000000" w:rsidR="00000000" w:rsidRPr="00000000">
              <w:rPr>
                <w:sz w:val="22"/>
                <w:szCs w:val="22"/>
                <w:rtl w:val="0"/>
              </w:rPr>
              <w:t xml:space="preserve">0.18</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C">
            <w:pPr>
              <w:spacing w:line="240" w:lineRule="auto"/>
              <w:ind w:left="1060" w:hanging="610"/>
              <w:rPr>
                <w:sz w:val="22"/>
                <w:szCs w:val="22"/>
              </w:rPr>
            </w:pPr>
            <w:r w:rsidDel="00000000" w:rsidR="00000000" w:rsidRPr="00000000">
              <w:rPr>
                <w:sz w:val="22"/>
                <w:szCs w:val="22"/>
                <w:rtl w:val="0"/>
              </w:rPr>
              <w:t xml:space="preserve">Non-health sciences</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D">
            <w:pPr>
              <w:spacing w:line="240" w:lineRule="auto"/>
              <w:jc w:val="center"/>
              <w:rPr>
                <w:sz w:val="22"/>
                <w:szCs w:val="22"/>
              </w:rPr>
            </w:pPr>
            <w:r w:rsidDel="00000000" w:rsidR="00000000" w:rsidRPr="00000000">
              <w:rPr>
                <w:sz w:val="22"/>
                <w:szCs w:val="22"/>
                <w:rtl w:val="0"/>
              </w:rPr>
              <w:t xml:space="preserve">17 (13.8)</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E">
            <w:pPr>
              <w:spacing w:line="240" w:lineRule="auto"/>
              <w:jc w:val="center"/>
              <w:rPr>
                <w:sz w:val="22"/>
                <w:szCs w:val="22"/>
              </w:rPr>
            </w:pPr>
            <w:r w:rsidDel="00000000" w:rsidR="00000000" w:rsidRPr="00000000">
              <w:rPr>
                <w:sz w:val="22"/>
                <w:szCs w:val="22"/>
                <w:rtl w:val="0"/>
              </w:rPr>
              <w:t xml:space="preserve">10 (8.0)</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3F">
            <w:pPr>
              <w:spacing w:line="240" w:lineRule="auto"/>
              <w:rPr>
                <w:sz w:val="22"/>
                <w:szCs w:val="22"/>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0">
            <w:pPr>
              <w:spacing w:line="240" w:lineRule="auto"/>
              <w:ind w:left="1060" w:hanging="610"/>
              <w:rPr>
                <w:sz w:val="22"/>
                <w:szCs w:val="22"/>
              </w:rPr>
            </w:pPr>
            <w:r w:rsidDel="00000000" w:rsidR="00000000" w:rsidRPr="00000000">
              <w:rPr>
                <w:sz w:val="22"/>
                <w:szCs w:val="22"/>
                <w:rtl w:val="0"/>
              </w:rPr>
              <w:t xml:space="preserve">Other</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1">
            <w:pPr>
              <w:spacing w:line="240" w:lineRule="auto"/>
              <w:jc w:val="center"/>
              <w:rPr>
                <w:sz w:val="22"/>
                <w:szCs w:val="22"/>
              </w:rPr>
            </w:pPr>
            <w:r w:rsidDel="00000000" w:rsidR="00000000" w:rsidRPr="00000000">
              <w:rPr>
                <w:sz w:val="22"/>
                <w:szCs w:val="22"/>
                <w:rtl w:val="0"/>
              </w:rPr>
              <w:t xml:space="preserve">6 (4.9)</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2">
            <w:pPr>
              <w:spacing w:line="240" w:lineRule="auto"/>
              <w:jc w:val="center"/>
              <w:rPr>
                <w:sz w:val="22"/>
                <w:szCs w:val="22"/>
              </w:rPr>
            </w:pPr>
            <w:r w:rsidDel="00000000" w:rsidR="00000000" w:rsidRPr="00000000">
              <w:rPr>
                <w:sz w:val="22"/>
                <w:szCs w:val="22"/>
                <w:rtl w:val="0"/>
              </w:rPr>
              <w:t xml:space="preserve">3 (2.4)</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3">
            <w:pPr>
              <w:spacing w:line="240" w:lineRule="auto"/>
              <w:rPr>
                <w:sz w:val="22"/>
                <w:szCs w:val="22"/>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44">
            <w:pPr>
              <w:spacing w:line="240" w:lineRule="auto"/>
              <w:rPr>
                <w:sz w:val="22"/>
                <w:szCs w:val="22"/>
              </w:rPr>
            </w:pPr>
            <w:r w:rsidDel="00000000" w:rsidR="00000000" w:rsidRPr="00000000">
              <w:rPr>
                <w:sz w:val="22"/>
                <w:szCs w:val="22"/>
                <w:rtl w:val="0"/>
              </w:rPr>
              <w:t xml:space="preserve">Familiarity with AI in education</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5">
            <w:pPr>
              <w:spacing w:after="240" w:line="240" w:lineRule="auto"/>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6">
            <w:pPr>
              <w:spacing w:after="240" w:line="240" w:lineRule="auto"/>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7">
            <w:pPr>
              <w:spacing w:after="240" w:line="240" w:lineRule="auto"/>
              <w:rPr>
                <w:sz w:val="22"/>
                <w:szCs w:val="22"/>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8">
            <w:pPr>
              <w:spacing w:line="240" w:lineRule="auto"/>
              <w:ind w:left="1060" w:hanging="610"/>
              <w:rPr>
                <w:sz w:val="22"/>
                <w:szCs w:val="22"/>
              </w:rPr>
            </w:pPr>
            <w:r w:rsidDel="00000000" w:rsidR="00000000" w:rsidRPr="00000000">
              <w:rPr>
                <w:sz w:val="22"/>
                <w:szCs w:val="22"/>
                <w:rtl w:val="0"/>
              </w:rPr>
              <w:t xml:space="preserve">Very familiar</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9">
            <w:pPr>
              <w:spacing w:line="240" w:lineRule="auto"/>
              <w:jc w:val="center"/>
              <w:rPr>
                <w:sz w:val="22"/>
                <w:szCs w:val="22"/>
              </w:rPr>
            </w:pPr>
            <w:r w:rsidDel="00000000" w:rsidR="00000000" w:rsidRPr="00000000">
              <w:rPr>
                <w:sz w:val="22"/>
                <w:szCs w:val="22"/>
                <w:rtl w:val="0"/>
              </w:rPr>
              <w:t xml:space="preserve">9 (7.3)</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A">
            <w:pPr>
              <w:spacing w:line="240" w:lineRule="auto"/>
              <w:jc w:val="center"/>
              <w:rPr>
                <w:sz w:val="22"/>
                <w:szCs w:val="22"/>
              </w:rPr>
            </w:pPr>
            <w:r w:rsidDel="00000000" w:rsidR="00000000" w:rsidRPr="00000000">
              <w:rPr>
                <w:sz w:val="22"/>
                <w:szCs w:val="22"/>
                <w:rtl w:val="0"/>
              </w:rPr>
              <w:t xml:space="preserve">15 (12.0)</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B">
            <w:pPr>
              <w:spacing w:line="240" w:lineRule="auto"/>
              <w:jc w:val="center"/>
              <w:rPr>
                <w:sz w:val="22"/>
                <w:szCs w:val="22"/>
              </w:rPr>
            </w:pPr>
            <w:r w:rsidDel="00000000" w:rsidR="00000000" w:rsidRPr="00000000">
              <w:rPr>
                <w:sz w:val="22"/>
                <w:szCs w:val="22"/>
                <w:rtl w:val="0"/>
              </w:rPr>
              <w:t xml:space="preserve">0.51</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C">
            <w:pPr>
              <w:spacing w:line="240" w:lineRule="auto"/>
              <w:ind w:left="1060" w:hanging="610"/>
              <w:rPr>
                <w:sz w:val="22"/>
                <w:szCs w:val="22"/>
              </w:rPr>
            </w:pPr>
            <w:r w:rsidDel="00000000" w:rsidR="00000000" w:rsidRPr="00000000">
              <w:rPr>
                <w:sz w:val="22"/>
                <w:szCs w:val="22"/>
                <w:rtl w:val="0"/>
              </w:rPr>
              <w:t xml:space="preserve">Familiar</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D">
            <w:pPr>
              <w:spacing w:line="240" w:lineRule="auto"/>
              <w:jc w:val="center"/>
              <w:rPr>
                <w:sz w:val="22"/>
                <w:szCs w:val="22"/>
              </w:rPr>
            </w:pPr>
            <w:r w:rsidDel="00000000" w:rsidR="00000000" w:rsidRPr="00000000">
              <w:rPr>
                <w:sz w:val="22"/>
                <w:szCs w:val="22"/>
                <w:rtl w:val="0"/>
              </w:rPr>
              <w:t xml:space="preserve">43 (35.0)</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E">
            <w:pPr>
              <w:spacing w:line="240" w:lineRule="auto"/>
              <w:jc w:val="center"/>
              <w:rPr>
                <w:sz w:val="22"/>
                <w:szCs w:val="22"/>
              </w:rPr>
            </w:pPr>
            <w:r w:rsidDel="00000000" w:rsidR="00000000" w:rsidRPr="00000000">
              <w:rPr>
                <w:sz w:val="22"/>
                <w:szCs w:val="22"/>
                <w:rtl w:val="0"/>
              </w:rPr>
              <w:t xml:space="preserve">36 (28.8)</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4F">
            <w:pPr>
              <w:spacing w:line="240" w:lineRule="auto"/>
              <w:rPr>
                <w:sz w:val="22"/>
                <w:szCs w:val="22"/>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0">
            <w:pPr>
              <w:spacing w:line="240" w:lineRule="auto"/>
              <w:ind w:left="1060" w:hanging="610"/>
              <w:rPr>
                <w:sz w:val="22"/>
                <w:szCs w:val="22"/>
              </w:rPr>
            </w:pPr>
            <w:r w:rsidDel="00000000" w:rsidR="00000000" w:rsidRPr="00000000">
              <w:rPr>
                <w:sz w:val="22"/>
                <w:szCs w:val="22"/>
                <w:rtl w:val="0"/>
              </w:rPr>
              <w:t xml:space="preserve">Neutral</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1">
            <w:pPr>
              <w:spacing w:line="240" w:lineRule="auto"/>
              <w:jc w:val="center"/>
              <w:rPr>
                <w:sz w:val="22"/>
                <w:szCs w:val="22"/>
              </w:rPr>
            </w:pPr>
            <w:r w:rsidDel="00000000" w:rsidR="00000000" w:rsidRPr="00000000">
              <w:rPr>
                <w:sz w:val="22"/>
                <w:szCs w:val="22"/>
                <w:rtl w:val="0"/>
              </w:rPr>
              <w:t xml:space="preserve">19 (15.4)</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2">
            <w:pPr>
              <w:spacing w:line="240" w:lineRule="auto"/>
              <w:jc w:val="center"/>
              <w:rPr>
                <w:sz w:val="22"/>
                <w:szCs w:val="22"/>
              </w:rPr>
            </w:pPr>
            <w:r w:rsidDel="00000000" w:rsidR="00000000" w:rsidRPr="00000000">
              <w:rPr>
                <w:sz w:val="22"/>
                <w:szCs w:val="22"/>
                <w:rtl w:val="0"/>
              </w:rPr>
              <w:t xml:space="preserve">15 (12.0)</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3">
            <w:pPr>
              <w:spacing w:line="240" w:lineRule="auto"/>
              <w:rPr>
                <w:sz w:val="22"/>
                <w:szCs w:val="22"/>
              </w:rPr>
            </w:pPr>
            <w:r w:rsidDel="00000000" w:rsidR="00000000" w:rsidRPr="00000000">
              <w:rPr>
                <w:rtl w:val="0"/>
              </w:rPr>
            </w:r>
          </w:p>
        </w:tc>
      </w:tr>
      <w:tr>
        <w:trPr>
          <w:cantSplit w:val="0"/>
          <w:trHeight w:val="26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4">
            <w:pPr>
              <w:spacing w:line="240" w:lineRule="auto"/>
              <w:ind w:left="1060" w:hanging="610"/>
              <w:rPr>
                <w:sz w:val="22"/>
                <w:szCs w:val="22"/>
              </w:rPr>
            </w:pPr>
            <w:r w:rsidDel="00000000" w:rsidR="00000000" w:rsidRPr="00000000">
              <w:rPr>
                <w:sz w:val="22"/>
                <w:szCs w:val="22"/>
                <w:rtl w:val="0"/>
              </w:rPr>
              <w:t xml:space="preserve">Somewhat familiar</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5">
            <w:pPr>
              <w:spacing w:line="240" w:lineRule="auto"/>
              <w:jc w:val="center"/>
              <w:rPr>
                <w:sz w:val="22"/>
                <w:szCs w:val="22"/>
              </w:rPr>
            </w:pPr>
            <w:r w:rsidDel="00000000" w:rsidR="00000000" w:rsidRPr="00000000">
              <w:rPr>
                <w:sz w:val="22"/>
                <w:szCs w:val="22"/>
                <w:rtl w:val="0"/>
              </w:rPr>
              <w:t xml:space="preserve">45 (36.6)</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6">
            <w:pPr>
              <w:spacing w:line="240" w:lineRule="auto"/>
              <w:jc w:val="center"/>
              <w:rPr>
                <w:sz w:val="22"/>
                <w:szCs w:val="22"/>
              </w:rPr>
            </w:pPr>
            <w:r w:rsidDel="00000000" w:rsidR="00000000" w:rsidRPr="00000000">
              <w:rPr>
                <w:sz w:val="22"/>
                <w:szCs w:val="22"/>
                <w:rtl w:val="0"/>
              </w:rPr>
              <w:t xml:space="preserve">49 (39.2)</w:t>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7">
            <w:pPr>
              <w:spacing w:line="240" w:lineRule="auto"/>
              <w:rPr>
                <w:sz w:val="22"/>
                <w:szCs w:val="22"/>
              </w:rPr>
            </w:pP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8">
            <w:pPr>
              <w:spacing w:after="200" w:line="240" w:lineRule="auto"/>
              <w:ind w:left="1060" w:hanging="610"/>
              <w:rPr>
                <w:sz w:val="22"/>
                <w:szCs w:val="22"/>
              </w:rPr>
            </w:pPr>
            <w:r w:rsidDel="00000000" w:rsidR="00000000" w:rsidRPr="00000000">
              <w:rPr>
                <w:sz w:val="22"/>
                <w:szCs w:val="22"/>
                <w:rtl w:val="0"/>
              </w:rPr>
              <w:t xml:space="preserve">Not familiar at all</w:t>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59">
            <w:pPr>
              <w:spacing w:line="240" w:lineRule="auto"/>
              <w:jc w:val="center"/>
              <w:rPr>
                <w:sz w:val="22"/>
                <w:szCs w:val="22"/>
              </w:rPr>
            </w:pPr>
            <w:r w:rsidDel="00000000" w:rsidR="00000000" w:rsidRPr="00000000">
              <w:rPr>
                <w:sz w:val="22"/>
                <w:szCs w:val="22"/>
                <w:rtl w:val="0"/>
              </w:rPr>
              <w:t xml:space="preserve">7 (5.7)</w:t>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tcPr>
          <w:p w:rsidR="00000000" w:rsidDel="00000000" w:rsidP="00000000" w:rsidRDefault="00000000" w:rsidRPr="00000000" w14:paraId="0000015A">
            <w:pPr>
              <w:spacing w:line="240" w:lineRule="auto"/>
              <w:jc w:val="center"/>
              <w:rPr>
                <w:sz w:val="22"/>
                <w:szCs w:val="22"/>
              </w:rPr>
            </w:pPr>
            <w:r w:rsidDel="00000000" w:rsidR="00000000" w:rsidRPr="00000000">
              <w:rPr>
                <w:sz w:val="22"/>
                <w:szCs w:val="22"/>
                <w:rtl w:val="0"/>
              </w:rPr>
              <w:t xml:space="preserve">10 (8.0)</w:t>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B">
            <w:pPr>
              <w:spacing w:line="240" w:lineRule="auto"/>
              <w:rPr>
                <w:sz w:val="22"/>
                <w:szCs w:val="22"/>
              </w:rPr>
            </w:pPr>
            <w:r w:rsidDel="00000000" w:rsidR="00000000" w:rsidRPr="00000000">
              <w:rPr>
                <w:rtl w:val="0"/>
              </w:rPr>
            </w:r>
          </w:p>
        </w:tc>
      </w:tr>
      <w:tr>
        <w:trPr>
          <w:cantSplit w:val="0"/>
          <w:trHeight w:val="255" w:hRule="atLeast"/>
          <w:tblHeader w:val="0"/>
        </w:trPr>
        <w:tc>
          <w:tcPr>
            <w:gridSpan w:val="4"/>
            <w:tcBorders>
              <w:top w:color="000000" w:space="0" w:sz="4" w:val="single"/>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15C">
            <w:pPr>
              <w:spacing w:line="240" w:lineRule="auto"/>
              <w:jc w:val="left"/>
              <w:rPr>
                <w:sz w:val="22"/>
                <w:szCs w:val="22"/>
              </w:rPr>
            </w:pPr>
            <w:r w:rsidDel="00000000" w:rsidR="00000000" w:rsidRPr="00000000">
              <w:rPr>
                <w:sz w:val="22"/>
                <w:szCs w:val="22"/>
                <w:rtl w:val="0"/>
              </w:rPr>
              <w:t xml:space="preserve">* Denotes students’ self-assessments on a 10-point Likert scale</w:t>
            </w:r>
          </w:p>
        </w:tc>
      </w:tr>
    </w:tbl>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spacing w:line="240" w:lineRule="auto"/>
        <w:rPr>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b w:val="1"/>
          <w:bCs w:val="1"/>
          <w:sz w:val="22"/>
          <w:szCs w:val="22"/>
          <w:rtl w:val="0"/>
        </w:rPr>
        <w:t xml:space="preserve">Table S1. </w:t>
      </w:r>
      <w:r w:rsidDel="00000000" w:rsidR="00000000" w:rsidRPr="00000000">
        <w:rPr>
          <w:sz w:val="22"/>
          <w:szCs w:val="22"/>
          <w:rtl w:val="0"/>
        </w:rPr>
        <w:t xml:space="preserve">Baseline demographic and academic characteristics are presented for students randomized to the AI- and human-gen exams. Continuous variables are reported as mean (SD), and categorical variables are presented as counts with percentages. Self-assessment measures (marked with *) were collected using a 10-point Likert scale evaluating perceived knowledge confidence, exam preparedness, study habits, and learning resources. No statistically significant differences were observed between groups across demographic characteristics, prior academic background, study behaviors, or familiarity with artificial intelligence in education, indicating comparable baseline characteristics between exam groups prior to analysis.</w:t>
      </w:r>
    </w:p>
    <w:p w:rsidR="00000000" w:rsidDel="00000000" w:rsidP="00000000" w:rsidRDefault="00000000" w:rsidRPr="00000000" w14:paraId="00000162">
      <w:pPr>
        <w:pStyle w:val="Heading3"/>
        <w:rPr/>
      </w:pPr>
      <w:bookmarkStart w:colFirst="0" w:colLast="0" w:name="_heading=h.6idmo76j9vvk" w:id="51"/>
      <w:bookmarkEnd w:id="51"/>
      <w:r w:rsidDel="00000000" w:rsidR="00000000" w:rsidRPr="00000000">
        <w:rPr>
          <w:rtl w:val="0"/>
        </w:rPr>
        <w:t xml:space="preserve">Table S2. Comparison of primary outcomes between PP and ITT analyses.</w:t>
      </w:r>
    </w:p>
    <w:tbl>
      <w:tblPr>
        <w:tblStyle w:val="Table2"/>
        <w:tblW w:w="103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2730"/>
        <w:gridCol w:w="2205"/>
        <w:gridCol w:w="3840"/>
        <w:tblGridChange w:id="0">
          <w:tblGrid>
            <w:gridCol w:w="1575"/>
            <w:gridCol w:w="2730"/>
            <w:gridCol w:w="2205"/>
            <w:gridCol w:w="3840"/>
          </w:tblGrid>
        </w:tblGridChange>
      </w:tblGrid>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line="240" w:lineRule="auto"/>
              <w:jc w:val="center"/>
              <w:rPr/>
            </w:pPr>
            <w:r w:rsidDel="00000000" w:rsidR="00000000" w:rsidRPr="00000000">
              <w:rPr>
                <w:rtl w:val="0"/>
              </w:rPr>
              <w:t xml:space="preserve">Outcome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line="240" w:lineRule="auto"/>
              <w:jc w:val="center"/>
              <w:rPr/>
            </w:pPr>
            <w:r w:rsidDel="00000000" w:rsidR="00000000" w:rsidRPr="00000000">
              <w:rPr>
                <w:rtl w:val="0"/>
              </w:rPr>
              <w:t xml:space="preserve">PP analysis (</w:t>
            </w:r>
            <w:r w:rsidDel="00000000" w:rsidR="00000000" w:rsidRPr="00000000">
              <w:rPr>
                <w:i w:val="1"/>
                <w:iCs w:val="1"/>
                <w:rtl w:val="0"/>
              </w:rPr>
              <w:t xml:space="preserve">N</w:t>
            </w:r>
            <w:r w:rsidDel="00000000" w:rsidR="00000000" w:rsidRPr="00000000">
              <w:rPr>
                <w:rtl w:val="0"/>
              </w:rPr>
              <w:t xml:space="preserve"> = 248)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line="240" w:lineRule="auto"/>
              <w:jc w:val="center"/>
              <w:rPr/>
            </w:pPr>
            <w:r w:rsidDel="00000000" w:rsidR="00000000" w:rsidRPr="00000000">
              <w:rPr>
                <w:rtl w:val="0"/>
              </w:rPr>
              <w:t xml:space="preserve">ITT analysis</w:t>
            </w:r>
          </w:p>
          <w:p w:rsidR="00000000" w:rsidDel="00000000" w:rsidP="00000000" w:rsidRDefault="00000000" w:rsidRPr="00000000" w14:paraId="00000166">
            <w:pPr>
              <w:spacing w:line="240" w:lineRule="auto"/>
              <w:jc w:val="center"/>
              <w:rPr/>
            </w:pPr>
            <w:r w:rsidDel="00000000" w:rsidR="00000000" w:rsidRPr="00000000">
              <w:rPr>
                <w:rtl w:val="0"/>
              </w:rPr>
              <w:t xml:space="preserve">(</w:t>
            </w:r>
            <w:r w:rsidDel="00000000" w:rsidR="00000000" w:rsidRPr="00000000">
              <w:rPr>
                <w:i w:val="1"/>
                <w:iCs w:val="1"/>
                <w:rtl w:val="0"/>
              </w:rPr>
              <w:t xml:space="preserve">N</w:t>
            </w:r>
            <w:r w:rsidDel="00000000" w:rsidR="00000000" w:rsidRPr="00000000">
              <w:rPr>
                <w:rtl w:val="0"/>
              </w:rPr>
              <w:t xml:space="preserve"> = 258)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line="240" w:lineRule="auto"/>
              <w:jc w:val="center"/>
              <w:rPr/>
            </w:pPr>
            <w:r w:rsidDel="00000000" w:rsidR="00000000" w:rsidRPr="00000000">
              <w:rPr>
                <w:rtl w:val="0"/>
              </w:rPr>
              <w:t xml:space="preserve">Interpretation</w:t>
            </w:r>
          </w:p>
        </w:tc>
      </w:tr>
      <w:tr>
        <w:trPr>
          <w:cantSplit w:val="0"/>
          <w:trHeight w:val="17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line="240" w:lineRule="auto"/>
              <w:jc w:val="left"/>
              <w:rPr/>
            </w:pPr>
            <w:r w:rsidDel="00000000" w:rsidR="00000000" w:rsidRPr="00000000">
              <w:rPr>
                <w:rtl w:val="0"/>
              </w:rPr>
              <w:t xml:space="preserve">Exam score</w:t>
            </w:r>
          </w:p>
          <w:p w:rsidR="00000000" w:rsidDel="00000000" w:rsidP="00000000" w:rsidRDefault="00000000" w:rsidRPr="00000000" w14:paraId="00000169">
            <w:pPr>
              <w:spacing w:line="240" w:lineRule="auto"/>
              <w:jc w:val="left"/>
              <w:rPr/>
            </w:pPr>
            <w:r w:rsidDel="00000000" w:rsidR="00000000" w:rsidRPr="00000000">
              <w:rPr>
                <w:rtl w:val="0"/>
              </w:rPr>
              <w:t xml:space="preserve">(mean ± 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line="240" w:lineRule="auto"/>
              <w:jc w:val="left"/>
              <w:rPr/>
            </w:pPr>
            <w:r w:rsidDel="00000000" w:rsidR="00000000" w:rsidRPr="00000000">
              <w:rPr>
                <w:rtl w:val="0"/>
              </w:rPr>
              <w:t xml:space="preserve">Human: (74.6 ± 9.1)</w:t>
            </w:r>
          </w:p>
          <w:p w:rsidR="00000000" w:rsidDel="00000000" w:rsidP="00000000" w:rsidRDefault="00000000" w:rsidRPr="00000000" w14:paraId="0000016B">
            <w:pPr>
              <w:spacing w:line="240" w:lineRule="auto"/>
              <w:jc w:val="left"/>
              <w:rPr/>
            </w:pPr>
            <w:r w:rsidDel="00000000" w:rsidR="00000000" w:rsidRPr="00000000">
              <w:rPr>
                <w:rtl w:val="0"/>
              </w:rPr>
              <w:t xml:space="preserve">AI: (71.7 ± 7.1)</w:t>
            </w:r>
          </w:p>
          <w:p w:rsidR="00000000" w:rsidDel="00000000" w:rsidP="00000000" w:rsidRDefault="00000000" w:rsidRPr="00000000" w14:paraId="0000016C">
            <w:pPr>
              <w:spacing w:line="240" w:lineRule="auto"/>
              <w:jc w:val="left"/>
              <w:rPr/>
            </w:pPr>
            <w:r w:rsidDel="00000000" w:rsidR="00000000" w:rsidRPr="00000000">
              <w:rPr>
                <w:i w:val="1"/>
                <w:iCs w:val="1"/>
                <w:rtl w:val="0"/>
              </w:rPr>
              <w:t xml:space="preserve">p</w:t>
            </w:r>
            <w:r w:rsidDel="00000000" w:rsidR="00000000" w:rsidRPr="00000000">
              <w:rPr>
                <w:rtl w:val="0"/>
              </w:rPr>
              <w:t xml:space="preserve"> = 0.005; </w:t>
            </w:r>
            <w:r w:rsidDel="00000000" w:rsidR="00000000" w:rsidRPr="00000000">
              <w:rPr>
                <w:i w:val="1"/>
                <w:iCs w:val="1"/>
                <w:rtl w:val="0"/>
              </w:rPr>
              <w:t xml:space="preserve">d</w:t>
            </w:r>
            <w:r w:rsidDel="00000000" w:rsidR="00000000" w:rsidRPr="00000000">
              <w:rPr>
                <w:rtl w:val="0"/>
              </w:rPr>
              <w:t xml:space="preserve"> = 0.36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line="240" w:lineRule="auto"/>
              <w:jc w:val="left"/>
              <w:rPr/>
            </w:pPr>
            <w:r w:rsidDel="00000000" w:rsidR="00000000" w:rsidRPr="00000000">
              <w:rPr>
                <w:rtl w:val="0"/>
              </w:rPr>
              <w:t xml:space="preserve">Human: (73.4 ± 12.3)</w:t>
            </w:r>
          </w:p>
          <w:p w:rsidR="00000000" w:rsidDel="00000000" w:rsidP="00000000" w:rsidRDefault="00000000" w:rsidRPr="00000000" w14:paraId="0000016E">
            <w:pPr>
              <w:spacing w:line="240" w:lineRule="auto"/>
              <w:jc w:val="left"/>
              <w:rPr/>
            </w:pPr>
            <w:r w:rsidDel="00000000" w:rsidR="00000000" w:rsidRPr="00000000">
              <w:rPr>
                <w:rtl w:val="0"/>
              </w:rPr>
              <w:t xml:space="preserve">AI: (71.0 ± 9.0)</w:t>
            </w:r>
          </w:p>
          <w:p w:rsidR="00000000" w:rsidDel="00000000" w:rsidP="00000000" w:rsidRDefault="00000000" w:rsidRPr="00000000" w14:paraId="0000016F">
            <w:pPr>
              <w:spacing w:line="240" w:lineRule="auto"/>
              <w:jc w:val="left"/>
              <w:rPr/>
            </w:pPr>
            <w:r w:rsidDel="00000000" w:rsidR="00000000" w:rsidRPr="00000000">
              <w:rPr>
                <w:i w:val="1"/>
                <w:iCs w:val="1"/>
                <w:rtl w:val="0"/>
              </w:rPr>
              <w:t xml:space="preserve">p</w:t>
            </w:r>
            <w:r w:rsidDel="00000000" w:rsidR="00000000" w:rsidRPr="00000000">
              <w:rPr>
                <w:rtl w:val="0"/>
              </w:rPr>
              <w:t xml:space="preserve"> = 0.083; </w:t>
            </w:r>
            <w:r w:rsidDel="00000000" w:rsidR="00000000" w:rsidRPr="00000000">
              <w:rPr>
                <w:i w:val="1"/>
                <w:iCs w:val="1"/>
                <w:rtl w:val="0"/>
              </w:rPr>
              <w:t xml:space="preserve">d</w:t>
            </w:r>
            <w:r w:rsidDel="00000000" w:rsidR="00000000" w:rsidRPr="00000000">
              <w:rPr>
                <w:rtl w:val="0"/>
              </w:rPr>
              <w:t xml:space="preserve"> = 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line="240" w:lineRule="auto"/>
              <w:jc w:val="left"/>
              <w:rPr/>
            </w:pPr>
            <w:r w:rsidDel="00000000" w:rsidR="00000000" w:rsidRPr="00000000">
              <w:rPr>
                <w:rtl w:val="0"/>
              </w:rPr>
              <w:t xml:space="preserve">In the ITT analysis, performance differences were modest. Although the PP analysis reached statistical significance under adequate engagement, the effect size was small and the finding was attenuated to non-significant in ITT population</w:t>
            </w:r>
          </w:p>
        </w:tc>
      </w:tr>
      <w:tr>
        <w:trPr>
          <w:cantSplit w:val="0"/>
          <w:trHeight w:val="20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line="240" w:lineRule="auto"/>
              <w:jc w:val="left"/>
              <w:rPr/>
            </w:pPr>
            <w:r w:rsidDel="00000000" w:rsidR="00000000" w:rsidRPr="00000000">
              <w:rPr>
                <w:rtl w:val="0"/>
              </w:rPr>
              <w:t xml:space="preserve">Item DI (mean [95% bootstrap 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line="240" w:lineRule="auto"/>
              <w:jc w:val="left"/>
              <w:rPr/>
            </w:pPr>
            <w:r w:rsidDel="00000000" w:rsidR="00000000" w:rsidRPr="00000000">
              <w:rPr>
                <w:rtl w:val="0"/>
              </w:rPr>
              <w:t xml:space="preserve">Human: 0.21 [0.18–0.24]</w:t>
            </w:r>
          </w:p>
          <w:p w:rsidR="00000000" w:rsidDel="00000000" w:rsidP="00000000" w:rsidRDefault="00000000" w:rsidRPr="00000000" w14:paraId="00000173">
            <w:pPr>
              <w:spacing w:line="240" w:lineRule="auto"/>
              <w:jc w:val="left"/>
              <w:rPr/>
            </w:pPr>
            <w:r w:rsidDel="00000000" w:rsidR="00000000" w:rsidRPr="00000000">
              <w:rPr>
                <w:rtl w:val="0"/>
              </w:rPr>
              <w:t xml:space="preserve">AI: 0.17 [0.14–0.20]</w:t>
            </w:r>
          </w:p>
          <w:p w:rsidR="00000000" w:rsidDel="00000000" w:rsidP="00000000" w:rsidRDefault="00000000" w:rsidRPr="00000000" w14:paraId="00000174">
            <w:pPr>
              <w:spacing w:line="240" w:lineRule="auto"/>
              <w:jc w:val="left"/>
              <w:rPr/>
            </w:pPr>
            <w:r w:rsidDel="00000000" w:rsidR="00000000" w:rsidRPr="00000000">
              <w:rPr>
                <w:i w:val="1"/>
                <w:iCs w:val="1"/>
                <w:rtl w:val="0"/>
              </w:rPr>
              <w:t xml:space="preserve">p</w:t>
            </w:r>
            <w:r w:rsidDel="00000000" w:rsidR="00000000" w:rsidRPr="00000000">
              <w:rPr>
                <w:rtl w:val="0"/>
              </w:rPr>
              <w:t xml:space="preserve"> = 0.030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line="240" w:lineRule="auto"/>
              <w:jc w:val="left"/>
              <w:rPr/>
            </w:pPr>
            <w:r w:rsidDel="00000000" w:rsidR="00000000" w:rsidRPr="00000000">
              <w:rPr>
                <w:rtl w:val="0"/>
              </w:rPr>
              <w:t xml:space="preserve">Human: 0.25 [0.22–0.27]</w:t>
            </w:r>
          </w:p>
          <w:p w:rsidR="00000000" w:rsidDel="00000000" w:rsidP="00000000" w:rsidRDefault="00000000" w:rsidRPr="00000000" w14:paraId="00000176">
            <w:pPr>
              <w:spacing w:line="240" w:lineRule="auto"/>
              <w:jc w:val="left"/>
              <w:rPr/>
            </w:pPr>
            <w:r w:rsidDel="00000000" w:rsidR="00000000" w:rsidRPr="00000000">
              <w:rPr>
                <w:rtl w:val="0"/>
              </w:rPr>
              <w:t xml:space="preserve">AI: 0.19 [0.16–0.22]</w:t>
            </w:r>
          </w:p>
          <w:p w:rsidR="00000000" w:rsidDel="00000000" w:rsidP="00000000" w:rsidRDefault="00000000" w:rsidRPr="00000000" w14:paraId="00000177">
            <w:pPr>
              <w:spacing w:line="240" w:lineRule="auto"/>
              <w:jc w:val="left"/>
              <w:rPr/>
            </w:pPr>
            <w:r w:rsidDel="00000000" w:rsidR="00000000" w:rsidRPr="00000000">
              <w:rPr>
                <w:i w:val="1"/>
                <w:iCs w:val="1"/>
                <w:rtl w:val="0"/>
              </w:rPr>
              <w:t xml:space="preserve">p</w:t>
            </w:r>
            <w:r w:rsidDel="00000000" w:rsidR="00000000" w:rsidRPr="00000000">
              <w:rPr>
                <w:rtl w:val="0"/>
              </w:rPr>
              <w:t xml:space="preserve"> = 0.002;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0.310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line="240" w:lineRule="auto"/>
              <w:jc w:val="left"/>
              <w:rPr/>
            </w:pPr>
            <w:r w:rsidDel="00000000" w:rsidR="00000000" w:rsidRPr="00000000">
              <w:rPr>
                <w:rtl w:val="0"/>
              </w:rPr>
              <w:t xml:space="preserve">Human-gen items demonstrated higher discrimination in both analyses. Higher absolute DI values in ITT reflect mathematical inflation due to inclusion of minimally engaged participants widening score separation.</w:t>
            </w:r>
          </w:p>
        </w:tc>
      </w:tr>
      <w:tr>
        <w:trPr>
          <w:cantSplit w:val="0"/>
          <w:trHeight w:val="1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79">
            <w:pPr>
              <w:spacing w:line="240" w:lineRule="auto"/>
              <w:rPr/>
            </w:pPr>
            <w:r w:rsidDel="00000000" w:rsidR="00000000" w:rsidRPr="00000000">
              <w:rPr>
                <w:rtl w:val="0"/>
              </w:rPr>
              <w:t xml:space="preserve">Distractor Efficiency (mean ± 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spacing w:line="240" w:lineRule="auto"/>
              <w:rPr/>
            </w:pPr>
            <w:r w:rsidDel="00000000" w:rsidR="00000000" w:rsidRPr="00000000">
              <w:rPr>
                <w:rtl w:val="0"/>
              </w:rPr>
              <w:t xml:space="preserve">Human: 37.8% ± 29.9%</w:t>
            </w:r>
          </w:p>
          <w:p w:rsidR="00000000" w:rsidDel="00000000" w:rsidP="00000000" w:rsidRDefault="00000000" w:rsidRPr="00000000" w14:paraId="0000017B">
            <w:pPr>
              <w:spacing w:line="240" w:lineRule="auto"/>
              <w:rPr/>
            </w:pPr>
            <w:r w:rsidDel="00000000" w:rsidR="00000000" w:rsidRPr="00000000">
              <w:rPr>
                <w:rtl w:val="0"/>
              </w:rPr>
              <w:t xml:space="preserve">AI: 31.5% ± 27.0%</w:t>
            </w:r>
          </w:p>
          <w:p w:rsidR="00000000" w:rsidDel="00000000" w:rsidP="00000000" w:rsidRDefault="00000000" w:rsidRPr="00000000" w14:paraId="0000017C">
            <w:pPr>
              <w:spacing w:line="240" w:lineRule="auto"/>
              <w:rPr/>
            </w:pPr>
            <w:r w:rsidDel="00000000" w:rsidR="00000000" w:rsidRPr="00000000">
              <w:rPr>
                <w:i w:val="1"/>
                <w:iCs w:val="1"/>
                <w:rtl w:val="0"/>
              </w:rPr>
              <w:t xml:space="preserve">p</w:t>
            </w:r>
            <w:r w:rsidDel="00000000" w:rsidR="00000000" w:rsidRPr="00000000">
              <w:rPr>
                <w:rtl w:val="0"/>
              </w:rPr>
              <w:t xml:space="preserve"> = 0.123;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0.115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spacing w:line="240" w:lineRule="auto"/>
              <w:rPr/>
            </w:pPr>
            <w:r w:rsidDel="00000000" w:rsidR="00000000" w:rsidRPr="00000000">
              <w:rPr>
                <w:rtl w:val="0"/>
              </w:rPr>
              <w:t xml:space="preserve">Human: 39.8% ± 30.4%</w:t>
            </w:r>
          </w:p>
          <w:p w:rsidR="00000000" w:rsidDel="00000000" w:rsidP="00000000" w:rsidRDefault="00000000" w:rsidRPr="00000000" w14:paraId="0000017E">
            <w:pPr>
              <w:spacing w:line="240" w:lineRule="auto"/>
              <w:rPr/>
            </w:pPr>
            <w:r w:rsidDel="00000000" w:rsidR="00000000" w:rsidRPr="00000000">
              <w:rPr>
                <w:rtl w:val="0"/>
              </w:rPr>
              <w:t xml:space="preserve">AI: 32.6% ± 27.2%</w:t>
            </w:r>
          </w:p>
          <w:p w:rsidR="00000000" w:rsidDel="00000000" w:rsidP="00000000" w:rsidRDefault="00000000" w:rsidRPr="00000000" w14:paraId="0000017F">
            <w:pPr>
              <w:spacing w:line="240" w:lineRule="auto"/>
              <w:rPr/>
            </w:pPr>
            <w:r w:rsidDel="00000000" w:rsidR="00000000" w:rsidRPr="00000000">
              <w:rPr>
                <w:i w:val="1"/>
                <w:iCs w:val="1"/>
                <w:rtl w:val="0"/>
              </w:rPr>
              <w:t xml:space="preserve">p </w:t>
            </w:r>
            <w:r w:rsidDel="00000000" w:rsidR="00000000" w:rsidRPr="00000000">
              <w:rPr>
                <w:rtl w:val="0"/>
              </w:rPr>
              <w:t xml:space="preserve">= 0.070; </w:t>
            </w:r>
            <w:r w:rsidDel="00000000" w:rsidR="00000000" w:rsidRPr="00000000">
              <w:rPr>
                <w:i w:val="1"/>
                <w:iCs w:val="1"/>
                <w:rtl w:val="0"/>
              </w:rPr>
              <w:t xml:space="preserve">r</w:t>
            </w:r>
            <w:r w:rsidDel="00000000" w:rsidR="00000000" w:rsidRPr="00000000">
              <w:rPr>
                <w:i w:val="1"/>
                <w:iCs w:val="1"/>
                <w:vertAlign w:val="subscript"/>
                <w:rtl w:val="0"/>
              </w:rPr>
              <w:t xml:space="preserve">rb</w:t>
            </w:r>
            <w:r w:rsidDel="00000000" w:rsidR="00000000" w:rsidRPr="00000000">
              <w:rPr>
                <w:rtl w:val="0"/>
              </w:rPr>
              <w:t xml:space="preserve"> = 0.135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line="240" w:lineRule="auto"/>
              <w:jc w:val="left"/>
              <w:rPr/>
            </w:pPr>
            <w:r w:rsidDel="00000000" w:rsidR="00000000" w:rsidRPr="00000000">
              <w:rPr>
                <w:rtl w:val="0"/>
              </w:rPr>
              <w:t xml:space="preserve">No statistically significant difference in DE between protocols in either analytic population. Differences were small and CIs overlapped.</w:t>
            </w:r>
          </w:p>
        </w:tc>
      </w:tr>
    </w:tbl>
    <w:p w:rsidR="00000000" w:rsidDel="00000000" w:rsidP="00000000" w:rsidRDefault="00000000" w:rsidRPr="00000000" w14:paraId="00000181">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82">
      <w:pPr>
        <w:spacing w:line="240" w:lineRule="auto"/>
        <w:rPr>
          <w:sz w:val="22"/>
          <w:szCs w:val="22"/>
        </w:rPr>
      </w:pPr>
      <w:r w:rsidDel="00000000" w:rsidR="00000000" w:rsidRPr="00000000">
        <w:rPr>
          <w:b w:val="1"/>
          <w:bCs w:val="1"/>
          <w:sz w:val="22"/>
          <w:szCs w:val="22"/>
          <w:rtl w:val="0"/>
        </w:rPr>
        <w:t xml:space="preserve">Table S2. </w:t>
      </w:r>
      <w:r w:rsidDel="00000000" w:rsidR="00000000" w:rsidRPr="00000000">
        <w:rPr>
          <w:sz w:val="22"/>
          <w:szCs w:val="22"/>
          <w:rtl w:val="0"/>
        </w:rPr>
        <w:t xml:space="preserve">Summary statistics for the primary outcomes are presented for both analytic populations (ITT versus PP). Exam performance is reported as mean score (±SD) for AI- and human-gen exams with corresponding </w:t>
      </w:r>
      <w:r w:rsidDel="00000000" w:rsidR="00000000" w:rsidRPr="00000000">
        <w:rPr>
          <w:i w:val="1"/>
          <w:iCs w:val="1"/>
          <w:sz w:val="22"/>
          <w:szCs w:val="22"/>
          <w:rtl w:val="0"/>
        </w:rPr>
        <w:t xml:space="preserve">p</w:t>
      </w:r>
      <w:r w:rsidDel="00000000" w:rsidR="00000000" w:rsidRPr="00000000">
        <w:rPr>
          <w:sz w:val="22"/>
          <w:szCs w:val="22"/>
          <w:rtl w:val="0"/>
        </w:rPr>
        <w:t xml:space="preserve">-values and Cohen’s </w:t>
      </w:r>
      <w:r w:rsidDel="00000000" w:rsidR="00000000" w:rsidRPr="00000000">
        <w:rPr>
          <w:i w:val="1"/>
          <w:iCs w:val="1"/>
          <w:sz w:val="22"/>
          <w:szCs w:val="22"/>
          <w:rtl w:val="0"/>
        </w:rPr>
        <w:t xml:space="preserve">d</w:t>
      </w:r>
      <w:r w:rsidDel="00000000" w:rsidR="00000000" w:rsidRPr="00000000">
        <w:rPr>
          <w:sz w:val="22"/>
          <w:szCs w:val="22"/>
          <w:rtl w:val="0"/>
        </w:rPr>
        <w:t xml:space="preserve">. Item discrimination index (DI) values are reported as means with 95% bootstrap confidence intervals, and distractor efficiency (DE) is reported as mean ± SD.</w:t>
      </w:r>
      <w:r w:rsidDel="00000000" w:rsidR="00000000" w:rsidRPr="00000000">
        <w:br w:type="page"/>
      </w:r>
      <w:r w:rsidDel="00000000" w:rsidR="00000000" w:rsidRPr="00000000">
        <w:rPr>
          <w:rtl w:val="0"/>
        </w:rPr>
      </w:r>
    </w:p>
    <w:p w:rsidR="00000000" w:rsidDel="00000000" w:rsidP="00000000" w:rsidRDefault="00000000" w:rsidRPr="00000000" w14:paraId="00000183">
      <w:pPr>
        <w:pStyle w:val="Heading3"/>
        <w:rPr/>
      </w:pPr>
      <w:bookmarkStart w:colFirst="0" w:colLast="0" w:name="_heading=h.cjib5bdj40g6" w:id="52"/>
      <w:bookmarkEnd w:id="52"/>
      <w:r w:rsidDel="00000000" w:rsidR="00000000" w:rsidRPr="00000000">
        <w:rPr>
          <w:rtl w:val="0"/>
        </w:rPr>
        <w:t xml:space="preserve">Table S3. Comparison of acceptability domains between PP and ITT analyses</w:t>
      </w:r>
    </w:p>
    <w:tbl>
      <w:tblPr>
        <w:tblStyle w:val="Table3"/>
        <w:tblW w:w="10344.0" w:type="dxa"/>
        <w:jc w:val="center"/>
        <w:tblLayout w:type="fixed"/>
        <w:tblLook w:val="0600"/>
      </w:tblPr>
      <w:tblGrid>
        <w:gridCol w:w="2145"/>
        <w:gridCol w:w="2145"/>
        <w:gridCol w:w="870"/>
        <w:gridCol w:w="1125"/>
        <w:gridCol w:w="2070"/>
        <w:gridCol w:w="869"/>
        <w:gridCol w:w="1120"/>
        <w:tblGridChange w:id="0">
          <w:tblGrid>
            <w:gridCol w:w="2145"/>
            <w:gridCol w:w="2145"/>
            <w:gridCol w:w="870"/>
            <w:gridCol w:w="1125"/>
            <w:gridCol w:w="2070"/>
            <w:gridCol w:w="869"/>
            <w:gridCol w:w="1120"/>
          </w:tblGrid>
        </w:tblGridChange>
      </w:tblGrid>
      <w:tr>
        <w:trPr>
          <w:cantSplit w:val="0"/>
          <w:trHeight w:val="431" w:hRule="atLeast"/>
          <w:tblHeader w:val="1"/>
        </w:trPr>
        <w:tc>
          <w:tcPr>
            <w:vMerge w:val="restart"/>
            <w:tcBorders>
              <w:top w:color="000000" w:space="0" w:sz="4" w:val="single"/>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84">
            <w:pPr>
              <w:spacing w:line="240" w:lineRule="auto"/>
              <w:jc w:val="left"/>
              <w:rPr>
                <w:sz w:val="22"/>
                <w:szCs w:val="22"/>
              </w:rPr>
            </w:pPr>
            <w:r w:rsidDel="00000000" w:rsidR="00000000" w:rsidRPr="00000000">
              <w:rPr>
                <w:sz w:val="22"/>
                <w:szCs w:val="22"/>
                <w:rtl w:val="0"/>
              </w:rPr>
              <w:t xml:space="preserve">Acceptability metric</w:t>
            </w:r>
          </w:p>
        </w:tc>
        <w:tc>
          <w:tcPr>
            <w:gridSpan w:val="3"/>
            <w:tcBorders>
              <w:top w:color="000000" w:space="0" w:sz="4"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85">
            <w:pPr>
              <w:spacing w:line="240" w:lineRule="auto"/>
              <w:jc w:val="center"/>
              <w:rPr>
                <w:sz w:val="22"/>
                <w:szCs w:val="22"/>
              </w:rPr>
            </w:pPr>
            <w:r w:rsidDel="00000000" w:rsidR="00000000" w:rsidRPr="00000000">
              <w:rPr>
                <w:sz w:val="22"/>
                <w:szCs w:val="22"/>
                <w:rtl w:val="0"/>
              </w:rPr>
              <w:t xml:space="preserve">PP Analysis</w:t>
            </w:r>
          </w:p>
        </w:tc>
        <w:tc>
          <w:tcPr>
            <w:gridSpan w:val="3"/>
            <w:tcBorders>
              <w:top w:color="000000" w:space="0" w:sz="4"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88">
            <w:pPr>
              <w:spacing w:line="240" w:lineRule="auto"/>
              <w:jc w:val="center"/>
              <w:rPr>
                <w:sz w:val="22"/>
                <w:szCs w:val="22"/>
              </w:rPr>
            </w:pPr>
            <w:r w:rsidDel="00000000" w:rsidR="00000000" w:rsidRPr="00000000">
              <w:rPr>
                <w:sz w:val="22"/>
                <w:szCs w:val="22"/>
                <w:rtl w:val="0"/>
              </w:rPr>
              <w:t xml:space="preserve">ITT Analysis</w:t>
            </w:r>
          </w:p>
        </w:tc>
      </w:tr>
      <w:tr>
        <w:trPr>
          <w:cantSplit w:val="0"/>
          <w:trHeight w:val="1085" w:hRule="atLeast"/>
          <w:tblHeader w:val="1"/>
        </w:trPr>
        <w:tc>
          <w:tcPr>
            <w:vMerge w:val="continue"/>
            <w:tcBorders>
              <w:top w:color="000000" w:space="0" w:sz="4" w:val="single"/>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8" w:val="single"/>
              <w:left w:color="000000" w:space="0" w:sz="4" w:val="single"/>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8C">
            <w:pPr>
              <w:spacing w:line="240" w:lineRule="auto"/>
              <w:jc w:val="center"/>
              <w:rPr>
                <w:sz w:val="22"/>
                <w:szCs w:val="22"/>
              </w:rPr>
            </w:pPr>
            <w:sdt>
              <w:sdtPr>
                <w:id w:val="565023131"/>
                <w:tag w:val="goog_rdk_3"/>
              </w:sdtPr>
              <w:sdtContent>
                <w:r w:rsidDel="00000000" w:rsidR="00000000" w:rsidRPr="00000000">
                  <w:rPr>
                    <w:rFonts w:ascii="Gungsuh" w:cs="Gungsuh" w:eastAsia="Gungsuh" w:hAnsi="Gungsuh"/>
                    <w:sz w:val="22"/>
                    <w:szCs w:val="22"/>
                    <w:rtl w:val="0"/>
                  </w:rPr>
                  <w:t xml:space="preserve">Mean difference (Human − AI)</w:t>
                </w:r>
              </w:sdtContent>
            </w:sdt>
          </w:p>
          <w:p w:rsidR="00000000" w:rsidDel="00000000" w:rsidP="00000000" w:rsidRDefault="00000000" w:rsidRPr="00000000" w14:paraId="0000018D">
            <w:pPr>
              <w:spacing w:line="240" w:lineRule="auto"/>
              <w:jc w:val="center"/>
              <w:rPr>
                <w:sz w:val="22"/>
                <w:szCs w:val="22"/>
              </w:rPr>
            </w:pPr>
            <w:r w:rsidDel="00000000" w:rsidR="00000000" w:rsidRPr="00000000">
              <w:rPr>
                <w:sz w:val="22"/>
                <w:szCs w:val="22"/>
                <w:rtl w:val="0"/>
              </w:rPr>
              <w:t xml:space="preserve">[95% CI]</w:t>
            </w:r>
          </w:p>
        </w:tc>
        <w:tc>
          <w:tcPr>
            <w:tcBorders>
              <w:top w:color="000000" w:space="0" w:sz="8" w:val="single"/>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8E">
            <w:pPr>
              <w:spacing w:line="240" w:lineRule="auto"/>
              <w:jc w:val="center"/>
              <w:rPr>
                <w:sz w:val="22"/>
                <w:szCs w:val="22"/>
              </w:rPr>
            </w:pPr>
            <w:r w:rsidDel="00000000" w:rsidR="00000000" w:rsidRPr="00000000">
              <w:rPr>
                <w:i w:val="1"/>
                <w:iCs w:val="1"/>
                <w:sz w:val="22"/>
                <w:szCs w:val="22"/>
                <w:rtl w:val="0"/>
              </w:rPr>
              <w:t xml:space="preserve">p</w:t>
            </w:r>
            <w:r w:rsidDel="00000000" w:rsidR="00000000" w:rsidRPr="00000000">
              <w:rPr>
                <w:sz w:val="22"/>
                <w:szCs w:val="22"/>
                <w:rtl w:val="0"/>
              </w:rPr>
              <w:t xml:space="preserve"> value</w:t>
            </w:r>
          </w:p>
        </w:tc>
        <w:tc>
          <w:tcPr>
            <w:tcBorders>
              <w:top w:color="000000" w:space="0" w:sz="8"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8F">
            <w:pPr>
              <w:spacing w:line="240" w:lineRule="auto"/>
              <w:jc w:val="center"/>
              <w:rPr>
                <w:i w:val="1"/>
                <w:iCs w:val="1"/>
                <w:sz w:val="22"/>
                <w:szCs w:val="22"/>
              </w:rPr>
            </w:pPr>
            <w:r w:rsidDel="00000000" w:rsidR="00000000" w:rsidRPr="00000000">
              <w:rPr>
                <w:sz w:val="22"/>
                <w:szCs w:val="22"/>
                <w:rtl w:val="0"/>
              </w:rPr>
              <w:t xml:space="preserve">Cohen’s </w:t>
            </w:r>
            <w:r w:rsidDel="00000000" w:rsidR="00000000" w:rsidRPr="00000000">
              <w:rPr>
                <w:i w:val="1"/>
                <w:iCs w:val="1"/>
                <w:sz w:val="22"/>
                <w:szCs w:val="22"/>
                <w:rtl w:val="0"/>
              </w:rPr>
              <w:t xml:space="preserve">d</w:t>
            </w:r>
          </w:p>
        </w:tc>
        <w:tc>
          <w:tcPr>
            <w:tcBorders>
              <w:top w:color="000000" w:space="0" w:sz="8" w:val="single"/>
              <w:left w:color="000000" w:space="0" w:sz="4" w:val="single"/>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0">
            <w:pPr>
              <w:spacing w:line="240" w:lineRule="auto"/>
              <w:jc w:val="center"/>
              <w:rPr>
                <w:sz w:val="22"/>
                <w:szCs w:val="22"/>
              </w:rPr>
            </w:pPr>
            <w:sdt>
              <w:sdtPr>
                <w:id w:val="1193663158"/>
                <w:tag w:val="goog_rdk_4"/>
              </w:sdtPr>
              <w:sdtContent>
                <w:r w:rsidDel="00000000" w:rsidR="00000000" w:rsidRPr="00000000">
                  <w:rPr>
                    <w:rFonts w:ascii="Gungsuh" w:cs="Gungsuh" w:eastAsia="Gungsuh" w:hAnsi="Gungsuh"/>
                    <w:sz w:val="22"/>
                    <w:szCs w:val="22"/>
                    <w:rtl w:val="0"/>
                  </w:rPr>
                  <w:t xml:space="preserve">Mean difference (Human − AI)</w:t>
                </w:r>
              </w:sdtContent>
            </w:sdt>
          </w:p>
          <w:p w:rsidR="00000000" w:rsidDel="00000000" w:rsidP="00000000" w:rsidRDefault="00000000" w:rsidRPr="00000000" w14:paraId="00000191">
            <w:pPr>
              <w:spacing w:line="240" w:lineRule="auto"/>
              <w:jc w:val="center"/>
              <w:rPr>
                <w:sz w:val="22"/>
                <w:szCs w:val="22"/>
              </w:rPr>
            </w:pPr>
            <w:r w:rsidDel="00000000" w:rsidR="00000000" w:rsidRPr="00000000">
              <w:rPr>
                <w:sz w:val="22"/>
                <w:szCs w:val="22"/>
                <w:rtl w:val="0"/>
              </w:rPr>
              <w:t xml:space="preserve">[95% CI]</w:t>
            </w:r>
          </w:p>
        </w:tc>
        <w:tc>
          <w:tcPr>
            <w:tcBorders>
              <w:top w:color="000000" w:space="0" w:sz="8" w:val="single"/>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2">
            <w:pPr>
              <w:spacing w:line="240" w:lineRule="auto"/>
              <w:jc w:val="center"/>
              <w:rPr>
                <w:sz w:val="22"/>
                <w:szCs w:val="22"/>
              </w:rPr>
            </w:pPr>
            <w:r w:rsidDel="00000000" w:rsidR="00000000" w:rsidRPr="00000000">
              <w:rPr>
                <w:i w:val="1"/>
                <w:iCs w:val="1"/>
                <w:sz w:val="22"/>
                <w:szCs w:val="22"/>
                <w:rtl w:val="0"/>
              </w:rPr>
              <w:t xml:space="preserve">p </w:t>
            </w:r>
            <w:r w:rsidDel="00000000" w:rsidR="00000000" w:rsidRPr="00000000">
              <w:rPr>
                <w:sz w:val="22"/>
                <w:szCs w:val="22"/>
                <w:rtl w:val="0"/>
              </w:rPr>
              <w:t xml:space="preserve">value</w:t>
            </w:r>
          </w:p>
        </w:tc>
        <w:tc>
          <w:tcPr>
            <w:tcBorders>
              <w:top w:color="000000" w:space="0" w:sz="8"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3">
            <w:pPr>
              <w:spacing w:line="240" w:lineRule="auto"/>
              <w:jc w:val="center"/>
              <w:rPr>
                <w:i w:val="1"/>
                <w:iCs w:val="1"/>
                <w:sz w:val="22"/>
                <w:szCs w:val="22"/>
              </w:rPr>
            </w:pPr>
            <w:r w:rsidDel="00000000" w:rsidR="00000000" w:rsidRPr="00000000">
              <w:rPr>
                <w:sz w:val="22"/>
                <w:szCs w:val="22"/>
                <w:rtl w:val="0"/>
              </w:rPr>
              <w:t xml:space="preserve">Cohen’s </w:t>
            </w:r>
            <w:r w:rsidDel="00000000" w:rsidR="00000000" w:rsidRPr="00000000">
              <w:rPr>
                <w:i w:val="1"/>
                <w:iCs w:val="1"/>
                <w:sz w:val="22"/>
                <w:szCs w:val="22"/>
                <w:rtl w:val="0"/>
              </w:rPr>
              <w:t xml:space="preserve">d</w:t>
            </w:r>
          </w:p>
        </w:tc>
      </w:tr>
      <w:tr>
        <w:trPr>
          <w:cantSplit w:val="0"/>
          <w:trHeight w:val="720" w:hRule="atLeast"/>
          <w:tblHeader w:val="1"/>
        </w:trPr>
        <w:tc>
          <w:tcPr>
            <w:tcBorders>
              <w:top w:color="000000" w:space="0" w:sz="4" w:val="single"/>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4">
            <w:pPr>
              <w:spacing w:line="240" w:lineRule="auto"/>
              <w:jc w:val="left"/>
              <w:rPr>
                <w:sz w:val="22"/>
                <w:szCs w:val="22"/>
              </w:rPr>
            </w:pPr>
            <w:r w:rsidDel="00000000" w:rsidR="00000000" w:rsidRPr="00000000">
              <w:rPr>
                <w:sz w:val="22"/>
                <w:szCs w:val="22"/>
                <w:rtl w:val="0"/>
              </w:rPr>
              <w:t xml:space="preserve">Clarity of questions</w:t>
            </w:r>
          </w:p>
        </w:tc>
        <w:tc>
          <w:tcPr>
            <w:tcBorders>
              <w:top w:color="000000" w:space="0" w:sz="4" w:val="single"/>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5">
            <w:pPr>
              <w:spacing w:line="240" w:lineRule="auto"/>
              <w:jc w:val="center"/>
              <w:rPr>
                <w:sz w:val="22"/>
                <w:szCs w:val="22"/>
              </w:rPr>
            </w:pPr>
            <w:sdt>
              <w:sdtPr>
                <w:id w:val="-222020401"/>
                <w:tag w:val="goog_rdk_5"/>
              </w:sdtPr>
              <w:sdtContent>
                <w:r w:rsidDel="00000000" w:rsidR="00000000" w:rsidRPr="00000000">
                  <w:rPr>
                    <w:rFonts w:ascii="Gungsuh" w:cs="Gungsuh" w:eastAsia="Gungsuh" w:hAnsi="Gungsuh"/>
                    <w:sz w:val="22"/>
                    <w:szCs w:val="22"/>
                    <w:rtl w:val="0"/>
                  </w:rPr>
                  <w:t xml:space="preserve">−0.05 [−0.57, 0.47]</w:t>
                </w:r>
              </w:sdtContent>
            </w:sdt>
          </w:p>
        </w:tc>
        <w:tc>
          <w:tcPr>
            <w:tcBorders>
              <w:top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6">
            <w:pPr>
              <w:spacing w:line="240" w:lineRule="auto"/>
              <w:jc w:val="center"/>
              <w:rPr>
                <w:sz w:val="22"/>
                <w:szCs w:val="22"/>
              </w:rPr>
            </w:pPr>
            <w:r w:rsidDel="00000000" w:rsidR="00000000" w:rsidRPr="00000000">
              <w:rPr>
                <w:sz w:val="22"/>
                <w:szCs w:val="22"/>
                <w:rtl w:val="0"/>
              </w:rPr>
              <w:t xml:space="preserve">0.86</w:t>
            </w:r>
          </w:p>
        </w:tc>
        <w:tc>
          <w:tcPr>
            <w:tcBorders>
              <w:top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7">
            <w:pPr>
              <w:spacing w:line="240" w:lineRule="auto"/>
              <w:jc w:val="center"/>
              <w:rPr>
                <w:sz w:val="22"/>
                <w:szCs w:val="22"/>
              </w:rPr>
            </w:pPr>
            <w:sdt>
              <w:sdtPr>
                <w:id w:val="1434515914"/>
                <w:tag w:val="goog_rdk_6"/>
              </w:sdtPr>
              <w:sdtContent>
                <w:r w:rsidDel="00000000" w:rsidR="00000000" w:rsidRPr="00000000">
                  <w:rPr>
                    <w:rFonts w:ascii="Gungsuh" w:cs="Gungsuh" w:eastAsia="Gungsuh" w:hAnsi="Gungsuh"/>
                    <w:sz w:val="22"/>
                    <w:szCs w:val="22"/>
                    <w:rtl w:val="0"/>
                  </w:rPr>
                  <w:t xml:space="preserve">−0.02</w:t>
                </w:r>
              </w:sdtContent>
            </w:sdt>
          </w:p>
        </w:tc>
        <w:tc>
          <w:tcPr>
            <w:tcBorders>
              <w:top w:color="000000" w:space="0" w:sz="4" w:val="single"/>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8">
            <w:pPr>
              <w:spacing w:line="240" w:lineRule="auto"/>
              <w:jc w:val="center"/>
              <w:rPr>
                <w:sz w:val="22"/>
                <w:szCs w:val="22"/>
              </w:rPr>
            </w:pPr>
            <w:sdt>
              <w:sdtPr>
                <w:id w:val="-949435615"/>
                <w:tag w:val="goog_rdk_7"/>
              </w:sdtPr>
              <w:sdtContent>
                <w:r w:rsidDel="00000000" w:rsidR="00000000" w:rsidRPr="00000000">
                  <w:rPr>
                    <w:rFonts w:ascii="Gungsuh" w:cs="Gungsuh" w:eastAsia="Gungsuh" w:hAnsi="Gungsuh"/>
                    <w:sz w:val="22"/>
                    <w:szCs w:val="22"/>
                    <w:rtl w:val="0"/>
                  </w:rPr>
                  <w:t xml:space="preserve">−0.09 [−0.60, 0.43]</w:t>
                </w:r>
              </w:sdtContent>
            </w:sdt>
          </w:p>
        </w:tc>
        <w:tc>
          <w:tcPr>
            <w:tcBorders>
              <w:top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9">
            <w:pPr>
              <w:spacing w:line="240" w:lineRule="auto"/>
              <w:jc w:val="center"/>
              <w:rPr>
                <w:sz w:val="22"/>
                <w:szCs w:val="22"/>
              </w:rPr>
            </w:pPr>
            <w:r w:rsidDel="00000000" w:rsidR="00000000" w:rsidRPr="00000000">
              <w:rPr>
                <w:sz w:val="22"/>
                <w:szCs w:val="22"/>
                <w:rtl w:val="0"/>
              </w:rPr>
              <w:t xml:space="preserve">0.74</w:t>
            </w:r>
          </w:p>
        </w:tc>
        <w:tc>
          <w:tcPr>
            <w:tcBorders>
              <w:top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A">
            <w:pPr>
              <w:spacing w:line="240" w:lineRule="auto"/>
              <w:jc w:val="center"/>
              <w:rPr>
                <w:sz w:val="22"/>
                <w:szCs w:val="22"/>
              </w:rPr>
            </w:pPr>
            <w:sdt>
              <w:sdtPr>
                <w:id w:val="-1114088613"/>
                <w:tag w:val="goog_rdk_8"/>
              </w:sdtPr>
              <w:sdtContent>
                <w:r w:rsidDel="00000000" w:rsidR="00000000" w:rsidRPr="00000000">
                  <w:rPr>
                    <w:rFonts w:ascii="Gungsuh" w:cs="Gungsuh" w:eastAsia="Gungsuh" w:hAnsi="Gungsuh"/>
                    <w:sz w:val="22"/>
                    <w:szCs w:val="22"/>
                    <w:rtl w:val="0"/>
                  </w:rPr>
                  <w:t xml:space="preserve">−0.04</w:t>
                </w:r>
              </w:sdtContent>
            </w:sdt>
          </w:p>
        </w:tc>
      </w:tr>
      <w:tr>
        <w:trPr>
          <w:cantSplit w:val="0"/>
          <w:trHeight w:val="720" w:hRule="atLeast"/>
          <w:tblHeader w:val="1"/>
        </w:trPr>
        <w:tc>
          <w:tcPr>
            <w:tcBorders>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B">
            <w:pPr>
              <w:spacing w:line="240" w:lineRule="auto"/>
              <w:jc w:val="left"/>
              <w:rPr>
                <w:sz w:val="22"/>
                <w:szCs w:val="22"/>
              </w:rPr>
            </w:pPr>
            <w:r w:rsidDel="00000000" w:rsidR="00000000" w:rsidRPr="00000000">
              <w:rPr>
                <w:sz w:val="22"/>
                <w:szCs w:val="22"/>
                <w:rtl w:val="0"/>
              </w:rPr>
              <w:t xml:space="preserve">Enough time to complete exam</w:t>
            </w:r>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C">
            <w:pPr>
              <w:spacing w:line="240" w:lineRule="auto"/>
              <w:jc w:val="center"/>
              <w:rPr>
                <w:sz w:val="22"/>
                <w:szCs w:val="22"/>
              </w:rPr>
            </w:pPr>
            <w:sdt>
              <w:sdtPr>
                <w:id w:val="-733612769"/>
                <w:tag w:val="goog_rdk_9"/>
              </w:sdtPr>
              <w:sdtContent>
                <w:r w:rsidDel="00000000" w:rsidR="00000000" w:rsidRPr="00000000">
                  <w:rPr>
                    <w:rFonts w:ascii="Gungsuh" w:cs="Gungsuh" w:eastAsia="Gungsuh" w:hAnsi="Gungsuh"/>
                    <w:sz w:val="22"/>
                    <w:szCs w:val="22"/>
                    <w:rtl w:val="0"/>
                  </w:rPr>
                  <w:t xml:space="preserve">−0.30 [−0.77, 0.16]</w:t>
                </w:r>
              </w:sdtContent>
            </w:sdt>
          </w:p>
        </w:tc>
        <w:tc>
          <w:tcPr>
            <w:tcMar>
              <w:top w:w="100.0" w:type="dxa"/>
              <w:left w:w="100.0" w:type="dxa"/>
              <w:bottom w:w="100.0" w:type="dxa"/>
              <w:right w:w="100.0" w:type="dxa"/>
            </w:tcMar>
            <w:vAlign w:val="center"/>
          </w:tcPr>
          <w:p w:rsidR="00000000" w:rsidDel="00000000" w:rsidP="00000000" w:rsidRDefault="00000000" w:rsidRPr="00000000" w14:paraId="0000019D">
            <w:pPr>
              <w:spacing w:line="240" w:lineRule="auto"/>
              <w:jc w:val="center"/>
              <w:rPr>
                <w:sz w:val="22"/>
                <w:szCs w:val="22"/>
              </w:rPr>
            </w:pPr>
            <w:r w:rsidDel="00000000" w:rsidR="00000000" w:rsidRPr="00000000">
              <w:rPr>
                <w:sz w:val="22"/>
                <w:szCs w:val="22"/>
                <w:rtl w:val="0"/>
              </w:rPr>
              <w:t xml:space="preserve">0.20</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E">
            <w:pPr>
              <w:spacing w:line="240" w:lineRule="auto"/>
              <w:jc w:val="center"/>
              <w:rPr>
                <w:sz w:val="22"/>
                <w:szCs w:val="22"/>
              </w:rPr>
            </w:pPr>
            <w:sdt>
              <w:sdtPr>
                <w:id w:val="-615770982"/>
                <w:tag w:val="goog_rdk_10"/>
              </w:sdtPr>
              <w:sdtContent>
                <w:r w:rsidDel="00000000" w:rsidR="00000000" w:rsidRPr="00000000">
                  <w:rPr>
                    <w:rFonts w:ascii="Gungsuh" w:cs="Gungsuh" w:eastAsia="Gungsuh" w:hAnsi="Gungsuh"/>
                    <w:sz w:val="22"/>
                    <w:szCs w:val="22"/>
                    <w:rtl w:val="0"/>
                  </w:rPr>
                  <w:t xml:space="preserve">−0.16</w:t>
                </w:r>
              </w:sdtContent>
            </w:sdt>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9F">
            <w:pPr>
              <w:spacing w:line="240" w:lineRule="auto"/>
              <w:jc w:val="center"/>
              <w:rPr>
                <w:sz w:val="22"/>
                <w:szCs w:val="22"/>
              </w:rPr>
            </w:pPr>
            <w:sdt>
              <w:sdtPr>
                <w:id w:val="-1219115443"/>
                <w:tag w:val="goog_rdk_11"/>
              </w:sdtPr>
              <w:sdtContent>
                <w:r w:rsidDel="00000000" w:rsidR="00000000" w:rsidRPr="00000000">
                  <w:rPr>
                    <w:rFonts w:ascii="Gungsuh" w:cs="Gungsuh" w:eastAsia="Gungsuh" w:hAnsi="Gungsuh"/>
                    <w:sz w:val="22"/>
                    <w:szCs w:val="22"/>
                    <w:rtl w:val="0"/>
                  </w:rPr>
                  <w:t xml:space="preserve">−0.28 [−0.76, 0.21]</w:t>
                </w:r>
              </w:sdtContent>
            </w:sdt>
          </w:p>
        </w:tc>
        <w:tc>
          <w:tcPr>
            <w:tcMar>
              <w:top w:w="100.0" w:type="dxa"/>
              <w:left w:w="100.0" w:type="dxa"/>
              <w:bottom w:w="100.0" w:type="dxa"/>
              <w:right w:w="100.0" w:type="dxa"/>
            </w:tcMar>
            <w:vAlign w:val="center"/>
          </w:tcPr>
          <w:p w:rsidR="00000000" w:rsidDel="00000000" w:rsidP="00000000" w:rsidRDefault="00000000" w:rsidRPr="00000000" w14:paraId="000001A0">
            <w:pPr>
              <w:spacing w:line="240" w:lineRule="auto"/>
              <w:jc w:val="center"/>
              <w:rPr>
                <w:sz w:val="22"/>
                <w:szCs w:val="22"/>
              </w:rPr>
            </w:pPr>
            <w:r w:rsidDel="00000000" w:rsidR="00000000" w:rsidRPr="00000000">
              <w:rPr>
                <w:sz w:val="22"/>
                <w:szCs w:val="22"/>
                <w:rtl w:val="0"/>
              </w:rPr>
              <w:t xml:space="preserve">0.26</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1">
            <w:pPr>
              <w:spacing w:line="240" w:lineRule="auto"/>
              <w:jc w:val="center"/>
              <w:rPr>
                <w:sz w:val="22"/>
                <w:szCs w:val="22"/>
              </w:rPr>
            </w:pPr>
            <w:sdt>
              <w:sdtPr>
                <w:id w:val="-1680376375"/>
                <w:tag w:val="goog_rdk_12"/>
              </w:sdtPr>
              <w:sdtContent>
                <w:r w:rsidDel="00000000" w:rsidR="00000000" w:rsidRPr="00000000">
                  <w:rPr>
                    <w:rFonts w:ascii="Gungsuh" w:cs="Gungsuh" w:eastAsia="Gungsuh" w:hAnsi="Gungsuh"/>
                    <w:sz w:val="22"/>
                    <w:szCs w:val="22"/>
                    <w:rtl w:val="0"/>
                  </w:rPr>
                  <w:t xml:space="preserve">−0.14</w:t>
                </w:r>
              </w:sdtContent>
            </w:sdt>
          </w:p>
        </w:tc>
      </w:tr>
      <w:tr>
        <w:trPr>
          <w:cantSplit w:val="0"/>
          <w:trHeight w:val="720" w:hRule="atLeast"/>
          <w:tblHeader w:val="1"/>
        </w:trPr>
        <w:tc>
          <w:tcPr>
            <w:tcBorders>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2">
            <w:pPr>
              <w:spacing w:line="240" w:lineRule="auto"/>
              <w:jc w:val="left"/>
              <w:rPr>
                <w:sz w:val="22"/>
                <w:szCs w:val="22"/>
              </w:rPr>
            </w:pPr>
            <w:r w:rsidDel="00000000" w:rsidR="00000000" w:rsidRPr="00000000">
              <w:rPr>
                <w:sz w:val="22"/>
                <w:szCs w:val="22"/>
                <w:rtl w:val="0"/>
              </w:rPr>
              <w:t xml:space="preserve">General preparedness for real exam</w:t>
            </w:r>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3">
            <w:pPr>
              <w:spacing w:line="240" w:lineRule="auto"/>
              <w:jc w:val="center"/>
              <w:rPr>
                <w:sz w:val="22"/>
                <w:szCs w:val="22"/>
              </w:rPr>
            </w:pPr>
            <w:sdt>
              <w:sdtPr>
                <w:id w:val="-201816696"/>
                <w:tag w:val="goog_rdk_13"/>
              </w:sdtPr>
              <w:sdtContent>
                <w:r w:rsidDel="00000000" w:rsidR="00000000" w:rsidRPr="00000000">
                  <w:rPr>
                    <w:rFonts w:ascii="Gungsuh" w:cs="Gungsuh" w:eastAsia="Gungsuh" w:hAnsi="Gungsuh"/>
                    <w:sz w:val="22"/>
                    <w:szCs w:val="22"/>
                    <w:rtl w:val="0"/>
                  </w:rPr>
                  <w:t xml:space="preserve">−0.42 [−0.83, −0.01]</w:t>
                </w:r>
              </w:sdtContent>
            </w:sdt>
          </w:p>
        </w:tc>
        <w:tc>
          <w:tcPr>
            <w:tcMar>
              <w:top w:w="100.0" w:type="dxa"/>
              <w:left w:w="100.0" w:type="dxa"/>
              <w:bottom w:w="100.0" w:type="dxa"/>
              <w:right w:w="100.0" w:type="dxa"/>
            </w:tcMar>
            <w:vAlign w:val="center"/>
          </w:tcPr>
          <w:p w:rsidR="00000000" w:rsidDel="00000000" w:rsidP="00000000" w:rsidRDefault="00000000" w:rsidRPr="00000000" w14:paraId="000001A4">
            <w:pPr>
              <w:spacing w:line="240" w:lineRule="auto"/>
              <w:jc w:val="center"/>
              <w:rPr>
                <w:sz w:val="22"/>
                <w:szCs w:val="22"/>
              </w:rPr>
            </w:pPr>
            <w:r w:rsidDel="00000000" w:rsidR="00000000" w:rsidRPr="00000000">
              <w:rPr>
                <w:sz w:val="22"/>
                <w:szCs w:val="22"/>
                <w:rtl w:val="0"/>
              </w:rPr>
              <w:t xml:space="preserve">0.04</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5">
            <w:pPr>
              <w:spacing w:line="240" w:lineRule="auto"/>
              <w:jc w:val="center"/>
              <w:rPr>
                <w:sz w:val="22"/>
                <w:szCs w:val="22"/>
              </w:rPr>
            </w:pPr>
            <w:sdt>
              <w:sdtPr>
                <w:id w:val="1025937184"/>
                <w:tag w:val="goog_rdk_14"/>
              </w:sdtPr>
              <w:sdtContent>
                <w:r w:rsidDel="00000000" w:rsidR="00000000" w:rsidRPr="00000000">
                  <w:rPr>
                    <w:rFonts w:ascii="Gungsuh" w:cs="Gungsuh" w:eastAsia="Gungsuh" w:hAnsi="Gungsuh"/>
                    <w:sz w:val="22"/>
                    <w:szCs w:val="22"/>
                    <w:rtl w:val="0"/>
                  </w:rPr>
                  <w:t xml:space="preserve">−0.26</w:t>
                </w:r>
              </w:sdtContent>
            </w:sdt>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6">
            <w:pPr>
              <w:spacing w:line="240" w:lineRule="auto"/>
              <w:jc w:val="center"/>
              <w:rPr>
                <w:sz w:val="22"/>
                <w:szCs w:val="22"/>
              </w:rPr>
            </w:pPr>
            <w:sdt>
              <w:sdtPr>
                <w:id w:val="-803846498"/>
                <w:tag w:val="goog_rdk_15"/>
              </w:sdtPr>
              <w:sdtContent>
                <w:r w:rsidDel="00000000" w:rsidR="00000000" w:rsidRPr="00000000">
                  <w:rPr>
                    <w:rFonts w:ascii="Gungsuh" w:cs="Gungsuh" w:eastAsia="Gungsuh" w:hAnsi="Gungsuh"/>
                    <w:sz w:val="22"/>
                    <w:szCs w:val="22"/>
                    <w:rtl w:val="0"/>
                  </w:rPr>
                  <w:t xml:space="preserve">−0.43 [−0.84, −0.01]</w:t>
                </w:r>
              </w:sdtContent>
            </w:sdt>
          </w:p>
        </w:tc>
        <w:tc>
          <w:tcPr>
            <w:tcMar>
              <w:top w:w="100.0" w:type="dxa"/>
              <w:left w:w="100.0" w:type="dxa"/>
              <w:bottom w:w="100.0" w:type="dxa"/>
              <w:right w:w="100.0" w:type="dxa"/>
            </w:tcMar>
            <w:vAlign w:val="center"/>
          </w:tcPr>
          <w:p w:rsidR="00000000" w:rsidDel="00000000" w:rsidP="00000000" w:rsidRDefault="00000000" w:rsidRPr="00000000" w14:paraId="000001A7">
            <w:pPr>
              <w:spacing w:line="240" w:lineRule="auto"/>
              <w:jc w:val="center"/>
              <w:rPr>
                <w:sz w:val="22"/>
                <w:szCs w:val="22"/>
              </w:rPr>
            </w:pPr>
            <w:r w:rsidDel="00000000" w:rsidR="00000000" w:rsidRPr="00000000">
              <w:rPr>
                <w:sz w:val="22"/>
                <w:szCs w:val="22"/>
                <w:rtl w:val="0"/>
              </w:rPr>
              <w:t xml:space="preserve">0.04</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8">
            <w:pPr>
              <w:spacing w:line="240" w:lineRule="auto"/>
              <w:jc w:val="center"/>
              <w:rPr>
                <w:sz w:val="22"/>
                <w:szCs w:val="22"/>
              </w:rPr>
            </w:pPr>
            <w:sdt>
              <w:sdtPr>
                <w:id w:val="-669916311"/>
                <w:tag w:val="goog_rdk_16"/>
              </w:sdtPr>
              <w:sdtContent>
                <w:r w:rsidDel="00000000" w:rsidR="00000000" w:rsidRPr="00000000">
                  <w:rPr>
                    <w:rFonts w:ascii="Gungsuh" w:cs="Gungsuh" w:eastAsia="Gungsuh" w:hAnsi="Gungsuh"/>
                    <w:sz w:val="22"/>
                    <w:szCs w:val="22"/>
                    <w:rtl w:val="0"/>
                  </w:rPr>
                  <w:t xml:space="preserve">−0.26</w:t>
                </w:r>
              </w:sdtContent>
            </w:sdt>
          </w:p>
        </w:tc>
      </w:tr>
      <w:tr>
        <w:trPr>
          <w:cantSplit w:val="0"/>
          <w:trHeight w:val="720" w:hRule="atLeast"/>
          <w:tblHeader w:val="1"/>
        </w:trPr>
        <w:tc>
          <w:tcPr>
            <w:tcBorders>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9">
            <w:pPr>
              <w:spacing w:line="240" w:lineRule="auto"/>
              <w:jc w:val="left"/>
              <w:rPr>
                <w:sz w:val="22"/>
                <w:szCs w:val="22"/>
              </w:rPr>
            </w:pPr>
            <w:r w:rsidDel="00000000" w:rsidR="00000000" w:rsidRPr="00000000">
              <w:rPr>
                <w:sz w:val="22"/>
                <w:szCs w:val="22"/>
                <w:rtl w:val="0"/>
              </w:rPr>
              <w:t xml:space="preserve">Identifying knowledge gaps</w:t>
            </w:r>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A">
            <w:pPr>
              <w:spacing w:line="240" w:lineRule="auto"/>
              <w:jc w:val="center"/>
              <w:rPr>
                <w:sz w:val="22"/>
                <w:szCs w:val="22"/>
              </w:rPr>
            </w:pPr>
            <w:sdt>
              <w:sdtPr>
                <w:id w:val="-1000802413"/>
                <w:tag w:val="goog_rdk_17"/>
              </w:sdtPr>
              <w:sdtContent>
                <w:r w:rsidDel="00000000" w:rsidR="00000000" w:rsidRPr="00000000">
                  <w:rPr>
                    <w:rFonts w:ascii="Gungsuh" w:cs="Gungsuh" w:eastAsia="Gungsuh" w:hAnsi="Gungsuh"/>
                    <w:sz w:val="22"/>
                    <w:szCs w:val="22"/>
                    <w:rtl w:val="0"/>
                  </w:rPr>
                  <w:t xml:space="preserve">−0.58 [−1.03, −0.12]</w:t>
                </w:r>
              </w:sdtContent>
            </w:sdt>
          </w:p>
        </w:tc>
        <w:tc>
          <w:tcPr>
            <w:tcMar>
              <w:top w:w="100.0" w:type="dxa"/>
              <w:left w:w="100.0" w:type="dxa"/>
              <w:bottom w:w="100.0" w:type="dxa"/>
              <w:right w:w="100.0" w:type="dxa"/>
            </w:tcMar>
            <w:vAlign w:val="center"/>
          </w:tcPr>
          <w:p w:rsidR="00000000" w:rsidDel="00000000" w:rsidP="00000000" w:rsidRDefault="00000000" w:rsidRPr="00000000" w14:paraId="000001AB">
            <w:pPr>
              <w:spacing w:line="240" w:lineRule="auto"/>
              <w:jc w:val="center"/>
              <w:rPr>
                <w:sz w:val="22"/>
                <w:szCs w:val="22"/>
              </w:rPr>
            </w:pPr>
            <w:r w:rsidDel="00000000" w:rsidR="00000000" w:rsidRPr="00000000">
              <w:rPr>
                <w:sz w:val="22"/>
                <w:szCs w:val="22"/>
                <w:rtl w:val="0"/>
              </w:rPr>
              <w:t xml:space="preserve">0.01</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C">
            <w:pPr>
              <w:spacing w:line="240" w:lineRule="auto"/>
              <w:jc w:val="center"/>
              <w:rPr>
                <w:sz w:val="22"/>
                <w:szCs w:val="22"/>
              </w:rPr>
            </w:pPr>
            <w:sdt>
              <w:sdtPr>
                <w:id w:val="1318946165"/>
                <w:tag w:val="goog_rdk_18"/>
              </w:sdtPr>
              <w:sdtContent>
                <w:r w:rsidDel="00000000" w:rsidR="00000000" w:rsidRPr="00000000">
                  <w:rPr>
                    <w:rFonts w:ascii="Gungsuh" w:cs="Gungsuh" w:eastAsia="Gungsuh" w:hAnsi="Gungsuh"/>
                    <w:sz w:val="22"/>
                    <w:szCs w:val="22"/>
                    <w:rtl w:val="0"/>
                  </w:rPr>
                  <w:t xml:space="preserve">−0.32</w:t>
                </w:r>
              </w:sdtContent>
            </w:sdt>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D">
            <w:pPr>
              <w:spacing w:line="240" w:lineRule="auto"/>
              <w:jc w:val="center"/>
              <w:rPr>
                <w:sz w:val="22"/>
                <w:szCs w:val="22"/>
              </w:rPr>
            </w:pPr>
            <w:sdt>
              <w:sdtPr>
                <w:id w:val="-445518419"/>
                <w:tag w:val="goog_rdk_19"/>
              </w:sdtPr>
              <w:sdtContent>
                <w:r w:rsidDel="00000000" w:rsidR="00000000" w:rsidRPr="00000000">
                  <w:rPr>
                    <w:rFonts w:ascii="Gungsuh" w:cs="Gungsuh" w:eastAsia="Gungsuh" w:hAnsi="Gungsuh"/>
                    <w:sz w:val="22"/>
                    <w:szCs w:val="22"/>
                    <w:rtl w:val="0"/>
                  </w:rPr>
                  <w:t xml:space="preserve">−0.57 [−1.03, −0.11]</w:t>
                </w:r>
              </w:sdtContent>
            </w:sdt>
          </w:p>
        </w:tc>
        <w:tc>
          <w:tcPr>
            <w:tcMar>
              <w:top w:w="100.0" w:type="dxa"/>
              <w:left w:w="100.0" w:type="dxa"/>
              <w:bottom w:w="100.0" w:type="dxa"/>
              <w:right w:w="100.0" w:type="dxa"/>
            </w:tcMar>
            <w:vAlign w:val="center"/>
          </w:tcPr>
          <w:p w:rsidR="00000000" w:rsidDel="00000000" w:rsidP="00000000" w:rsidRDefault="00000000" w:rsidRPr="00000000" w14:paraId="000001AE">
            <w:pPr>
              <w:spacing w:line="240" w:lineRule="auto"/>
              <w:jc w:val="center"/>
              <w:rPr>
                <w:sz w:val="22"/>
                <w:szCs w:val="22"/>
              </w:rPr>
            </w:pPr>
            <w:r w:rsidDel="00000000" w:rsidR="00000000" w:rsidRPr="00000000">
              <w:rPr>
                <w:sz w:val="22"/>
                <w:szCs w:val="22"/>
                <w:rtl w:val="0"/>
              </w:rPr>
              <w:t xml:space="preserve">0.01</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AF">
            <w:pPr>
              <w:spacing w:line="240" w:lineRule="auto"/>
              <w:jc w:val="center"/>
              <w:rPr>
                <w:sz w:val="22"/>
                <w:szCs w:val="22"/>
              </w:rPr>
            </w:pPr>
            <w:sdt>
              <w:sdtPr>
                <w:id w:val="1786047272"/>
                <w:tag w:val="goog_rdk_20"/>
              </w:sdtPr>
              <w:sdtContent>
                <w:r w:rsidDel="00000000" w:rsidR="00000000" w:rsidRPr="00000000">
                  <w:rPr>
                    <w:rFonts w:ascii="Gungsuh" w:cs="Gungsuh" w:eastAsia="Gungsuh" w:hAnsi="Gungsuh"/>
                    <w:sz w:val="22"/>
                    <w:szCs w:val="22"/>
                    <w:rtl w:val="0"/>
                  </w:rPr>
                  <w:t xml:space="preserve">−0.31</w:t>
                </w:r>
              </w:sdtContent>
            </w:sdt>
          </w:p>
        </w:tc>
      </w:tr>
      <w:tr>
        <w:trPr>
          <w:cantSplit w:val="0"/>
          <w:trHeight w:val="720" w:hRule="atLeast"/>
          <w:tblHeader w:val="0"/>
        </w:trPr>
        <w:tc>
          <w:tcPr>
            <w:tcBorders>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0">
            <w:pPr>
              <w:spacing w:line="240" w:lineRule="auto"/>
              <w:jc w:val="left"/>
              <w:rPr>
                <w:sz w:val="22"/>
                <w:szCs w:val="22"/>
              </w:rPr>
            </w:pPr>
            <w:r w:rsidDel="00000000" w:rsidR="00000000" w:rsidRPr="00000000">
              <w:rPr>
                <w:sz w:val="22"/>
                <w:szCs w:val="22"/>
                <w:rtl w:val="0"/>
              </w:rPr>
              <w:t xml:space="preserve">Overall difficulty</w:t>
            </w:r>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1">
            <w:pPr>
              <w:spacing w:line="240" w:lineRule="auto"/>
              <w:jc w:val="center"/>
              <w:rPr>
                <w:sz w:val="22"/>
                <w:szCs w:val="22"/>
              </w:rPr>
            </w:pPr>
            <w:sdt>
              <w:sdtPr>
                <w:id w:val="-767170121"/>
                <w:tag w:val="goog_rdk_21"/>
              </w:sdtPr>
              <w:sdtContent>
                <w:r w:rsidDel="00000000" w:rsidR="00000000" w:rsidRPr="00000000">
                  <w:rPr>
                    <w:rFonts w:ascii="Gungsuh" w:cs="Gungsuh" w:eastAsia="Gungsuh" w:hAnsi="Gungsuh"/>
                    <w:sz w:val="22"/>
                    <w:szCs w:val="22"/>
                    <w:rtl w:val="0"/>
                  </w:rPr>
                  <w:t xml:space="preserve">0.31 [−0.09, 0.70]</w:t>
                </w:r>
              </w:sdtContent>
            </w:sdt>
          </w:p>
        </w:tc>
        <w:tc>
          <w:tcPr>
            <w:tcMar>
              <w:top w:w="100.0" w:type="dxa"/>
              <w:left w:w="100.0" w:type="dxa"/>
              <w:bottom w:w="100.0" w:type="dxa"/>
              <w:right w:w="100.0" w:type="dxa"/>
            </w:tcMar>
            <w:vAlign w:val="center"/>
          </w:tcPr>
          <w:p w:rsidR="00000000" w:rsidDel="00000000" w:rsidP="00000000" w:rsidRDefault="00000000" w:rsidRPr="00000000" w14:paraId="000001B2">
            <w:pPr>
              <w:spacing w:line="240" w:lineRule="auto"/>
              <w:jc w:val="center"/>
              <w:rPr>
                <w:sz w:val="22"/>
                <w:szCs w:val="22"/>
              </w:rPr>
            </w:pPr>
            <w:r w:rsidDel="00000000" w:rsidR="00000000" w:rsidRPr="00000000">
              <w:rPr>
                <w:sz w:val="22"/>
                <w:szCs w:val="22"/>
                <w:rtl w:val="0"/>
              </w:rPr>
              <w:t xml:space="preserve">0.13</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3">
            <w:pPr>
              <w:spacing w:line="240" w:lineRule="auto"/>
              <w:jc w:val="center"/>
              <w:rPr>
                <w:sz w:val="22"/>
                <w:szCs w:val="22"/>
              </w:rPr>
            </w:pPr>
            <w:r w:rsidDel="00000000" w:rsidR="00000000" w:rsidRPr="00000000">
              <w:rPr>
                <w:sz w:val="22"/>
                <w:szCs w:val="22"/>
                <w:rtl w:val="0"/>
              </w:rPr>
              <w:t xml:space="preserve">0.20</w:t>
            </w:r>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4">
            <w:pPr>
              <w:spacing w:line="240" w:lineRule="auto"/>
              <w:jc w:val="center"/>
              <w:rPr>
                <w:sz w:val="22"/>
                <w:szCs w:val="22"/>
              </w:rPr>
            </w:pPr>
            <w:sdt>
              <w:sdtPr>
                <w:id w:val="-1767849031"/>
                <w:tag w:val="goog_rdk_22"/>
              </w:sdtPr>
              <w:sdtContent>
                <w:r w:rsidDel="00000000" w:rsidR="00000000" w:rsidRPr="00000000">
                  <w:rPr>
                    <w:rFonts w:ascii="Gungsuh" w:cs="Gungsuh" w:eastAsia="Gungsuh" w:hAnsi="Gungsuh"/>
                    <w:sz w:val="22"/>
                    <w:szCs w:val="22"/>
                    <w:rtl w:val="0"/>
                  </w:rPr>
                  <w:t xml:space="preserve">0.35 [−0.04, 0.74]</w:t>
                </w:r>
              </w:sdtContent>
            </w:sdt>
          </w:p>
        </w:tc>
        <w:tc>
          <w:tcPr>
            <w:tcMar>
              <w:top w:w="100.0" w:type="dxa"/>
              <w:left w:w="100.0" w:type="dxa"/>
              <w:bottom w:w="100.0" w:type="dxa"/>
              <w:right w:w="100.0" w:type="dxa"/>
            </w:tcMar>
            <w:vAlign w:val="center"/>
          </w:tcPr>
          <w:p w:rsidR="00000000" w:rsidDel="00000000" w:rsidP="00000000" w:rsidRDefault="00000000" w:rsidRPr="00000000" w14:paraId="000001B5">
            <w:pPr>
              <w:spacing w:line="240" w:lineRule="auto"/>
              <w:jc w:val="center"/>
              <w:rPr>
                <w:sz w:val="22"/>
                <w:szCs w:val="22"/>
              </w:rPr>
            </w:pPr>
            <w:r w:rsidDel="00000000" w:rsidR="00000000" w:rsidRPr="00000000">
              <w:rPr>
                <w:sz w:val="22"/>
                <w:szCs w:val="22"/>
                <w:rtl w:val="0"/>
              </w:rPr>
              <w:t xml:space="preserve">0.08</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6">
            <w:pPr>
              <w:spacing w:line="240" w:lineRule="auto"/>
              <w:jc w:val="center"/>
              <w:rPr>
                <w:sz w:val="22"/>
                <w:szCs w:val="22"/>
              </w:rPr>
            </w:pPr>
            <w:r w:rsidDel="00000000" w:rsidR="00000000" w:rsidRPr="00000000">
              <w:rPr>
                <w:sz w:val="22"/>
                <w:szCs w:val="22"/>
                <w:rtl w:val="0"/>
              </w:rPr>
              <w:t xml:space="preserve">0.22</w:t>
            </w:r>
          </w:p>
        </w:tc>
      </w:tr>
      <w:tr>
        <w:trPr>
          <w:cantSplit w:val="0"/>
          <w:trHeight w:val="720" w:hRule="atLeast"/>
          <w:tblHeader w:val="0"/>
        </w:trPr>
        <w:tc>
          <w:tcPr>
            <w:tcBorders>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7">
            <w:pPr>
              <w:spacing w:line="240" w:lineRule="auto"/>
              <w:jc w:val="left"/>
              <w:rPr>
                <w:sz w:val="22"/>
                <w:szCs w:val="22"/>
              </w:rPr>
            </w:pPr>
            <w:r w:rsidDel="00000000" w:rsidR="00000000" w:rsidRPr="00000000">
              <w:rPr>
                <w:sz w:val="22"/>
                <w:szCs w:val="22"/>
                <w:rtl w:val="0"/>
              </w:rPr>
              <w:t xml:space="preserve">Question quality</w:t>
            </w:r>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8">
            <w:pPr>
              <w:spacing w:line="240" w:lineRule="auto"/>
              <w:jc w:val="center"/>
              <w:rPr>
                <w:sz w:val="22"/>
                <w:szCs w:val="22"/>
              </w:rPr>
            </w:pPr>
            <w:sdt>
              <w:sdtPr>
                <w:id w:val="1728501480"/>
                <w:tag w:val="goog_rdk_23"/>
              </w:sdtPr>
              <w:sdtContent>
                <w:r w:rsidDel="00000000" w:rsidR="00000000" w:rsidRPr="00000000">
                  <w:rPr>
                    <w:rFonts w:ascii="Gungsuh" w:cs="Gungsuh" w:eastAsia="Gungsuh" w:hAnsi="Gungsuh"/>
                    <w:sz w:val="22"/>
                    <w:szCs w:val="22"/>
                    <w:rtl w:val="0"/>
                  </w:rPr>
                  <w:t xml:space="preserve">−0.23 [−0.77, 0.31]</w:t>
                </w:r>
              </w:sdtContent>
            </w:sdt>
          </w:p>
        </w:tc>
        <w:tc>
          <w:tcPr>
            <w:tcMar>
              <w:top w:w="100.0" w:type="dxa"/>
              <w:left w:w="100.0" w:type="dxa"/>
              <w:bottom w:w="100.0" w:type="dxa"/>
              <w:right w:w="100.0" w:type="dxa"/>
            </w:tcMar>
            <w:vAlign w:val="center"/>
          </w:tcPr>
          <w:p w:rsidR="00000000" w:rsidDel="00000000" w:rsidP="00000000" w:rsidRDefault="00000000" w:rsidRPr="00000000" w14:paraId="000001B9">
            <w:pPr>
              <w:spacing w:line="240" w:lineRule="auto"/>
              <w:jc w:val="center"/>
              <w:rPr>
                <w:sz w:val="22"/>
                <w:szCs w:val="22"/>
              </w:rPr>
            </w:pPr>
            <w:r w:rsidDel="00000000" w:rsidR="00000000" w:rsidRPr="00000000">
              <w:rPr>
                <w:sz w:val="22"/>
                <w:szCs w:val="22"/>
                <w:rtl w:val="0"/>
              </w:rPr>
              <w:t xml:space="preserve">0.41</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A">
            <w:pPr>
              <w:spacing w:line="240" w:lineRule="auto"/>
              <w:jc w:val="center"/>
              <w:rPr>
                <w:sz w:val="22"/>
                <w:szCs w:val="22"/>
              </w:rPr>
            </w:pPr>
            <w:sdt>
              <w:sdtPr>
                <w:id w:val="1075411572"/>
                <w:tag w:val="goog_rdk_24"/>
              </w:sdtPr>
              <w:sdtContent>
                <w:r w:rsidDel="00000000" w:rsidR="00000000" w:rsidRPr="00000000">
                  <w:rPr>
                    <w:rFonts w:ascii="Gungsuh" w:cs="Gungsuh" w:eastAsia="Gungsuh" w:hAnsi="Gungsuh"/>
                    <w:sz w:val="22"/>
                    <w:szCs w:val="22"/>
                    <w:rtl w:val="0"/>
                  </w:rPr>
                  <w:t xml:space="preserve">−0.11</w:t>
                </w:r>
              </w:sdtContent>
            </w:sdt>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B">
            <w:pPr>
              <w:spacing w:line="240" w:lineRule="auto"/>
              <w:jc w:val="center"/>
              <w:rPr>
                <w:sz w:val="22"/>
                <w:szCs w:val="22"/>
              </w:rPr>
            </w:pPr>
            <w:sdt>
              <w:sdtPr>
                <w:id w:val="-671953623"/>
                <w:tag w:val="goog_rdk_25"/>
              </w:sdtPr>
              <w:sdtContent>
                <w:r w:rsidDel="00000000" w:rsidR="00000000" w:rsidRPr="00000000">
                  <w:rPr>
                    <w:rFonts w:ascii="Gungsuh" w:cs="Gungsuh" w:eastAsia="Gungsuh" w:hAnsi="Gungsuh"/>
                    <w:sz w:val="22"/>
                    <w:szCs w:val="22"/>
                    <w:rtl w:val="0"/>
                  </w:rPr>
                  <w:t xml:space="preserve">−0.26 [−0.80, 0.28]</w:t>
                </w:r>
              </w:sdtContent>
            </w:sdt>
          </w:p>
        </w:tc>
        <w:tc>
          <w:tcPr>
            <w:tcMar>
              <w:top w:w="100.0" w:type="dxa"/>
              <w:left w:w="100.0" w:type="dxa"/>
              <w:bottom w:w="100.0" w:type="dxa"/>
              <w:right w:w="100.0" w:type="dxa"/>
            </w:tcMar>
            <w:vAlign w:val="center"/>
          </w:tcPr>
          <w:p w:rsidR="00000000" w:rsidDel="00000000" w:rsidP="00000000" w:rsidRDefault="00000000" w:rsidRPr="00000000" w14:paraId="000001BC">
            <w:pPr>
              <w:spacing w:line="240" w:lineRule="auto"/>
              <w:jc w:val="center"/>
              <w:rPr>
                <w:sz w:val="22"/>
                <w:szCs w:val="22"/>
              </w:rPr>
            </w:pPr>
            <w:r w:rsidDel="00000000" w:rsidR="00000000" w:rsidRPr="00000000">
              <w:rPr>
                <w:sz w:val="22"/>
                <w:szCs w:val="22"/>
                <w:rtl w:val="0"/>
              </w:rPr>
              <w:t xml:space="preserve">0.33</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D">
            <w:pPr>
              <w:spacing w:line="240" w:lineRule="auto"/>
              <w:jc w:val="center"/>
              <w:rPr>
                <w:sz w:val="22"/>
                <w:szCs w:val="22"/>
              </w:rPr>
            </w:pPr>
            <w:sdt>
              <w:sdtPr>
                <w:id w:val="1168348593"/>
                <w:tag w:val="goog_rdk_26"/>
              </w:sdtPr>
              <w:sdtContent>
                <w:r w:rsidDel="00000000" w:rsidR="00000000" w:rsidRPr="00000000">
                  <w:rPr>
                    <w:rFonts w:ascii="Gungsuh" w:cs="Gungsuh" w:eastAsia="Gungsuh" w:hAnsi="Gungsuh"/>
                    <w:sz w:val="22"/>
                    <w:szCs w:val="22"/>
                    <w:rtl w:val="0"/>
                  </w:rPr>
                  <w:t xml:space="preserve">−0.12</w:t>
                </w:r>
              </w:sdtContent>
            </w:sdt>
          </w:p>
        </w:tc>
      </w:tr>
      <w:tr>
        <w:trPr>
          <w:cantSplit w:val="0"/>
          <w:trHeight w:val="720" w:hRule="atLeast"/>
          <w:tblHeader w:val="0"/>
        </w:trPr>
        <w:tc>
          <w:tcPr>
            <w:tcBorders>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E">
            <w:pPr>
              <w:spacing w:line="240" w:lineRule="auto"/>
              <w:jc w:val="left"/>
              <w:rPr>
                <w:sz w:val="22"/>
                <w:szCs w:val="22"/>
              </w:rPr>
            </w:pPr>
            <w:r w:rsidDel="00000000" w:rsidR="00000000" w:rsidRPr="00000000">
              <w:rPr>
                <w:sz w:val="22"/>
                <w:szCs w:val="22"/>
                <w:rtl w:val="0"/>
              </w:rPr>
              <w:t xml:space="preserve">Relevance to course material</w:t>
            </w:r>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F">
            <w:pPr>
              <w:spacing w:line="240" w:lineRule="auto"/>
              <w:jc w:val="center"/>
              <w:rPr>
                <w:sz w:val="22"/>
                <w:szCs w:val="22"/>
              </w:rPr>
            </w:pPr>
            <w:sdt>
              <w:sdtPr>
                <w:id w:val="-874245048"/>
                <w:tag w:val="goog_rdk_27"/>
              </w:sdtPr>
              <w:sdtContent>
                <w:r w:rsidDel="00000000" w:rsidR="00000000" w:rsidRPr="00000000">
                  <w:rPr>
                    <w:rFonts w:ascii="Gungsuh" w:cs="Gungsuh" w:eastAsia="Gungsuh" w:hAnsi="Gungsuh"/>
                    <w:sz w:val="22"/>
                    <w:szCs w:val="22"/>
                    <w:rtl w:val="0"/>
                  </w:rPr>
                  <w:t xml:space="preserve">−0.38 [−0.83, 0.08]</w:t>
                </w:r>
              </w:sdtContent>
            </w:sdt>
          </w:p>
        </w:tc>
        <w:tc>
          <w:tcPr>
            <w:tcMar>
              <w:top w:w="100.0" w:type="dxa"/>
              <w:left w:w="100.0" w:type="dxa"/>
              <w:bottom w:w="100.0" w:type="dxa"/>
              <w:right w:w="100.0" w:type="dxa"/>
            </w:tcMar>
            <w:vAlign w:val="center"/>
          </w:tcPr>
          <w:p w:rsidR="00000000" w:rsidDel="00000000" w:rsidP="00000000" w:rsidRDefault="00000000" w:rsidRPr="00000000" w14:paraId="000001C0">
            <w:pPr>
              <w:spacing w:line="240" w:lineRule="auto"/>
              <w:jc w:val="center"/>
              <w:rPr>
                <w:sz w:val="22"/>
                <w:szCs w:val="22"/>
              </w:rPr>
            </w:pPr>
            <w:r w:rsidDel="00000000" w:rsidR="00000000" w:rsidRPr="00000000">
              <w:rPr>
                <w:sz w:val="22"/>
                <w:szCs w:val="22"/>
                <w:rtl w:val="0"/>
              </w:rPr>
              <w:t xml:space="preserve">0.11</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1">
            <w:pPr>
              <w:spacing w:line="240" w:lineRule="auto"/>
              <w:jc w:val="center"/>
              <w:rPr>
                <w:sz w:val="22"/>
                <w:szCs w:val="22"/>
              </w:rPr>
            </w:pPr>
            <w:sdt>
              <w:sdtPr>
                <w:id w:val="378622912"/>
                <w:tag w:val="goog_rdk_28"/>
              </w:sdtPr>
              <w:sdtContent>
                <w:r w:rsidDel="00000000" w:rsidR="00000000" w:rsidRPr="00000000">
                  <w:rPr>
                    <w:rFonts w:ascii="Gungsuh" w:cs="Gungsuh" w:eastAsia="Gungsuh" w:hAnsi="Gungsuh"/>
                    <w:sz w:val="22"/>
                    <w:szCs w:val="22"/>
                    <w:rtl w:val="0"/>
                  </w:rPr>
                  <w:t xml:space="preserve">−0.20</w:t>
                </w:r>
              </w:sdtContent>
            </w:sdt>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2">
            <w:pPr>
              <w:spacing w:line="240" w:lineRule="auto"/>
              <w:jc w:val="center"/>
              <w:rPr>
                <w:sz w:val="22"/>
                <w:szCs w:val="22"/>
              </w:rPr>
            </w:pPr>
            <w:sdt>
              <w:sdtPr>
                <w:id w:val="2136355518"/>
                <w:tag w:val="goog_rdk_29"/>
              </w:sdtPr>
              <w:sdtContent>
                <w:r w:rsidDel="00000000" w:rsidR="00000000" w:rsidRPr="00000000">
                  <w:rPr>
                    <w:rFonts w:ascii="Gungsuh" w:cs="Gungsuh" w:eastAsia="Gungsuh" w:hAnsi="Gungsuh"/>
                    <w:sz w:val="22"/>
                    <w:szCs w:val="22"/>
                    <w:rtl w:val="0"/>
                  </w:rPr>
                  <w:t xml:space="preserve">−0.37 [−0.83, 0.10]</w:t>
                </w:r>
              </w:sdtContent>
            </w:sdt>
          </w:p>
        </w:tc>
        <w:tc>
          <w:tcPr>
            <w:tcMar>
              <w:top w:w="100.0" w:type="dxa"/>
              <w:left w:w="100.0" w:type="dxa"/>
              <w:bottom w:w="100.0" w:type="dxa"/>
              <w:right w:w="100.0" w:type="dxa"/>
            </w:tcMar>
            <w:vAlign w:val="center"/>
          </w:tcPr>
          <w:p w:rsidR="00000000" w:rsidDel="00000000" w:rsidP="00000000" w:rsidRDefault="00000000" w:rsidRPr="00000000" w14:paraId="000001C3">
            <w:pPr>
              <w:spacing w:line="240" w:lineRule="auto"/>
              <w:jc w:val="center"/>
              <w:rPr>
                <w:sz w:val="22"/>
                <w:szCs w:val="22"/>
              </w:rPr>
            </w:pPr>
            <w:r w:rsidDel="00000000" w:rsidR="00000000" w:rsidRPr="00000000">
              <w:rPr>
                <w:sz w:val="22"/>
                <w:szCs w:val="22"/>
                <w:rtl w:val="0"/>
              </w:rPr>
              <w:t xml:space="preserve">0.12</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4">
            <w:pPr>
              <w:spacing w:line="240" w:lineRule="auto"/>
              <w:jc w:val="center"/>
              <w:rPr>
                <w:sz w:val="22"/>
                <w:szCs w:val="22"/>
              </w:rPr>
            </w:pPr>
            <w:sdt>
              <w:sdtPr>
                <w:id w:val="-204003148"/>
                <w:tag w:val="goog_rdk_30"/>
              </w:sdtPr>
              <w:sdtContent>
                <w:r w:rsidDel="00000000" w:rsidR="00000000" w:rsidRPr="00000000">
                  <w:rPr>
                    <w:rFonts w:ascii="Gungsuh" w:cs="Gungsuh" w:eastAsia="Gungsuh" w:hAnsi="Gungsuh"/>
                    <w:sz w:val="22"/>
                    <w:szCs w:val="22"/>
                    <w:rtl w:val="0"/>
                  </w:rPr>
                  <w:t xml:space="preserve">−0.19</w:t>
                </w:r>
              </w:sdtContent>
            </w:sdt>
          </w:p>
        </w:tc>
      </w:tr>
      <w:tr>
        <w:trPr>
          <w:cantSplit w:val="0"/>
          <w:trHeight w:val="720" w:hRule="atLeast"/>
          <w:tblHeader w:val="0"/>
        </w:trPr>
        <w:tc>
          <w:tcPr>
            <w:tcBorders>
              <w:left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5">
            <w:pPr>
              <w:spacing w:line="240" w:lineRule="auto"/>
              <w:jc w:val="left"/>
              <w:rPr>
                <w:sz w:val="22"/>
                <w:szCs w:val="22"/>
              </w:rPr>
            </w:pPr>
            <w:r w:rsidDel="00000000" w:rsidR="00000000" w:rsidRPr="00000000">
              <w:rPr>
                <w:sz w:val="22"/>
                <w:szCs w:val="22"/>
                <w:rtl w:val="0"/>
              </w:rPr>
              <w:t xml:space="preserve">Retention of information for future practice</w:t>
            </w:r>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6">
            <w:pPr>
              <w:spacing w:line="240" w:lineRule="auto"/>
              <w:jc w:val="center"/>
              <w:rPr>
                <w:sz w:val="22"/>
                <w:szCs w:val="22"/>
              </w:rPr>
            </w:pPr>
            <w:sdt>
              <w:sdtPr>
                <w:id w:val="272647138"/>
                <w:tag w:val="goog_rdk_31"/>
              </w:sdtPr>
              <w:sdtContent>
                <w:r w:rsidDel="00000000" w:rsidR="00000000" w:rsidRPr="00000000">
                  <w:rPr>
                    <w:rFonts w:ascii="Gungsuh" w:cs="Gungsuh" w:eastAsia="Gungsuh" w:hAnsi="Gungsuh"/>
                    <w:sz w:val="22"/>
                    <w:szCs w:val="22"/>
                    <w:rtl w:val="0"/>
                  </w:rPr>
                  <w:t xml:space="preserve">−0.51 [−0.96, −0.06]</w:t>
                </w:r>
              </w:sdtContent>
            </w:sdt>
          </w:p>
        </w:tc>
        <w:tc>
          <w:tcPr>
            <w:tcMar>
              <w:top w:w="100.0" w:type="dxa"/>
              <w:left w:w="100.0" w:type="dxa"/>
              <w:bottom w:w="100.0" w:type="dxa"/>
              <w:right w:w="100.0" w:type="dxa"/>
            </w:tcMar>
            <w:vAlign w:val="center"/>
          </w:tcPr>
          <w:p w:rsidR="00000000" w:rsidDel="00000000" w:rsidP="00000000" w:rsidRDefault="00000000" w:rsidRPr="00000000" w14:paraId="000001C7">
            <w:pPr>
              <w:spacing w:line="240" w:lineRule="auto"/>
              <w:jc w:val="center"/>
              <w:rPr>
                <w:sz w:val="22"/>
                <w:szCs w:val="22"/>
              </w:rPr>
            </w:pPr>
            <w:r w:rsidDel="00000000" w:rsidR="00000000" w:rsidRPr="00000000">
              <w:rPr>
                <w:sz w:val="22"/>
                <w:szCs w:val="22"/>
                <w:rtl w:val="0"/>
              </w:rPr>
              <w:t xml:space="preserve">0.03</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8">
            <w:pPr>
              <w:spacing w:line="240" w:lineRule="auto"/>
              <w:jc w:val="center"/>
              <w:rPr>
                <w:sz w:val="22"/>
                <w:szCs w:val="22"/>
              </w:rPr>
            </w:pPr>
            <w:sdt>
              <w:sdtPr>
                <w:id w:val="-577306045"/>
                <w:tag w:val="goog_rdk_32"/>
              </w:sdtPr>
              <w:sdtContent>
                <w:r w:rsidDel="00000000" w:rsidR="00000000" w:rsidRPr="00000000">
                  <w:rPr>
                    <w:rFonts w:ascii="Gungsuh" w:cs="Gungsuh" w:eastAsia="Gungsuh" w:hAnsi="Gungsuh"/>
                    <w:sz w:val="22"/>
                    <w:szCs w:val="22"/>
                    <w:rtl w:val="0"/>
                  </w:rPr>
                  <w:t xml:space="preserve">−0.29</w:t>
                </w:r>
              </w:sdtContent>
            </w:sdt>
          </w:p>
        </w:tc>
        <w:tc>
          <w:tcPr>
            <w:tcBorders>
              <w:lef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9">
            <w:pPr>
              <w:spacing w:line="240" w:lineRule="auto"/>
              <w:jc w:val="center"/>
              <w:rPr>
                <w:sz w:val="22"/>
                <w:szCs w:val="22"/>
              </w:rPr>
            </w:pPr>
            <w:sdt>
              <w:sdtPr>
                <w:id w:val="-2107300414"/>
                <w:tag w:val="goog_rdk_33"/>
              </w:sdtPr>
              <w:sdtContent>
                <w:r w:rsidDel="00000000" w:rsidR="00000000" w:rsidRPr="00000000">
                  <w:rPr>
                    <w:rFonts w:ascii="Gungsuh" w:cs="Gungsuh" w:eastAsia="Gungsuh" w:hAnsi="Gungsuh"/>
                    <w:sz w:val="22"/>
                    <w:szCs w:val="22"/>
                    <w:rtl w:val="0"/>
                  </w:rPr>
                  <w:t xml:space="preserve">−0.50 [−0.95, −0.05]</w:t>
                </w:r>
              </w:sdtContent>
            </w:sdt>
          </w:p>
        </w:tc>
        <w:tc>
          <w:tcPr>
            <w:tcMar>
              <w:top w:w="100.0" w:type="dxa"/>
              <w:left w:w="100.0" w:type="dxa"/>
              <w:bottom w:w="100.0" w:type="dxa"/>
              <w:right w:w="100.0" w:type="dxa"/>
            </w:tcMar>
            <w:vAlign w:val="center"/>
          </w:tcPr>
          <w:p w:rsidR="00000000" w:rsidDel="00000000" w:rsidP="00000000" w:rsidRDefault="00000000" w:rsidRPr="00000000" w14:paraId="000001CA">
            <w:pPr>
              <w:spacing w:line="240" w:lineRule="auto"/>
              <w:jc w:val="center"/>
              <w:rPr>
                <w:sz w:val="22"/>
                <w:szCs w:val="22"/>
              </w:rPr>
            </w:pPr>
            <w:r w:rsidDel="00000000" w:rsidR="00000000" w:rsidRPr="00000000">
              <w:rPr>
                <w:sz w:val="22"/>
                <w:szCs w:val="22"/>
                <w:rtl w:val="0"/>
              </w:rPr>
              <w:t xml:space="preserve">0.03</w:t>
            </w:r>
          </w:p>
        </w:tc>
        <w:tc>
          <w:tcPr>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B">
            <w:pPr>
              <w:spacing w:line="240" w:lineRule="auto"/>
              <w:jc w:val="center"/>
              <w:rPr>
                <w:sz w:val="22"/>
                <w:szCs w:val="22"/>
              </w:rPr>
            </w:pPr>
            <w:sdt>
              <w:sdtPr>
                <w:id w:val="-618628632"/>
                <w:tag w:val="goog_rdk_34"/>
              </w:sdtPr>
              <w:sdtContent>
                <w:r w:rsidDel="00000000" w:rsidR="00000000" w:rsidRPr="00000000">
                  <w:rPr>
                    <w:rFonts w:ascii="Gungsuh" w:cs="Gungsuh" w:eastAsia="Gungsuh" w:hAnsi="Gungsuh"/>
                    <w:sz w:val="22"/>
                    <w:szCs w:val="22"/>
                    <w:rtl w:val="0"/>
                  </w:rPr>
                  <w:t xml:space="preserve">−0.28</w:t>
                </w:r>
              </w:sdtContent>
            </w:sdt>
          </w:p>
        </w:tc>
      </w:tr>
      <w:tr>
        <w:trPr>
          <w:cantSplit w:val="0"/>
          <w:trHeight w:val="720" w:hRule="atLeast"/>
          <w:tblHeader w:val="0"/>
        </w:trPr>
        <w:tc>
          <w:tcPr>
            <w:tcBorders>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C">
            <w:pPr>
              <w:spacing w:line="240" w:lineRule="auto"/>
              <w:jc w:val="left"/>
              <w:rPr>
                <w:sz w:val="22"/>
                <w:szCs w:val="22"/>
              </w:rPr>
            </w:pPr>
            <w:r w:rsidDel="00000000" w:rsidR="00000000" w:rsidRPr="00000000">
              <w:rPr>
                <w:sz w:val="22"/>
                <w:szCs w:val="22"/>
                <w:rtl w:val="0"/>
              </w:rPr>
              <w:t xml:space="preserve">Understanding clinical concepts</w:t>
            </w:r>
          </w:p>
        </w:tc>
        <w:tc>
          <w:tcPr>
            <w:tcBorders>
              <w:left w:color="000000" w:space="0" w:sz="4" w:val="single"/>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D">
            <w:pPr>
              <w:spacing w:line="240" w:lineRule="auto"/>
              <w:jc w:val="center"/>
              <w:rPr>
                <w:sz w:val="22"/>
                <w:szCs w:val="22"/>
              </w:rPr>
            </w:pPr>
            <w:sdt>
              <w:sdtPr>
                <w:id w:val="1186869956"/>
                <w:tag w:val="goog_rdk_35"/>
              </w:sdtPr>
              <w:sdtContent>
                <w:r w:rsidDel="00000000" w:rsidR="00000000" w:rsidRPr="00000000">
                  <w:rPr>
                    <w:rFonts w:ascii="Gungsuh" w:cs="Gungsuh" w:eastAsia="Gungsuh" w:hAnsi="Gungsuh"/>
                    <w:sz w:val="22"/>
                    <w:szCs w:val="22"/>
                    <w:rtl w:val="0"/>
                  </w:rPr>
                  <w:t xml:space="preserve">−0.41 [−0.79, −0.03]</w:t>
                </w:r>
              </w:sdtContent>
            </w:sdt>
          </w:p>
        </w:tc>
        <w:tc>
          <w:tcPr>
            <w:tcBorders>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E">
            <w:pPr>
              <w:spacing w:line="240" w:lineRule="auto"/>
              <w:jc w:val="center"/>
              <w:rPr>
                <w:sz w:val="22"/>
                <w:szCs w:val="22"/>
              </w:rPr>
            </w:pPr>
            <w:r w:rsidDel="00000000" w:rsidR="00000000" w:rsidRPr="00000000">
              <w:rPr>
                <w:sz w:val="22"/>
                <w:szCs w:val="22"/>
                <w:rtl w:val="0"/>
              </w:rPr>
              <w:t xml:space="preserve">0.04</w:t>
            </w:r>
          </w:p>
        </w:tc>
        <w:tc>
          <w:tcPr>
            <w:tcBorders>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F">
            <w:pPr>
              <w:spacing w:line="240" w:lineRule="auto"/>
              <w:jc w:val="center"/>
              <w:rPr>
                <w:sz w:val="22"/>
                <w:szCs w:val="22"/>
              </w:rPr>
            </w:pPr>
            <w:sdt>
              <w:sdtPr>
                <w:id w:val="-1432203515"/>
                <w:tag w:val="goog_rdk_36"/>
              </w:sdtPr>
              <w:sdtContent>
                <w:r w:rsidDel="00000000" w:rsidR="00000000" w:rsidRPr="00000000">
                  <w:rPr>
                    <w:rFonts w:ascii="Gungsuh" w:cs="Gungsuh" w:eastAsia="Gungsuh" w:hAnsi="Gungsuh"/>
                    <w:sz w:val="22"/>
                    <w:szCs w:val="22"/>
                    <w:rtl w:val="0"/>
                  </w:rPr>
                  <w:t xml:space="preserve">−0.27</w:t>
                </w:r>
              </w:sdtContent>
            </w:sdt>
          </w:p>
        </w:tc>
        <w:tc>
          <w:tcPr>
            <w:tcBorders>
              <w:left w:color="000000" w:space="0" w:sz="4" w:val="single"/>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0">
            <w:pPr>
              <w:spacing w:line="240" w:lineRule="auto"/>
              <w:jc w:val="center"/>
              <w:rPr>
                <w:sz w:val="22"/>
                <w:szCs w:val="22"/>
              </w:rPr>
            </w:pPr>
            <w:sdt>
              <w:sdtPr>
                <w:id w:val="-1884448083"/>
                <w:tag w:val="goog_rdk_37"/>
              </w:sdtPr>
              <w:sdtContent>
                <w:r w:rsidDel="00000000" w:rsidR="00000000" w:rsidRPr="00000000">
                  <w:rPr>
                    <w:rFonts w:ascii="Gungsuh" w:cs="Gungsuh" w:eastAsia="Gungsuh" w:hAnsi="Gungsuh"/>
                    <w:sz w:val="22"/>
                    <w:szCs w:val="22"/>
                    <w:rtl w:val="0"/>
                  </w:rPr>
                  <w:t xml:space="preserve">−0.40 [−0.78, −0.01]</w:t>
                </w:r>
              </w:sdtContent>
            </w:sdt>
          </w:p>
        </w:tc>
        <w:tc>
          <w:tcPr>
            <w:tcBorders>
              <w:bottom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1">
            <w:pPr>
              <w:spacing w:line="240" w:lineRule="auto"/>
              <w:jc w:val="center"/>
              <w:rPr>
                <w:sz w:val="22"/>
                <w:szCs w:val="22"/>
              </w:rPr>
            </w:pPr>
            <w:r w:rsidDel="00000000" w:rsidR="00000000" w:rsidRPr="00000000">
              <w:rPr>
                <w:sz w:val="22"/>
                <w:szCs w:val="22"/>
                <w:rtl w:val="0"/>
              </w:rPr>
              <w:t xml:space="preserve">0.04</w:t>
            </w:r>
          </w:p>
        </w:tc>
        <w:tc>
          <w:tcPr>
            <w:tcBorders>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2">
            <w:pPr>
              <w:spacing w:line="240" w:lineRule="auto"/>
              <w:jc w:val="center"/>
              <w:rPr>
                <w:sz w:val="22"/>
                <w:szCs w:val="22"/>
              </w:rPr>
            </w:pPr>
            <w:sdt>
              <w:sdtPr>
                <w:id w:val="1386993978"/>
                <w:tag w:val="goog_rdk_38"/>
              </w:sdtPr>
              <w:sdtContent>
                <w:r w:rsidDel="00000000" w:rsidR="00000000" w:rsidRPr="00000000">
                  <w:rPr>
                    <w:rFonts w:ascii="Gungsuh" w:cs="Gungsuh" w:eastAsia="Gungsuh" w:hAnsi="Gungsuh"/>
                    <w:sz w:val="22"/>
                    <w:szCs w:val="22"/>
                    <w:rtl w:val="0"/>
                  </w:rPr>
                  <w:t xml:space="preserve">−0.26</w:t>
                </w:r>
              </w:sdtContent>
            </w:sdt>
          </w:p>
        </w:tc>
      </w:tr>
    </w:tbl>
    <w:p w:rsidR="00000000" w:rsidDel="00000000" w:rsidP="00000000" w:rsidRDefault="00000000" w:rsidRPr="00000000" w14:paraId="000001D3">
      <w:pPr>
        <w:spacing w:after="240" w:before="240" w:line="240" w:lineRule="auto"/>
        <w:ind w:left="-450" w:right="-450" w:firstLine="0"/>
        <w:rPr/>
        <w:sectPr>
          <w:type w:val="continuous"/>
          <w:pgSz w:h="15840" w:w="12240" w:orient="portrait"/>
          <w:pgMar w:bottom="1440" w:top="1440" w:left="1440" w:right="1353" w:header="720" w:footer="720"/>
        </w:sectPr>
      </w:pPr>
      <w:r w:rsidDel="00000000" w:rsidR="00000000" w:rsidRPr="00000000">
        <w:rPr>
          <w:b w:val="1"/>
          <w:bCs w:val="1"/>
          <w:rtl w:val="0"/>
        </w:rPr>
        <w:t xml:space="preserve">Table S3.</w:t>
      </w:r>
      <w:sdt>
        <w:sdtPr>
          <w:id w:val="988910301"/>
          <w:tag w:val="goog_rdk_39"/>
        </w:sdtPr>
        <w:sdtContent>
          <w:r w:rsidDel="00000000" w:rsidR="00000000" w:rsidRPr="00000000">
            <w:rPr>
              <w:rFonts w:ascii="Gungsuh" w:cs="Gungsuh" w:eastAsia="Gungsuh" w:hAnsi="Gungsuh"/>
              <w:rtl w:val="0"/>
            </w:rPr>
            <w:t xml:space="preserve"> Mean differences (Human − AI) with 95% confidence intervals, p-values, and standardized effect sizes (Cohen’s </w:t>
          </w:r>
        </w:sdtContent>
      </w:sdt>
      <w:r w:rsidDel="00000000" w:rsidR="00000000" w:rsidRPr="00000000">
        <w:rPr>
          <w:i w:val="1"/>
          <w:iCs w:val="1"/>
          <w:rtl w:val="0"/>
        </w:rPr>
        <w:t xml:space="preserve">d</w:t>
      </w:r>
      <w:sdt>
        <w:sdtPr>
          <w:id w:val="1080249311"/>
          <w:tag w:val="goog_rdk_40"/>
        </w:sdtPr>
        <w:sdtContent>
          <w:r w:rsidDel="00000000" w:rsidR="00000000" w:rsidRPr="00000000">
            <w:rPr>
              <w:rFonts w:ascii="Gungsuh" w:cs="Gungsuh" w:eastAsia="Gungsuh" w:hAnsi="Gungsuh"/>
              <w:rtl w:val="0"/>
            </w:rPr>
            <w:t xml:space="preserve">) are reported for nine predefined acceptability domains. Across analytic populations, mean differences were small in magnitude (absolute differences ≤ 0.58 on a 10-point scale), with effect sizes consistently negligible to small (|</w:t>
          </w:r>
        </w:sdtContent>
      </w:sdt>
      <w:r w:rsidDel="00000000" w:rsidR="00000000" w:rsidRPr="00000000">
        <w:rPr>
          <w:i w:val="1"/>
          <w:iCs w:val="1"/>
          <w:rtl w:val="0"/>
        </w:rPr>
        <w:t xml:space="preserve">d</w:t>
      </w:r>
      <w:sdt>
        <w:sdtPr>
          <w:id w:val="-635311635"/>
          <w:tag w:val="goog_rdk_41"/>
        </w:sdtPr>
        <w:sdtContent>
          <w:r w:rsidDel="00000000" w:rsidR="00000000" w:rsidRPr="00000000">
            <w:rPr>
              <w:rFonts w:ascii="Gungsuh" w:cs="Gungsuh" w:eastAsia="Gungsuh" w:hAnsi="Gungsuh"/>
              <w:rtl w:val="0"/>
            </w:rPr>
            <w:t xml:space="preserve">| ≤ 0.32).</w:t>
          </w:r>
        </w:sdtContent>
      </w:sdt>
    </w:p>
    <w:p w:rsidR="00000000" w:rsidDel="00000000" w:rsidP="00000000" w:rsidRDefault="00000000" w:rsidRPr="00000000" w14:paraId="000001D4">
      <w:pPr>
        <w:pStyle w:val="Heading3"/>
        <w:rPr>
          <w:b w:val="0"/>
          <w:bCs w:val="0"/>
        </w:rPr>
      </w:pPr>
      <w:bookmarkStart w:colFirst="0" w:colLast="0" w:name="_heading=h.6wp0ors9a63r" w:id="53"/>
      <w:bookmarkEnd w:id="53"/>
      <w:r w:rsidDel="00000000" w:rsidR="00000000" w:rsidRPr="00000000">
        <w:rPr>
          <w:rtl w:val="0"/>
        </w:rPr>
        <w:t xml:space="preserve">Table S4. Curricular theme performance for AI- and Human-gen examinations in PP and ITT analyses.</w:t>
      </w:r>
      <w:r w:rsidDel="00000000" w:rsidR="00000000" w:rsidRPr="00000000">
        <w:rPr>
          <w:rtl w:val="0"/>
        </w:rPr>
      </w:r>
    </w:p>
    <w:tbl>
      <w:tblPr>
        <w:tblStyle w:val="Table4"/>
        <w:tblW w:w="13565.0" w:type="dxa"/>
        <w:jc w:val="left"/>
        <w:tblInd w:w="-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80"/>
        <w:gridCol w:w="1590"/>
        <w:gridCol w:w="1515"/>
        <w:gridCol w:w="1350"/>
        <w:gridCol w:w="1065"/>
        <w:gridCol w:w="1455"/>
        <w:gridCol w:w="1485"/>
        <w:gridCol w:w="990"/>
        <w:gridCol w:w="1065"/>
        <w:gridCol w:w="1470"/>
        <w:tblGridChange w:id="0">
          <w:tblGrid>
            <w:gridCol w:w="1580"/>
            <w:gridCol w:w="1590"/>
            <w:gridCol w:w="1515"/>
            <w:gridCol w:w="1350"/>
            <w:gridCol w:w="1065"/>
            <w:gridCol w:w="1455"/>
            <w:gridCol w:w="1485"/>
            <w:gridCol w:w="990"/>
            <w:gridCol w:w="1065"/>
            <w:gridCol w:w="1470"/>
          </w:tblGrid>
        </w:tblGridChange>
      </w:tblGrid>
      <w:tr>
        <w:trPr>
          <w:cantSplit w:val="0"/>
          <w:trHeight w:val="431" w:hRule="atLeast"/>
          <w:tblHeader w:val="0"/>
        </w:trPr>
        <w:tc>
          <w:tcPr>
            <w:vMerge w:val="restart"/>
            <w:tcBorders>
              <w:top w:color="000000" w:space="0" w:sz="8" w:val="single"/>
              <w:left w:color="000000" w:space="0" w:sz="8" w:val="single"/>
              <w:bottom w:color="000000" w:space="0" w:sz="0" w:val="nil"/>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5">
            <w:pPr>
              <w:spacing w:line="240" w:lineRule="auto"/>
              <w:jc w:val="center"/>
              <w:rPr>
                <w:sz w:val="22"/>
                <w:szCs w:val="22"/>
              </w:rPr>
            </w:pPr>
            <w:r w:rsidDel="00000000" w:rsidR="00000000" w:rsidRPr="00000000">
              <w:rPr>
                <w:sz w:val="22"/>
                <w:szCs w:val="22"/>
                <w:rtl w:val="0"/>
              </w:rPr>
              <w:t xml:space="preserve">Theme</w:t>
            </w:r>
          </w:p>
        </w:tc>
        <w:tc>
          <w:tcPr>
            <w:gridSpan w:val="4"/>
            <w:tcBorders>
              <w:top w:color="000000" w:space="0" w:sz="8" w:val="single"/>
              <w:left w:color="000000" w:space="0" w:sz="8" w:val="single"/>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D6">
            <w:pPr>
              <w:spacing w:line="240" w:lineRule="auto"/>
              <w:jc w:val="center"/>
              <w:rPr>
                <w:sz w:val="22"/>
                <w:szCs w:val="22"/>
              </w:rPr>
            </w:pPr>
            <w:r w:rsidDel="00000000" w:rsidR="00000000" w:rsidRPr="00000000">
              <w:rPr>
                <w:sz w:val="22"/>
                <w:szCs w:val="22"/>
                <w:rtl w:val="0"/>
              </w:rPr>
              <w:t xml:space="preserve">PP</w:t>
            </w:r>
          </w:p>
        </w:tc>
        <w:tc>
          <w:tcPr>
            <w:gridSpan w:val="4"/>
            <w:tcBorders>
              <w:top w:color="000000" w:space="0" w:sz="8" w:val="single"/>
              <w:left w:color="000000" w:space="0" w:sz="8" w:val="single"/>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1DA">
            <w:pPr>
              <w:spacing w:line="240" w:lineRule="auto"/>
              <w:jc w:val="center"/>
              <w:rPr>
                <w:sz w:val="22"/>
                <w:szCs w:val="22"/>
              </w:rPr>
            </w:pPr>
            <w:r w:rsidDel="00000000" w:rsidR="00000000" w:rsidRPr="00000000">
              <w:rPr>
                <w:sz w:val="22"/>
                <w:szCs w:val="22"/>
                <w:rtl w:val="0"/>
              </w:rPr>
              <w:t xml:space="preserve">ITT</w:t>
            </w:r>
          </w:p>
        </w:tc>
        <w:tc>
          <w:tcPr>
            <w:vMerge w:val="restart"/>
            <w:tcBorders>
              <w:top w:color="000000" w:space="0" w:sz="8" w:val="single"/>
              <w:left w:color="000000" w:space="0" w:sz="8" w:val="single"/>
              <w:bottom w:color="000000" w:space="0" w:sz="0" w:val="nil"/>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E">
            <w:pPr>
              <w:spacing w:line="240" w:lineRule="auto"/>
              <w:jc w:val="center"/>
              <w:rPr>
                <w:sz w:val="22"/>
                <w:szCs w:val="22"/>
              </w:rPr>
            </w:pPr>
            <w:r w:rsidDel="00000000" w:rsidR="00000000" w:rsidRPr="00000000">
              <w:rPr>
                <w:sz w:val="22"/>
                <w:szCs w:val="22"/>
                <w:rtl w:val="0"/>
              </w:rPr>
              <w:t xml:space="preserve">Direction for both ITT and PP </w:t>
            </w:r>
          </w:p>
        </w:tc>
      </w:tr>
      <w:tr>
        <w:trPr>
          <w:cantSplit w:val="0"/>
          <w:trHeight w:val="431" w:hRule="atLeast"/>
          <w:tblHeader w:val="0"/>
        </w:trPr>
        <w:tc>
          <w:tcPr>
            <w:vMerge w:val="continue"/>
            <w:tcBorders>
              <w:top w:color="000000" w:space="0" w:sz="8" w:val="single"/>
              <w:left w:color="000000" w:space="0" w:sz="8" w:val="single"/>
              <w:bottom w:color="000000" w:space="0" w:sz="0" w:val="nil"/>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E0">
            <w:pPr>
              <w:spacing w:line="240" w:lineRule="auto"/>
              <w:jc w:val="center"/>
              <w:rPr>
                <w:sz w:val="22"/>
                <w:szCs w:val="22"/>
              </w:rPr>
            </w:pPr>
            <w:r w:rsidDel="00000000" w:rsidR="00000000" w:rsidRPr="00000000">
              <w:rPr>
                <w:sz w:val="22"/>
                <w:szCs w:val="22"/>
                <w:rtl w:val="0"/>
              </w:rPr>
              <w:t xml:space="preserve">PP AI </w:t>
            </w:r>
          </w:p>
          <w:p w:rsidR="00000000" w:rsidDel="00000000" w:rsidP="00000000" w:rsidRDefault="00000000" w:rsidRPr="00000000" w14:paraId="000001E1">
            <w:pPr>
              <w:spacing w:line="240" w:lineRule="auto"/>
              <w:jc w:val="center"/>
              <w:rPr>
                <w:sz w:val="22"/>
                <w:szCs w:val="22"/>
              </w:rPr>
            </w:pPr>
            <w:r w:rsidDel="00000000" w:rsidR="00000000" w:rsidRPr="00000000">
              <w:rPr>
                <w:sz w:val="22"/>
                <w:szCs w:val="22"/>
                <w:rtl w:val="0"/>
              </w:rPr>
              <w:t xml:space="preserve">(Mean ± SD)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E2">
            <w:pPr>
              <w:spacing w:line="240" w:lineRule="auto"/>
              <w:jc w:val="center"/>
              <w:rPr>
                <w:sz w:val="22"/>
                <w:szCs w:val="22"/>
              </w:rPr>
            </w:pPr>
            <w:r w:rsidDel="00000000" w:rsidR="00000000" w:rsidRPr="00000000">
              <w:rPr>
                <w:sz w:val="22"/>
                <w:szCs w:val="22"/>
                <w:rtl w:val="0"/>
              </w:rPr>
              <w:t xml:space="preserve">PP Human</w:t>
            </w:r>
          </w:p>
          <w:p w:rsidR="00000000" w:rsidDel="00000000" w:rsidP="00000000" w:rsidRDefault="00000000" w:rsidRPr="00000000" w14:paraId="000001E3">
            <w:pPr>
              <w:spacing w:line="240" w:lineRule="auto"/>
              <w:jc w:val="center"/>
              <w:rPr>
                <w:sz w:val="22"/>
                <w:szCs w:val="22"/>
              </w:rPr>
            </w:pPr>
            <w:r w:rsidDel="00000000" w:rsidR="00000000" w:rsidRPr="00000000">
              <w:rPr>
                <w:sz w:val="22"/>
                <w:szCs w:val="22"/>
                <w:rtl w:val="0"/>
              </w:rPr>
              <w:t xml:space="preserve">(Mean ± SD)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E4">
            <w:pPr>
              <w:spacing w:line="240" w:lineRule="auto"/>
              <w:jc w:val="center"/>
              <w:rPr>
                <w:sz w:val="22"/>
                <w:szCs w:val="22"/>
              </w:rPr>
            </w:pPr>
            <w:r w:rsidDel="00000000" w:rsidR="00000000" w:rsidRPr="00000000">
              <w:rPr>
                <w:sz w:val="22"/>
                <w:szCs w:val="22"/>
                <w:rtl w:val="0"/>
              </w:rPr>
              <w:t xml:space="preserve">PP</w:t>
            </w:r>
          </w:p>
          <w:p w:rsidR="00000000" w:rsidDel="00000000" w:rsidP="00000000" w:rsidRDefault="00000000" w:rsidRPr="00000000" w14:paraId="000001E5">
            <w:pPr>
              <w:spacing w:line="240" w:lineRule="auto"/>
              <w:jc w:val="center"/>
              <w:rPr>
                <w:sz w:val="22"/>
                <w:szCs w:val="22"/>
              </w:rPr>
            </w:pPr>
            <w:r w:rsidDel="00000000" w:rsidR="00000000" w:rsidRPr="00000000">
              <w:rPr>
                <w:sz w:val="22"/>
                <w:szCs w:val="22"/>
                <w:rtl w:val="0"/>
              </w:rPr>
              <w:t xml:space="preserve"> </w:t>
            </w:r>
            <w:r w:rsidDel="00000000" w:rsidR="00000000" w:rsidRPr="00000000">
              <w:rPr>
                <w:i w:val="1"/>
                <w:iCs w:val="1"/>
                <w:sz w:val="22"/>
                <w:szCs w:val="22"/>
                <w:rtl w:val="0"/>
              </w:rPr>
              <w:t xml:space="preserve">p</w:t>
            </w:r>
            <w:r w:rsidDel="00000000" w:rsidR="00000000" w:rsidRPr="00000000">
              <w:rPr>
                <w:sz w:val="22"/>
                <w:szCs w:val="22"/>
                <w:rtl w:val="0"/>
              </w:rPr>
              <w:t xml:space="preserve">-value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E6">
            <w:pPr>
              <w:spacing w:line="240" w:lineRule="auto"/>
              <w:jc w:val="center"/>
              <w:rPr>
                <w:i w:val="1"/>
                <w:iCs w:val="1"/>
                <w:sz w:val="22"/>
                <w:szCs w:val="22"/>
              </w:rPr>
            </w:pPr>
            <w:r w:rsidDel="00000000" w:rsidR="00000000" w:rsidRPr="00000000">
              <w:rPr>
                <w:sz w:val="22"/>
                <w:szCs w:val="22"/>
                <w:rtl w:val="0"/>
              </w:rPr>
              <w:t xml:space="preserve">PP </w:t>
            </w:r>
            <w:r w:rsidDel="00000000" w:rsidR="00000000" w:rsidRPr="00000000">
              <w:rPr>
                <w:i w:val="1"/>
                <w:iCs w:val="1"/>
                <w:sz w:val="22"/>
                <w:szCs w:val="22"/>
                <w:rtl w:val="0"/>
              </w:rPr>
              <w:t xml:space="preserve">d </w:t>
            </w:r>
          </w:p>
          <w:p w:rsidR="00000000" w:rsidDel="00000000" w:rsidP="00000000" w:rsidRDefault="00000000" w:rsidRPr="00000000" w14:paraId="000001E7">
            <w:pPr>
              <w:spacing w:line="240" w:lineRule="auto"/>
              <w:jc w:val="center"/>
              <w:rPr>
                <w:sz w:val="22"/>
                <w:szCs w:val="22"/>
              </w:rPr>
            </w:pPr>
            <w:sdt>
              <w:sdtPr>
                <w:id w:val="1816131598"/>
                <w:tag w:val="goog_rdk_42"/>
              </w:sdtPr>
              <w:sdtContent>
                <w:r w:rsidDel="00000000" w:rsidR="00000000" w:rsidRPr="00000000">
                  <w:rPr>
                    <w:rFonts w:ascii="Gungsuh" w:cs="Gungsuh" w:eastAsia="Gungsuh" w:hAnsi="Gungsuh"/>
                    <w:sz w:val="22"/>
                    <w:szCs w:val="22"/>
                    <w:rtl w:val="0"/>
                  </w:rPr>
                  <w:t xml:space="preserve">(AI − H)</w:t>
                </w:r>
              </w:sdtContent>
            </w:sdt>
          </w:p>
        </w:tc>
        <w:tc>
          <w:tcPr>
            <w:tcBorders>
              <w:top w:color="000000" w:space="0" w:sz="8" w:val="single"/>
              <w:left w:color="000000" w:space="0" w:sz="8" w:val="single"/>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E8">
            <w:pPr>
              <w:spacing w:line="240" w:lineRule="auto"/>
              <w:jc w:val="center"/>
              <w:rPr>
                <w:sz w:val="22"/>
                <w:szCs w:val="22"/>
              </w:rPr>
            </w:pPr>
            <w:r w:rsidDel="00000000" w:rsidR="00000000" w:rsidRPr="00000000">
              <w:rPr>
                <w:sz w:val="22"/>
                <w:szCs w:val="22"/>
                <w:rtl w:val="0"/>
              </w:rPr>
              <w:t xml:space="preserve">ITT AI (Mean ± SD)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E9">
            <w:pPr>
              <w:spacing w:line="240" w:lineRule="auto"/>
              <w:jc w:val="center"/>
              <w:rPr>
                <w:sz w:val="22"/>
                <w:szCs w:val="22"/>
              </w:rPr>
            </w:pPr>
            <w:r w:rsidDel="00000000" w:rsidR="00000000" w:rsidRPr="00000000">
              <w:rPr>
                <w:sz w:val="22"/>
                <w:szCs w:val="22"/>
                <w:rtl w:val="0"/>
              </w:rPr>
              <w:t xml:space="preserve">ITT </w:t>
            </w:r>
          </w:p>
          <w:p w:rsidR="00000000" w:rsidDel="00000000" w:rsidP="00000000" w:rsidRDefault="00000000" w:rsidRPr="00000000" w14:paraId="000001EA">
            <w:pPr>
              <w:spacing w:line="240" w:lineRule="auto"/>
              <w:jc w:val="center"/>
              <w:rPr>
                <w:sz w:val="22"/>
                <w:szCs w:val="22"/>
              </w:rPr>
            </w:pPr>
            <w:r w:rsidDel="00000000" w:rsidR="00000000" w:rsidRPr="00000000">
              <w:rPr>
                <w:sz w:val="22"/>
                <w:szCs w:val="22"/>
                <w:rtl w:val="0"/>
              </w:rPr>
              <w:t xml:space="preserve">Human (Mean ± SD)</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EB">
            <w:pPr>
              <w:spacing w:line="240" w:lineRule="auto"/>
              <w:jc w:val="center"/>
              <w:rPr>
                <w:sz w:val="22"/>
                <w:szCs w:val="22"/>
              </w:rPr>
            </w:pPr>
            <w:r w:rsidDel="00000000" w:rsidR="00000000" w:rsidRPr="00000000">
              <w:rPr>
                <w:sz w:val="22"/>
                <w:szCs w:val="22"/>
                <w:rtl w:val="0"/>
              </w:rPr>
              <w:t xml:space="preserve">ITT</w:t>
            </w:r>
          </w:p>
          <w:p w:rsidR="00000000" w:rsidDel="00000000" w:rsidP="00000000" w:rsidRDefault="00000000" w:rsidRPr="00000000" w14:paraId="000001EC">
            <w:pPr>
              <w:spacing w:line="240" w:lineRule="auto"/>
              <w:jc w:val="center"/>
              <w:rPr>
                <w:sz w:val="22"/>
                <w:szCs w:val="22"/>
              </w:rPr>
            </w:pPr>
            <w:r w:rsidDel="00000000" w:rsidR="00000000" w:rsidRPr="00000000">
              <w:rPr>
                <w:sz w:val="22"/>
                <w:szCs w:val="22"/>
                <w:rtl w:val="0"/>
              </w:rPr>
              <w:t xml:space="preserve"> </w:t>
            </w:r>
            <w:r w:rsidDel="00000000" w:rsidR="00000000" w:rsidRPr="00000000">
              <w:rPr>
                <w:i w:val="1"/>
                <w:iCs w:val="1"/>
                <w:sz w:val="22"/>
                <w:szCs w:val="22"/>
                <w:rtl w:val="0"/>
              </w:rPr>
              <w:t xml:space="preserve">p</w:t>
            </w:r>
            <w:r w:rsidDel="00000000" w:rsidR="00000000" w:rsidRPr="00000000">
              <w:rPr>
                <w:sz w:val="22"/>
                <w:szCs w:val="22"/>
                <w:rtl w:val="0"/>
              </w:rPr>
              <w:t xml:space="preserve">-value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ED">
            <w:pPr>
              <w:spacing w:line="240" w:lineRule="auto"/>
              <w:jc w:val="center"/>
              <w:rPr>
                <w:i w:val="1"/>
                <w:iCs w:val="1"/>
                <w:sz w:val="22"/>
                <w:szCs w:val="22"/>
              </w:rPr>
            </w:pPr>
            <w:r w:rsidDel="00000000" w:rsidR="00000000" w:rsidRPr="00000000">
              <w:rPr>
                <w:sz w:val="22"/>
                <w:szCs w:val="22"/>
                <w:rtl w:val="0"/>
              </w:rPr>
              <w:t xml:space="preserve">ITT </w:t>
            </w:r>
            <w:r w:rsidDel="00000000" w:rsidR="00000000" w:rsidRPr="00000000">
              <w:rPr>
                <w:i w:val="1"/>
                <w:iCs w:val="1"/>
                <w:sz w:val="22"/>
                <w:szCs w:val="22"/>
                <w:rtl w:val="0"/>
              </w:rPr>
              <w:t xml:space="preserve">d </w:t>
            </w:r>
          </w:p>
          <w:p w:rsidR="00000000" w:rsidDel="00000000" w:rsidP="00000000" w:rsidRDefault="00000000" w:rsidRPr="00000000" w14:paraId="000001EE">
            <w:pPr>
              <w:spacing w:line="240" w:lineRule="auto"/>
              <w:jc w:val="center"/>
              <w:rPr>
                <w:sz w:val="22"/>
                <w:szCs w:val="22"/>
              </w:rPr>
            </w:pPr>
            <w:sdt>
              <w:sdtPr>
                <w:id w:val="1729478206"/>
                <w:tag w:val="goog_rdk_43"/>
              </w:sdtPr>
              <w:sdtContent>
                <w:r w:rsidDel="00000000" w:rsidR="00000000" w:rsidRPr="00000000">
                  <w:rPr>
                    <w:rFonts w:ascii="Gungsuh" w:cs="Gungsuh" w:eastAsia="Gungsuh" w:hAnsi="Gungsuh"/>
                    <w:sz w:val="22"/>
                    <w:szCs w:val="22"/>
                    <w:rtl w:val="0"/>
                  </w:rPr>
                  <w:t xml:space="preserve">(AI − H)</w:t>
                </w:r>
              </w:sdtContent>
            </w:sdt>
          </w:p>
        </w:tc>
        <w:tc>
          <w:tcPr>
            <w:vMerge w:val="continue"/>
            <w:tcBorders>
              <w:top w:color="000000" w:space="0" w:sz="8" w:val="single"/>
              <w:left w:color="000000" w:space="0" w:sz="8" w:val="single"/>
              <w:bottom w:color="000000" w:space="0" w:sz="0" w:val="nil"/>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1F0">
            <w:pPr>
              <w:spacing w:line="240" w:lineRule="auto"/>
              <w:rPr>
                <w:sz w:val="22"/>
                <w:szCs w:val="22"/>
              </w:rPr>
            </w:pPr>
            <w:r w:rsidDel="00000000" w:rsidR="00000000" w:rsidRPr="00000000">
              <w:rPr>
                <w:sz w:val="22"/>
                <w:szCs w:val="22"/>
                <w:rtl w:val="0"/>
              </w:rPr>
              <w:t xml:space="preserve">Heart Murmur</w:t>
            </w:r>
          </w:p>
        </w:tc>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1">
            <w:pPr>
              <w:spacing w:line="240" w:lineRule="auto"/>
              <w:jc w:val="center"/>
              <w:rPr>
                <w:sz w:val="22"/>
                <w:szCs w:val="22"/>
              </w:rPr>
            </w:pPr>
            <w:r w:rsidDel="00000000" w:rsidR="00000000" w:rsidRPr="00000000">
              <w:rPr>
                <w:sz w:val="22"/>
                <w:szCs w:val="22"/>
                <w:rtl w:val="0"/>
              </w:rPr>
              <w:t xml:space="preserve">65.2 ± 47.6</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2">
            <w:pPr>
              <w:spacing w:line="240" w:lineRule="auto"/>
              <w:jc w:val="center"/>
              <w:rPr>
                <w:sz w:val="22"/>
                <w:szCs w:val="22"/>
              </w:rPr>
            </w:pPr>
            <w:r w:rsidDel="00000000" w:rsidR="00000000" w:rsidRPr="00000000">
              <w:rPr>
                <w:sz w:val="22"/>
                <w:szCs w:val="22"/>
                <w:rtl w:val="0"/>
              </w:rPr>
              <w:t xml:space="preserve">80.2 ± 39.8</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3">
            <w:pPr>
              <w:spacing w:line="240" w:lineRule="auto"/>
              <w:jc w:val="center"/>
              <w:rPr>
                <w:sz w:val="22"/>
                <w:szCs w:val="22"/>
              </w:rPr>
            </w:pPr>
            <w:r w:rsidDel="00000000" w:rsidR="00000000" w:rsidRPr="00000000">
              <w:rPr>
                <w:sz w:val="22"/>
                <w:szCs w:val="22"/>
                <w:rtl w:val="0"/>
              </w:rPr>
              <w:t xml:space="preserve">&lt;0.001</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1F4">
            <w:pPr>
              <w:spacing w:line="240" w:lineRule="auto"/>
              <w:jc w:val="center"/>
              <w:rPr>
                <w:sz w:val="22"/>
                <w:szCs w:val="22"/>
              </w:rPr>
            </w:pPr>
            <w:sdt>
              <w:sdtPr>
                <w:id w:val="-1436161412"/>
                <w:tag w:val="goog_rdk_44"/>
              </w:sdtPr>
              <w:sdtContent>
                <w:r w:rsidDel="00000000" w:rsidR="00000000" w:rsidRPr="00000000">
                  <w:rPr>
                    <w:rFonts w:ascii="Gungsuh" w:cs="Gungsuh" w:eastAsia="Gungsuh" w:hAnsi="Gungsuh"/>
                    <w:sz w:val="22"/>
                    <w:szCs w:val="22"/>
                    <w:rtl w:val="0"/>
                  </w:rPr>
                  <w:t xml:space="preserve">−0.342</w:t>
                </w:r>
              </w:sdtContent>
            </w:sdt>
          </w:p>
        </w:tc>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5">
            <w:pPr>
              <w:spacing w:line="240" w:lineRule="auto"/>
              <w:jc w:val="center"/>
              <w:rPr>
                <w:sz w:val="22"/>
                <w:szCs w:val="22"/>
              </w:rPr>
            </w:pPr>
            <w:r w:rsidDel="00000000" w:rsidR="00000000" w:rsidRPr="00000000">
              <w:rPr>
                <w:sz w:val="22"/>
                <w:szCs w:val="22"/>
                <w:rtl w:val="0"/>
              </w:rPr>
              <w:t xml:space="preserve">64.5 ± 47.9</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6">
            <w:pPr>
              <w:spacing w:line="240" w:lineRule="auto"/>
              <w:jc w:val="center"/>
              <w:rPr>
                <w:sz w:val="22"/>
                <w:szCs w:val="22"/>
              </w:rPr>
            </w:pPr>
            <w:r w:rsidDel="00000000" w:rsidR="00000000" w:rsidRPr="00000000">
              <w:rPr>
                <w:sz w:val="22"/>
                <w:szCs w:val="22"/>
                <w:rtl w:val="0"/>
              </w:rPr>
              <w:t xml:space="preserve">79.0 ± 40.8</w:t>
            </w:r>
          </w:p>
        </w:tc>
        <w:tc>
          <w:tcPr>
            <w:tcBorders>
              <w:top w:color="000000" w:space="0" w:sz="8"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7">
            <w:pPr>
              <w:spacing w:line="240" w:lineRule="auto"/>
              <w:jc w:val="center"/>
              <w:rPr>
                <w:sz w:val="22"/>
                <w:szCs w:val="22"/>
              </w:rPr>
            </w:pPr>
            <w:r w:rsidDel="00000000" w:rsidR="00000000" w:rsidRPr="00000000">
              <w:rPr>
                <w:sz w:val="22"/>
                <w:szCs w:val="22"/>
                <w:rtl w:val="0"/>
              </w:rPr>
              <w:t xml:space="preserve">&lt;0.001</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1F8">
            <w:pPr>
              <w:spacing w:line="240" w:lineRule="auto"/>
              <w:jc w:val="center"/>
              <w:rPr>
                <w:sz w:val="22"/>
                <w:szCs w:val="22"/>
              </w:rPr>
            </w:pPr>
            <w:sdt>
              <w:sdtPr>
                <w:id w:val="-2094572404"/>
                <w:tag w:val="goog_rdk_45"/>
              </w:sdtPr>
              <w:sdtContent>
                <w:r w:rsidDel="00000000" w:rsidR="00000000" w:rsidRPr="00000000">
                  <w:rPr>
                    <w:rFonts w:ascii="Gungsuh" w:cs="Gungsuh" w:eastAsia="Gungsuh" w:hAnsi="Gungsuh"/>
                    <w:sz w:val="22"/>
                    <w:szCs w:val="22"/>
                    <w:rtl w:val="0"/>
                  </w:rPr>
                  <w:t xml:space="preserve">−0.325</w:t>
                </w:r>
              </w:sdtContent>
            </w:sdt>
          </w:p>
        </w:tc>
        <w:tc>
          <w:tcPr>
            <w:tcBorders>
              <w:top w:color="000000" w:space="0" w:sz="8" w:val="single"/>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1F9">
            <w:pPr>
              <w:spacing w:line="240" w:lineRule="auto"/>
              <w:jc w:val="center"/>
              <w:rPr>
                <w:sz w:val="22"/>
                <w:szCs w:val="22"/>
              </w:rPr>
            </w:pPr>
            <w:r w:rsidDel="00000000" w:rsidR="00000000" w:rsidRPr="00000000">
              <w:rPr>
                <w:sz w:val="22"/>
                <w:szCs w:val="22"/>
                <w:rtl w:val="0"/>
              </w:rPr>
              <w:t xml:space="preserve">Human &gt; AI</w:t>
            </w:r>
          </w:p>
        </w:tc>
      </w:tr>
      <w:tr>
        <w:trPr>
          <w:cantSplit w:val="0"/>
          <w:trHeight w:val="431" w:hRule="atLeast"/>
          <w:tblHeader w:val="0"/>
        </w:trP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1FA">
            <w:pPr>
              <w:spacing w:line="240" w:lineRule="auto"/>
              <w:rPr>
                <w:sz w:val="22"/>
                <w:szCs w:val="22"/>
              </w:rPr>
            </w:pPr>
            <w:r w:rsidDel="00000000" w:rsidR="00000000" w:rsidRPr="00000000">
              <w:rPr>
                <w:sz w:val="22"/>
                <w:szCs w:val="22"/>
                <w:rtl w:val="0"/>
              </w:rPr>
              <w:t xml:space="preserve">Upper GI</w:t>
            </w:r>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B">
            <w:pPr>
              <w:spacing w:line="240" w:lineRule="auto"/>
              <w:jc w:val="center"/>
              <w:rPr>
                <w:sz w:val="22"/>
                <w:szCs w:val="22"/>
              </w:rPr>
            </w:pPr>
            <w:r w:rsidDel="00000000" w:rsidR="00000000" w:rsidRPr="00000000">
              <w:rPr>
                <w:sz w:val="22"/>
                <w:szCs w:val="22"/>
                <w:rtl w:val="0"/>
              </w:rPr>
              <w:t xml:space="preserve">78.5 ± 41.1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C">
            <w:pPr>
              <w:spacing w:line="240" w:lineRule="auto"/>
              <w:jc w:val="center"/>
              <w:rPr>
                <w:sz w:val="22"/>
                <w:szCs w:val="22"/>
              </w:rPr>
            </w:pPr>
            <w:r w:rsidDel="00000000" w:rsidR="00000000" w:rsidRPr="00000000">
              <w:rPr>
                <w:sz w:val="22"/>
                <w:szCs w:val="22"/>
                <w:rtl w:val="0"/>
              </w:rPr>
              <w:t xml:space="preserve">85.3 ± 35.4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D">
            <w:pPr>
              <w:spacing w:line="240" w:lineRule="auto"/>
              <w:jc w:val="center"/>
              <w:rPr>
                <w:sz w:val="22"/>
                <w:szCs w:val="22"/>
              </w:rPr>
            </w:pPr>
            <w:r w:rsidDel="00000000" w:rsidR="00000000" w:rsidRPr="00000000">
              <w:rPr>
                <w:sz w:val="22"/>
                <w:szCs w:val="22"/>
                <w:rtl w:val="0"/>
              </w:rPr>
              <w:t xml:space="preserve">&lt;0.001</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1FE">
            <w:pPr>
              <w:spacing w:line="240" w:lineRule="auto"/>
              <w:jc w:val="center"/>
              <w:rPr>
                <w:sz w:val="22"/>
                <w:szCs w:val="22"/>
              </w:rPr>
            </w:pPr>
            <w:sdt>
              <w:sdtPr>
                <w:id w:val="-1246590203"/>
                <w:tag w:val="goog_rdk_46"/>
              </w:sdtPr>
              <w:sdtContent>
                <w:r w:rsidDel="00000000" w:rsidR="00000000" w:rsidRPr="00000000">
                  <w:rPr>
                    <w:rFonts w:ascii="Gungsuh" w:cs="Gungsuh" w:eastAsia="Gungsuh" w:hAnsi="Gungsuh"/>
                    <w:sz w:val="22"/>
                    <w:szCs w:val="22"/>
                    <w:rtl w:val="0"/>
                  </w:rPr>
                  <w:t xml:space="preserve">−0.179</w:t>
                </w:r>
              </w:sdtContent>
            </w:sdt>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F">
            <w:pPr>
              <w:spacing w:line="240" w:lineRule="auto"/>
              <w:jc w:val="center"/>
              <w:rPr>
                <w:sz w:val="22"/>
                <w:szCs w:val="22"/>
              </w:rPr>
            </w:pPr>
            <w:r w:rsidDel="00000000" w:rsidR="00000000" w:rsidRPr="00000000">
              <w:rPr>
                <w:sz w:val="22"/>
                <w:szCs w:val="22"/>
                <w:rtl w:val="0"/>
              </w:rPr>
              <w:t xml:space="preserve">77.6 ± 41.7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0">
            <w:pPr>
              <w:spacing w:line="240" w:lineRule="auto"/>
              <w:jc w:val="center"/>
              <w:rPr>
                <w:sz w:val="22"/>
                <w:szCs w:val="22"/>
              </w:rPr>
            </w:pPr>
            <w:r w:rsidDel="00000000" w:rsidR="00000000" w:rsidRPr="00000000">
              <w:rPr>
                <w:sz w:val="22"/>
                <w:szCs w:val="22"/>
                <w:rtl w:val="0"/>
              </w:rPr>
              <w:t xml:space="preserve">83.9 ± 36.8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1">
            <w:pPr>
              <w:spacing w:line="240" w:lineRule="auto"/>
              <w:jc w:val="center"/>
              <w:rPr>
                <w:sz w:val="22"/>
                <w:szCs w:val="22"/>
              </w:rPr>
            </w:pPr>
            <w:r w:rsidDel="00000000" w:rsidR="00000000" w:rsidRPr="00000000">
              <w:rPr>
                <w:sz w:val="22"/>
                <w:szCs w:val="22"/>
                <w:rtl w:val="0"/>
              </w:rPr>
              <w:t xml:space="preserve">&lt;0.001</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02">
            <w:pPr>
              <w:spacing w:line="240" w:lineRule="auto"/>
              <w:jc w:val="center"/>
              <w:rPr>
                <w:sz w:val="22"/>
                <w:szCs w:val="22"/>
              </w:rPr>
            </w:pPr>
            <w:sdt>
              <w:sdtPr>
                <w:id w:val="187206801"/>
                <w:tag w:val="goog_rdk_47"/>
              </w:sdtPr>
              <w:sdtContent>
                <w:r w:rsidDel="00000000" w:rsidR="00000000" w:rsidRPr="00000000">
                  <w:rPr>
                    <w:rFonts w:ascii="Gungsuh" w:cs="Gungsuh" w:eastAsia="Gungsuh" w:hAnsi="Gungsuh"/>
                    <w:sz w:val="22"/>
                    <w:szCs w:val="22"/>
                    <w:rtl w:val="0"/>
                  </w:rPr>
                  <w:t xml:space="preserve">−0.159</w:t>
                </w:r>
              </w:sdtContent>
            </w:sdt>
          </w:p>
        </w:tc>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03">
            <w:pPr>
              <w:spacing w:line="240" w:lineRule="auto"/>
              <w:jc w:val="center"/>
              <w:rPr>
                <w:sz w:val="22"/>
                <w:szCs w:val="22"/>
              </w:rPr>
            </w:pPr>
            <w:r w:rsidDel="00000000" w:rsidR="00000000" w:rsidRPr="00000000">
              <w:rPr>
                <w:sz w:val="22"/>
                <w:szCs w:val="22"/>
                <w:rtl w:val="0"/>
              </w:rPr>
              <w:t xml:space="preserve">Human &gt; AI</w:t>
            </w:r>
          </w:p>
        </w:tc>
      </w:tr>
      <w:tr>
        <w:trPr>
          <w:cantSplit w:val="0"/>
          <w:trHeight w:val="431" w:hRule="atLeast"/>
          <w:tblHeader w:val="0"/>
        </w:trP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04">
            <w:pPr>
              <w:spacing w:line="240" w:lineRule="auto"/>
              <w:rPr>
                <w:sz w:val="22"/>
                <w:szCs w:val="22"/>
              </w:rPr>
            </w:pPr>
            <w:r w:rsidDel="00000000" w:rsidR="00000000" w:rsidRPr="00000000">
              <w:rPr>
                <w:sz w:val="22"/>
                <w:szCs w:val="22"/>
                <w:rtl w:val="0"/>
              </w:rPr>
              <w:t xml:space="preserve">Pregnancy</w:t>
            </w:r>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5">
            <w:pPr>
              <w:spacing w:line="240" w:lineRule="auto"/>
              <w:jc w:val="center"/>
              <w:rPr>
                <w:sz w:val="22"/>
                <w:szCs w:val="22"/>
              </w:rPr>
            </w:pPr>
            <w:r w:rsidDel="00000000" w:rsidR="00000000" w:rsidRPr="00000000">
              <w:rPr>
                <w:sz w:val="22"/>
                <w:szCs w:val="22"/>
                <w:rtl w:val="0"/>
              </w:rPr>
              <w:t xml:space="preserve">68.5 ± 46.5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6">
            <w:pPr>
              <w:spacing w:line="240" w:lineRule="auto"/>
              <w:jc w:val="center"/>
              <w:rPr>
                <w:sz w:val="22"/>
                <w:szCs w:val="22"/>
              </w:rPr>
            </w:pPr>
            <w:r w:rsidDel="00000000" w:rsidR="00000000" w:rsidRPr="00000000">
              <w:rPr>
                <w:sz w:val="22"/>
                <w:szCs w:val="22"/>
                <w:rtl w:val="0"/>
              </w:rPr>
              <w:t xml:space="preserve">75.0 ± 43.3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7">
            <w:pPr>
              <w:spacing w:line="240" w:lineRule="auto"/>
              <w:jc w:val="center"/>
              <w:rPr>
                <w:sz w:val="22"/>
                <w:szCs w:val="22"/>
              </w:rPr>
            </w:pPr>
            <w:r w:rsidDel="00000000" w:rsidR="00000000" w:rsidRPr="00000000">
              <w:rPr>
                <w:sz w:val="22"/>
                <w:szCs w:val="22"/>
                <w:rtl w:val="0"/>
              </w:rPr>
              <w:t xml:space="preserve">&lt;0.001</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08">
            <w:pPr>
              <w:spacing w:line="240" w:lineRule="auto"/>
              <w:jc w:val="center"/>
              <w:rPr>
                <w:sz w:val="22"/>
                <w:szCs w:val="22"/>
              </w:rPr>
            </w:pPr>
            <w:sdt>
              <w:sdtPr>
                <w:id w:val="1935680942"/>
                <w:tag w:val="goog_rdk_48"/>
              </w:sdtPr>
              <w:sdtContent>
                <w:r w:rsidDel="00000000" w:rsidR="00000000" w:rsidRPr="00000000">
                  <w:rPr>
                    <w:rFonts w:ascii="Gungsuh" w:cs="Gungsuh" w:eastAsia="Gungsuh" w:hAnsi="Gungsuh"/>
                    <w:sz w:val="22"/>
                    <w:szCs w:val="22"/>
                    <w:rtl w:val="0"/>
                  </w:rPr>
                  <w:t xml:space="preserve">−0.145</w:t>
                </w:r>
              </w:sdtContent>
            </w:sdt>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9">
            <w:pPr>
              <w:spacing w:line="240" w:lineRule="auto"/>
              <w:jc w:val="center"/>
              <w:rPr>
                <w:sz w:val="22"/>
                <w:szCs w:val="22"/>
              </w:rPr>
            </w:pPr>
            <w:r w:rsidDel="00000000" w:rsidR="00000000" w:rsidRPr="00000000">
              <w:rPr>
                <w:sz w:val="22"/>
                <w:szCs w:val="22"/>
                <w:rtl w:val="0"/>
              </w:rPr>
              <w:t xml:space="preserve">67.8 ± 46.7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A">
            <w:pPr>
              <w:spacing w:line="240" w:lineRule="auto"/>
              <w:jc w:val="center"/>
              <w:rPr>
                <w:sz w:val="22"/>
                <w:szCs w:val="22"/>
              </w:rPr>
            </w:pPr>
            <w:r w:rsidDel="00000000" w:rsidR="00000000" w:rsidRPr="00000000">
              <w:rPr>
                <w:sz w:val="22"/>
                <w:szCs w:val="22"/>
                <w:rtl w:val="0"/>
              </w:rPr>
              <w:t xml:space="preserve">73.8 ± 44.0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B">
            <w:pPr>
              <w:spacing w:line="240" w:lineRule="auto"/>
              <w:jc w:val="center"/>
              <w:rPr>
                <w:sz w:val="22"/>
                <w:szCs w:val="22"/>
              </w:rPr>
            </w:pPr>
            <w:r w:rsidDel="00000000" w:rsidR="00000000" w:rsidRPr="00000000">
              <w:rPr>
                <w:sz w:val="22"/>
                <w:szCs w:val="22"/>
                <w:rtl w:val="0"/>
              </w:rPr>
              <w:t xml:space="preserve">&lt;0.001</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0C">
            <w:pPr>
              <w:spacing w:line="240" w:lineRule="auto"/>
              <w:jc w:val="center"/>
              <w:rPr>
                <w:sz w:val="22"/>
                <w:szCs w:val="22"/>
              </w:rPr>
            </w:pPr>
            <w:sdt>
              <w:sdtPr>
                <w:id w:val="507103745"/>
                <w:tag w:val="goog_rdk_49"/>
              </w:sdtPr>
              <w:sdtContent>
                <w:r w:rsidDel="00000000" w:rsidR="00000000" w:rsidRPr="00000000">
                  <w:rPr>
                    <w:rFonts w:ascii="Gungsuh" w:cs="Gungsuh" w:eastAsia="Gungsuh" w:hAnsi="Gungsuh"/>
                    <w:sz w:val="22"/>
                    <w:szCs w:val="22"/>
                    <w:rtl w:val="0"/>
                  </w:rPr>
                  <w:t xml:space="preserve">−0.132</w:t>
                </w:r>
              </w:sdtContent>
            </w:sdt>
          </w:p>
        </w:tc>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0D">
            <w:pPr>
              <w:spacing w:line="240" w:lineRule="auto"/>
              <w:jc w:val="center"/>
              <w:rPr>
                <w:sz w:val="22"/>
                <w:szCs w:val="22"/>
              </w:rPr>
            </w:pPr>
            <w:r w:rsidDel="00000000" w:rsidR="00000000" w:rsidRPr="00000000">
              <w:rPr>
                <w:sz w:val="22"/>
                <w:szCs w:val="22"/>
                <w:rtl w:val="0"/>
              </w:rPr>
              <w:t xml:space="preserve">Human &gt; AI</w:t>
            </w:r>
          </w:p>
        </w:tc>
      </w:tr>
      <w:tr>
        <w:trPr>
          <w:cantSplit w:val="0"/>
          <w:trHeight w:val="431" w:hRule="atLeast"/>
          <w:tblHeader w:val="0"/>
        </w:trP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0E">
            <w:pPr>
              <w:spacing w:line="240" w:lineRule="auto"/>
              <w:rPr>
                <w:sz w:val="22"/>
                <w:szCs w:val="22"/>
              </w:rPr>
            </w:pPr>
            <w:r w:rsidDel="00000000" w:rsidR="00000000" w:rsidRPr="00000000">
              <w:rPr>
                <w:sz w:val="22"/>
                <w:szCs w:val="22"/>
                <w:rtl w:val="0"/>
              </w:rPr>
              <w:t xml:space="preserve">Diabetes</w:t>
            </w:r>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F">
            <w:pPr>
              <w:spacing w:line="240" w:lineRule="auto"/>
              <w:jc w:val="center"/>
              <w:rPr>
                <w:sz w:val="22"/>
                <w:szCs w:val="22"/>
              </w:rPr>
            </w:pPr>
            <w:r w:rsidDel="00000000" w:rsidR="00000000" w:rsidRPr="00000000">
              <w:rPr>
                <w:sz w:val="22"/>
                <w:szCs w:val="22"/>
                <w:rtl w:val="0"/>
              </w:rPr>
              <w:t xml:space="preserve">76.5 ± 42.4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0">
            <w:pPr>
              <w:spacing w:line="240" w:lineRule="auto"/>
              <w:jc w:val="center"/>
              <w:rPr>
                <w:sz w:val="22"/>
                <w:szCs w:val="22"/>
              </w:rPr>
            </w:pPr>
            <w:r w:rsidDel="00000000" w:rsidR="00000000" w:rsidRPr="00000000">
              <w:rPr>
                <w:sz w:val="22"/>
                <w:szCs w:val="22"/>
                <w:rtl w:val="0"/>
              </w:rPr>
              <w:t xml:space="preserve">81.1 ± 39.2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1">
            <w:pPr>
              <w:spacing w:line="240" w:lineRule="auto"/>
              <w:jc w:val="center"/>
              <w:rPr>
                <w:sz w:val="22"/>
                <w:szCs w:val="22"/>
              </w:rPr>
            </w:pPr>
            <w:r w:rsidDel="00000000" w:rsidR="00000000" w:rsidRPr="00000000">
              <w:rPr>
                <w:sz w:val="22"/>
                <w:szCs w:val="22"/>
                <w:rtl w:val="0"/>
              </w:rPr>
              <w:t xml:space="preserve">&lt;0.001</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12">
            <w:pPr>
              <w:spacing w:line="240" w:lineRule="auto"/>
              <w:jc w:val="center"/>
              <w:rPr>
                <w:sz w:val="22"/>
                <w:szCs w:val="22"/>
              </w:rPr>
            </w:pPr>
            <w:sdt>
              <w:sdtPr>
                <w:id w:val="1260419445"/>
                <w:tag w:val="goog_rdk_50"/>
              </w:sdtPr>
              <w:sdtContent>
                <w:r w:rsidDel="00000000" w:rsidR="00000000" w:rsidRPr="00000000">
                  <w:rPr>
                    <w:rFonts w:ascii="Gungsuh" w:cs="Gungsuh" w:eastAsia="Gungsuh" w:hAnsi="Gungsuh"/>
                    <w:sz w:val="22"/>
                    <w:szCs w:val="22"/>
                    <w:rtl w:val="0"/>
                  </w:rPr>
                  <w:t xml:space="preserve">−0.113</w:t>
                </w:r>
              </w:sdtContent>
            </w:sdt>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3">
            <w:pPr>
              <w:spacing w:line="240" w:lineRule="auto"/>
              <w:jc w:val="center"/>
              <w:rPr>
                <w:sz w:val="22"/>
                <w:szCs w:val="22"/>
              </w:rPr>
            </w:pPr>
            <w:r w:rsidDel="00000000" w:rsidR="00000000" w:rsidRPr="00000000">
              <w:rPr>
                <w:sz w:val="22"/>
                <w:szCs w:val="22"/>
                <w:rtl w:val="0"/>
              </w:rPr>
              <w:t xml:space="preserve">75.9 ± 42.8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4">
            <w:pPr>
              <w:spacing w:line="240" w:lineRule="auto"/>
              <w:jc w:val="center"/>
              <w:rPr>
                <w:sz w:val="22"/>
                <w:szCs w:val="22"/>
              </w:rPr>
            </w:pPr>
            <w:r w:rsidDel="00000000" w:rsidR="00000000" w:rsidRPr="00000000">
              <w:rPr>
                <w:sz w:val="22"/>
                <w:szCs w:val="22"/>
                <w:rtl w:val="0"/>
              </w:rPr>
              <w:t xml:space="preserve">79.6 ± 40.3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5">
            <w:pPr>
              <w:spacing w:line="240" w:lineRule="auto"/>
              <w:jc w:val="center"/>
              <w:rPr>
                <w:sz w:val="22"/>
                <w:szCs w:val="22"/>
              </w:rPr>
            </w:pPr>
            <w:r w:rsidDel="00000000" w:rsidR="00000000" w:rsidRPr="00000000">
              <w:rPr>
                <w:sz w:val="22"/>
                <w:szCs w:val="22"/>
                <w:rtl w:val="0"/>
              </w:rPr>
              <w:t xml:space="preserve">0.007</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16">
            <w:pPr>
              <w:spacing w:line="240" w:lineRule="auto"/>
              <w:jc w:val="center"/>
              <w:rPr>
                <w:sz w:val="22"/>
                <w:szCs w:val="22"/>
              </w:rPr>
            </w:pPr>
            <w:sdt>
              <w:sdtPr>
                <w:id w:val="131807086"/>
                <w:tag w:val="goog_rdk_51"/>
              </w:sdtPr>
              <w:sdtContent>
                <w:r w:rsidDel="00000000" w:rsidR="00000000" w:rsidRPr="00000000">
                  <w:rPr>
                    <w:rFonts w:ascii="Gungsuh" w:cs="Gungsuh" w:eastAsia="Gungsuh" w:hAnsi="Gungsuh"/>
                    <w:sz w:val="22"/>
                    <w:szCs w:val="22"/>
                    <w:rtl w:val="0"/>
                  </w:rPr>
                  <w:t xml:space="preserve">−0.090</w:t>
                </w:r>
              </w:sdtContent>
            </w:sdt>
          </w:p>
        </w:tc>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17">
            <w:pPr>
              <w:spacing w:line="240" w:lineRule="auto"/>
              <w:jc w:val="center"/>
              <w:rPr>
                <w:sz w:val="22"/>
                <w:szCs w:val="22"/>
              </w:rPr>
            </w:pPr>
            <w:r w:rsidDel="00000000" w:rsidR="00000000" w:rsidRPr="00000000">
              <w:rPr>
                <w:sz w:val="22"/>
                <w:szCs w:val="22"/>
                <w:rtl w:val="0"/>
              </w:rPr>
              <w:t xml:space="preserve">Human &gt; AI</w:t>
            </w:r>
          </w:p>
        </w:tc>
      </w:tr>
      <w:tr>
        <w:trPr>
          <w:cantSplit w:val="0"/>
          <w:trHeight w:val="431" w:hRule="atLeast"/>
          <w:tblHeader w:val="0"/>
        </w:trP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18">
            <w:pPr>
              <w:spacing w:line="240" w:lineRule="auto"/>
              <w:rPr>
                <w:sz w:val="22"/>
                <w:szCs w:val="22"/>
              </w:rPr>
            </w:pPr>
            <w:r w:rsidDel="00000000" w:rsidR="00000000" w:rsidRPr="00000000">
              <w:rPr>
                <w:sz w:val="22"/>
                <w:szCs w:val="22"/>
                <w:rtl w:val="0"/>
              </w:rPr>
              <w:t xml:space="preserve">Nutrient Absorption</w:t>
            </w:r>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19">
            <w:pPr>
              <w:spacing w:line="240" w:lineRule="auto"/>
              <w:jc w:val="center"/>
              <w:rPr>
                <w:sz w:val="22"/>
                <w:szCs w:val="22"/>
              </w:rPr>
            </w:pPr>
            <w:r w:rsidDel="00000000" w:rsidR="00000000" w:rsidRPr="00000000">
              <w:rPr>
                <w:sz w:val="22"/>
                <w:szCs w:val="22"/>
                <w:rtl w:val="0"/>
              </w:rPr>
              <w:t xml:space="preserve">81.0 ± 39.3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1A">
            <w:pPr>
              <w:spacing w:line="240" w:lineRule="auto"/>
              <w:jc w:val="center"/>
              <w:rPr>
                <w:sz w:val="22"/>
                <w:szCs w:val="22"/>
              </w:rPr>
            </w:pPr>
            <w:r w:rsidDel="00000000" w:rsidR="00000000" w:rsidRPr="00000000">
              <w:rPr>
                <w:sz w:val="22"/>
                <w:szCs w:val="22"/>
                <w:rtl w:val="0"/>
              </w:rPr>
              <w:t xml:space="preserve">71.1 ± 45.3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1B">
            <w:pPr>
              <w:spacing w:line="240" w:lineRule="auto"/>
              <w:jc w:val="center"/>
              <w:rPr>
                <w:sz w:val="22"/>
                <w:szCs w:val="22"/>
              </w:rPr>
            </w:pPr>
            <w:r w:rsidDel="00000000" w:rsidR="00000000" w:rsidRPr="00000000">
              <w:rPr>
                <w:sz w:val="22"/>
                <w:szCs w:val="22"/>
                <w:rtl w:val="0"/>
              </w:rPr>
              <w:t xml:space="preserve">&lt;0.001</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C">
            <w:pPr>
              <w:spacing w:line="240" w:lineRule="auto"/>
              <w:jc w:val="center"/>
              <w:rPr>
                <w:sz w:val="22"/>
                <w:szCs w:val="22"/>
              </w:rPr>
            </w:pPr>
            <w:r w:rsidDel="00000000" w:rsidR="00000000" w:rsidRPr="00000000">
              <w:rPr>
                <w:sz w:val="22"/>
                <w:szCs w:val="22"/>
                <w:rtl w:val="0"/>
              </w:rPr>
              <w:t xml:space="preserve">0.231</w:t>
            </w:r>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1D">
            <w:pPr>
              <w:spacing w:line="240" w:lineRule="auto"/>
              <w:jc w:val="center"/>
              <w:rPr>
                <w:sz w:val="22"/>
                <w:szCs w:val="22"/>
              </w:rPr>
            </w:pPr>
            <w:r w:rsidDel="00000000" w:rsidR="00000000" w:rsidRPr="00000000">
              <w:rPr>
                <w:sz w:val="22"/>
                <w:szCs w:val="22"/>
                <w:rtl w:val="0"/>
              </w:rPr>
              <w:t xml:space="preserve">79.9 ± 40.1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1E">
            <w:pPr>
              <w:spacing w:line="240" w:lineRule="auto"/>
              <w:jc w:val="center"/>
              <w:rPr>
                <w:sz w:val="22"/>
                <w:szCs w:val="22"/>
              </w:rPr>
            </w:pPr>
            <w:r w:rsidDel="00000000" w:rsidR="00000000" w:rsidRPr="00000000">
              <w:rPr>
                <w:sz w:val="22"/>
                <w:szCs w:val="22"/>
                <w:rtl w:val="0"/>
              </w:rPr>
              <w:t xml:space="preserve">69.9 ± 45.9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1F">
            <w:pPr>
              <w:spacing w:line="240" w:lineRule="auto"/>
              <w:jc w:val="center"/>
              <w:rPr>
                <w:sz w:val="22"/>
                <w:szCs w:val="22"/>
              </w:rPr>
            </w:pPr>
            <w:r w:rsidDel="00000000" w:rsidR="00000000" w:rsidRPr="00000000">
              <w:rPr>
                <w:sz w:val="22"/>
                <w:szCs w:val="22"/>
                <w:rtl w:val="0"/>
              </w:rPr>
              <w:t xml:space="preserve">&lt;0.001</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0">
            <w:pPr>
              <w:spacing w:line="240" w:lineRule="auto"/>
              <w:jc w:val="center"/>
              <w:rPr>
                <w:sz w:val="22"/>
                <w:szCs w:val="22"/>
              </w:rPr>
            </w:pPr>
            <w:r w:rsidDel="00000000" w:rsidR="00000000" w:rsidRPr="00000000">
              <w:rPr>
                <w:sz w:val="22"/>
                <w:szCs w:val="22"/>
                <w:rtl w:val="0"/>
              </w:rPr>
              <w:t xml:space="preserve">0.231</w:t>
            </w:r>
          </w:p>
        </w:tc>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1">
            <w:pPr>
              <w:spacing w:line="240" w:lineRule="auto"/>
              <w:jc w:val="center"/>
              <w:rPr>
                <w:sz w:val="22"/>
                <w:szCs w:val="22"/>
              </w:rPr>
            </w:pPr>
            <w:r w:rsidDel="00000000" w:rsidR="00000000" w:rsidRPr="00000000">
              <w:rPr>
                <w:sz w:val="22"/>
                <w:szCs w:val="22"/>
                <w:rtl w:val="0"/>
              </w:rPr>
              <w:t xml:space="preserve">AI &gt; Human</w:t>
            </w:r>
          </w:p>
        </w:tc>
      </w:tr>
      <w:tr>
        <w:trPr>
          <w:cantSplit w:val="0"/>
          <w:trHeight w:val="431" w:hRule="atLeast"/>
          <w:tblHeader w:val="0"/>
        </w:trP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22">
            <w:pPr>
              <w:spacing w:line="240" w:lineRule="auto"/>
              <w:rPr>
                <w:sz w:val="22"/>
                <w:szCs w:val="22"/>
              </w:rPr>
            </w:pPr>
            <w:r w:rsidDel="00000000" w:rsidR="00000000" w:rsidRPr="00000000">
              <w:rPr>
                <w:sz w:val="22"/>
                <w:szCs w:val="22"/>
                <w:rtl w:val="0"/>
              </w:rPr>
              <w:t xml:space="preserve">Hypertension</w:t>
            </w:r>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3">
            <w:pPr>
              <w:spacing w:line="240" w:lineRule="auto"/>
              <w:jc w:val="center"/>
              <w:rPr>
                <w:sz w:val="22"/>
                <w:szCs w:val="22"/>
              </w:rPr>
            </w:pPr>
            <w:r w:rsidDel="00000000" w:rsidR="00000000" w:rsidRPr="00000000">
              <w:rPr>
                <w:sz w:val="22"/>
                <w:szCs w:val="22"/>
                <w:rtl w:val="0"/>
              </w:rPr>
              <w:t xml:space="preserve">76.5 ± 42.4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4">
            <w:pPr>
              <w:spacing w:line="240" w:lineRule="auto"/>
              <w:jc w:val="center"/>
              <w:rPr>
                <w:sz w:val="22"/>
                <w:szCs w:val="22"/>
              </w:rPr>
            </w:pPr>
            <w:r w:rsidDel="00000000" w:rsidR="00000000" w:rsidRPr="00000000">
              <w:rPr>
                <w:sz w:val="22"/>
                <w:szCs w:val="22"/>
                <w:rtl w:val="0"/>
              </w:rPr>
              <w:t xml:space="preserve">76.6 ± 42.4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5">
            <w:pPr>
              <w:spacing w:line="240" w:lineRule="auto"/>
              <w:jc w:val="center"/>
              <w:rPr>
                <w:sz w:val="22"/>
                <w:szCs w:val="22"/>
              </w:rPr>
            </w:pPr>
            <w:r w:rsidDel="00000000" w:rsidR="00000000" w:rsidRPr="00000000">
              <w:rPr>
                <w:sz w:val="22"/>
                <w:szCs w:val="22"/>
                <w:rtl w:val="0"/>
              </w:rPr>
              <w:t xml:space="preserve">0.950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26">
            <w:pPr>
              <w:spacing w:line="240" w:lineRule="auto"/>
              <w:jc w:val="center"/>
              <w:rPr>
                <w:sz w:val="22"/>
                <w:szCs w:val="22"/>
              </w:rPr>
            </w:pPr>
            <w:sdt>
              <w:sdtPr>
                <w:id w:val="-1964197451"/>
                <w:tag w:val="goog_rdk_52"/>
              </w:sdtPr>
              <w:sdtContent>
                <w:r w:rsidDel="00000000" w:rsidR="00000000" w:rsidRPr="00000000">
                  <w:rPr>
                    <w:rFonts w:ascii="Gungsuh" w:cs="Gungsuh" w:eastAsia="Gungsuh" w:hAnsi="Gungsuh"/>
                    <w:sz w:val="22"/>
                    <w:szCs w:val="22"/>
                    <w:rtl w:val="0"/>
                  </w:rPr>
                  <w:t xml:space="preserve">−0.002</w:t>
                </w:r>
              </w:sdtContent>
            </w:sdt>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7">
            <w:pPr>
              <w:spacing w:line="240" w:lineRule="auto"/>
              <w:jc w:val="center"/>
              <w:rPr>
                <w:sz w:val="22"/>
                <w:szCs w:val="22"/>
              </w:rPr>
            </w:pPr>
            <w:r w:rsidDel="00000000" w:rsidR="00000000" w:rsidRPr="00000000">
              <w:rPr>
                <w:sz w:val="22"/>
                <w:szCs w:val="22"/>
                <w:rtl w:val="0"/>
              </w:rPr>
              <w:t xml:space="preserve">76.4 ± 42.6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8">
            <w:pPr>
              <w:spacing w:line="240" w:lineRule="auto"/>
              <w:jc w:val="center"/>
              <w:rPr>
                <w:sz w:val="22"/>
                <w:szCs w:val="22"/>
              </w:rPr>
            </w:pPr>
            <w:r w:rsidDel="00000000" w:rsidR="00000000" w:rsidRPr="00000000">
              <w:rPr>
                <w:sz w:val="22"/>
                <w:szCs w:val="22"/>
                <w:rtl w:val="0"/>
              </w:rPr>
              <w:t xml:space="preserve">76.8 ± 42.1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9">
            <w:pPr>
              <w:spacing w:line="240" w:lineRule="auto"/>
              <w:jc w:val="center"/>
              <w:rPr>
                <w:sz w:val="22"/>
                <w:szCs w:val="22"/>
              </w:rPr>
            </w:pPr>
            <w:r w:rsidDel="00000000" w:rsidR="00000000" w:rsidRPr="00000000">
              <w:rPr>
                <w:sz w:val="22"/>
                <w:szCs w:val="22"/>
                <w:rtl w:val="0"/>
              </w:rPr>
              <w:t xml:space="preserve">0.526</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2A">
            <w:pPr>
              <w:spacing w:line="240" w:lineRule="auto"/>
              <w:jc w:val="center"/>
              <w:rPr>
                <w:sz w:val="22"/>
                <w:szCs w:val="22"/>
              </w:rPr>
            </w:pPr>
            <w:sdt>
              <w:sdtPr>
                <w:id w:val="1706443582"/>
                <w:tag w:val="goog_rdk_53"/>
              </w:sdtPr>
              <w:sdtContent>
                <w:r w:rsidDel="00000000" w:rsidR="00000000" w:rsidRPr="00000000">
                  <w:rPr>
                    <w:rFonts w:ascii="Gungsuh" w:cs="Gungsuh" w:eastAsia="Gungsuh" w:hAnsi="Gungsuh"/>
                    <w:sz w:val="22"/>
                    <w:szCs w:val="22"/>
                    <w:rtl w:val="0"/>
                  </w:rPr>
                  <w:t xml:space="preserve">−0.015</w:t>
                </w:r>
              </w:sdtContent>
            </w:sdt>
          </w:p>
        </w:tc>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2B">
            <w:pPr>
              <w:spacing w:line="240" w:lineRule="auto"/>
              <w:jc w:val="center"/>
              <w:rPr>
                <w:sz w:val="22"/>
                <w:szCs w:val="22"/>
              </w:rPr>
            </w:pPr>
            <w:r w:rsidDel="00000000" w:rsidR="00000000" w:rsidRPr="00000000">
              <w:rPr>
                <w:sz w:val="22"/>
                <w:szCs w:val="22"/>
                <w:rtl w:val="0"/>
              </w:rPr>
              <w:t xml:space="preserve">No diff</w:t>
            </w:r>
          </w:p>
        </w:tc>
      </w:tr>
      <w:tr>
        <w:trPr>
          <w:cantSplit w:val="0"/>
          <w:trHeight w:val="431" w:hRule="atLeast"/>
          <w:tblHeader w:val="0"/>
        </w:trP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2C">
            <w:pPr>
              <w:spacing w:line="240" w:lineRule="auto"/>
              <w:rPr>
                <w:sz w:val="22"/>
                <w:szCs w:val="22"/>
              </w:rPr>
            </w:pPr>
            <w:r w:rsidDel="00000000" w:rsidR="00000000" w:rsidRPr="00000000">
              <w:rPr>
                <w:sz w:val="22"/>
                <w:szCs w:val="22"/>
                <w:rtl w:val="0"/>
              </w:rPr>
              <w:t xml:space="preserve">Infertility</w:t>
            </w:r>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D">
            <w:pPr>
              <w:spacing w:line="240" w:lineRule="auto"/>
              <w:jc w:val="center"/>
              <w:rPr>
                <w:sz w:val="22"/>
                <w:szCs w:val="22"/>
              </w:rPr>
            </w:pPr>
            <w:r w:rsidDel="00000000" w:rsidR="00000000" w:rsidRPr="00000000">
              <w:rPr>
                <w:sz w:val="22"/>
                <w:szCs w:val="22"/>
                <w:rtl w:val="0"/>
              </w:rPr>
              <w:t xml:space="preserve">68.0 ± 46.7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E">
            <w:pPr>
              <w:spacing w:line="240" w:lineRule="auto"/>
              <w:jc w:val="center"/>
              <w:rPr>
                <w:sz w:val="22"/>
                <w:szCs w:val="22"/>
              </w:rPr>
            </w:pPr>
            <w:r w:rsidDel="00000000" w:rsidR="00000000" w:rsidRPr="00000000">
              <w:rPr>
                <w:sz w:val="22"/>
                <w:szCs w:val="22"/>
                <w:rtl w:val="0"/>
              </w:rPr>
              <w:t xml:space="preserve">66.6 ± 47.2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F">
            <w:pPr>
              <w:spacing w:line="240" w:lineRule="auto"/>
              <w:jc w:val="center"/>
              <w:rPr>
                <w:sz w:val="22"/>
                <w:szCs w:val="22"/>
              </w:rPr>
            </w:pPr>
            <w:r w:rsidDel="00000000" w:rsidR="00000000" w:rsidRPr="00000000">
              <w:rPr>
                <w:sz w:val="22"/>
                <w:szCs w:val="22"/>
                <w:rtl w:val="0"/>
              </w:rPr>
              <w:t xml:space="preserve">0.388</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30">
            <w:pPr>
              <w:spacing w:line="240" w:lineRule="auto"/>
              <w:jc w:val="center"/>
              <w:rPr>
                <w:sz w:val="22"/>
                <w:szCs w:val="22"/>
              </w:rPr>
            </w:pPr>
            <w:r w:rsidDel="00000000" w:rsidR="00000000" w:rsidRPr="00000000">
              <w:rPr>
                <w:sz w:val="22"/>
                <w:szCs w:val="22"/>
                <w:rtl w:val="0"/>
              </w:rPr>
              <w:t xml:space="preserve">0.029</w:t>
            </w:r>
          </w:p>
        </w:tc>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31">
            <w:pPr>
              <w:spacing w:line="240" w:lineRule="auto"/>
              <w:jc w:val="center"/>
              <w:rPr>
                <w:sz w:val="22"/>
                <w:szCs w:val="22"/>
              </w:rPr>
            </w:pPr>
            <w:r w:rsidDel="00000000" w:rsidR="00000000" w:rsidRPr="00000000">
              <w:rPr>
                <w:sz w:val="22"/>
                <w:szCs w:val="22"/>
                <w:rtl w:val="0"/>
              </w:rPr>
              <w:t xml:space="preserve">67.5 ± 46.9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32">
            <w:pPr>
              <w:spacing w:line="240" w:lineRule="auto"/>
              <w:jc w:val="center"/>
              <w:rPr>
                <w:sz w:val="22"/>
                <w:szCs w:val="22"/>
              </w:rPr>
            </w:pPr>
            <w:r w:rsidDel="00000000" w:rsidR="00000000" w:rsidRPr="00000000">
              <w:rPr>
                <w:sz w:val="22"/>
                <w:szCs w:val="22"/>
                <w:rtl w:val="0"/>
              </w:rPr>
              <w:t xml:space="preserve">66.8 ± 47.0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33">
            <w:pPr>
              <w:spacing w:line="240" w:lineRule="auto"/>
              <w:jc w:val="center"/>
              <w:rPr>
                <w:sz w:val="22"/>
                <w:szCs w:val="22"/>
              </w:rPr>
            </w:pPr>
            <w:r w:rsidDel="00000000" w:rsidR="00000000" w:rsidRPr="00000000">
              <w:rPr>
                <w:sz w:val="22"/>
                <w:szCs w:val="22"/>
                <w:rtl w:val="0"/>
              </w:rPr>
              <w:t xml:space="preserve">0.200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34">
            <w:pPr>
              <w:spacing w:line="240" w:lineRule="auto"/>
              <w:jc w:val="center"/>
              <w:rPr>
                <w:sz w:val="22"/>
                <w:szCs w:val="22"/>
              </w:rPr>
            </w:pPr>
            <w:r w:rsidDel="00000000" w:rsidR="00000000" w:rsidRPr="00000000">
              <w:rPr>
                <w:sz w:val="22"/>
                <w:szCs w:val="22"/>
                <w:rtl w:val="0"/>
              </w:rPr>
              <w:t xml:space="preserve">0.041</w:t>
            </w:r>
          </w:p>
        </w:tc>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235">
            <w:pPr>
              <w:spacing w:line="240" w:lineRule="auto"/>
              <w:jc w:val="center"/>
              <w:rPr>
                <w:sz w:val="22"/>
                <w:szCs w:val="22"/>
              </w:rPr>
            </w:pPr>
            <w:r w:rsidDel="00000000" w:rsidR="00000000" w:rsidRPr="00000000">
              <w:rPr>
                <w:sz w:val="22"/>
                <w:szCs w:val="22"/>
                <w:rtl w:val="0"/>
              </w:rPr>
              <w:t xml:space="preserve">No diff</w:t>
            </w:r>
          </w:p>
        </w:tc>
      </w:tr>
      <w:tr>
        <w:trPr>
          <w:cantSplit w:val="0"/>
          <w:trHeight w:val="43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6">
            <w:pPr>
              <w:spacing w:line="240" w:lineRule="auto"/>
              <w:rPr>
                <w:sz w:val="22"/>
                <w:szCs w:val="22"/>
              </w:rPr>
            </w:pPr>
            <w:r w:rsidDel="00000000" w:rsidR="00000000" w:rsidRPr="00000000">
              <w:rPr>
                <w:sz w:val="22"/>
                <w:szCs w:val="22"/>
                <w:rtl w:val="0"/>
              </w:rPr>
              <w:t xml:space="preserve">Lower GI</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237">
            <w:pPr>
              <w:spacing w:line="240" w:lineRule="auto"/>
              <w:jc w:val="center"/>
              <w:rPr>
                <w:sz w:val="22"/>
                <w:szCs w:val="22"/>
              </w:rPr>
            </w:pPr>
            <w:r w:rsidDel="00000000" w:rsidR="00000000" w:rsidRPr="00000000">
              <w:rPr>
                <w:sz w:val="22"/>
                <w:szCs w:val="22"/>
                <w:rtl w:val="0"/>
              </w:rPr>
              <w:t xml:space="preserve">59.2 ± 49.2</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238">
            <w:pPr>
              <w:spacing w:line="240" w:lineRule="auto"/>
              <w:jc w:val="center"/>
              <w:rPr>
                <w:sz w:val="22"/>
                <w:szCs w:val="22"/>
              </w:rPr>
            </w:pPr>
            <w:r w:rsidDel="00000000" w:rsidR="00000000" w:rsidRPr="00000000">
              <w:rPr>
                <w:sz w:val="22"/>
                <w:szCs w:val="22"/>
                <w:rtl w:val="0"/>
              </w:rPr>
              <w:t xml:space="preserve">61.0 ± 48.8</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239">
            <w:pPr>
              <w:spacing w:line="240" w:lineRule="auto"/>
              <w:jc w:val="center"/>
              <w:rPr>
                <w:sz w:val="22"/>
                <w:szCs w:val="22"/>
              </w:rPr>
            </w:pPr>
            <w:r w:rsidDel="00000000" w:rsidR="00000000" w:rsidRPr="00000000">
              <w:rPr>
                <w:sz w:val="22"/>
                <w:szCs w:val="22"/>
                <w:rtl w:val="0"/>
              </w:rPr>
              <w:t xml:space="preserve">0.265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A">
            <w:pPr>
              <w:spacing w:line="240" w:lineRule="auto"/>
              <w:jc w:val="center"/>
              <w:rPr>
                <w:sz w:val="22"/>
                <w:szCs w:val="22"/>
              </w:rPr>
            </w:pPr>
            <w:sdt>
              <w:sdtPr>
                <w:id w:val="-1731486137"/>
                <w:tag w:val="goog_rdk_54"/>
              </w:sdtPr>
              <w:sdtContent>
                <w:r w:rsidDel="00000000" w:rsidR="00000000" w:rsidRPr="00000000">
                  <w:rPr>
                    <w:rFonts w:ascii="Gungsuh" w:cs="Gungsuh" w:eastAsia="Gungsuh" w:hAnsi="Gungsuh"/>
                    <w:sz w:val="22"/>
                    <w:szCs w:val="22"/>
                    <w:rtl w:val="0"/>
                  </w:rPr>
                  <w:t xml:space="preserve">−0.038</w:t>
                </w:r>
              </w:sdtContent>
            </w:sdt>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23B">
            <w:pPr>
              <w:spacing w:line="240" w:lineRule="auto"/>
              <w:jc w:val="center"/>
              <w:rPr>
                <w:sz w:val="22"/>
                <w:szCs w:val="22"/>
              </w:rPr>
            </w:pPr>
            <w:r w:rsidDel="00000000" w:rsidR="00000000" w:rsidRPr="00000000">
              <w:rPr>
                <w:sz w:val="22"/>
                <w:szCs w:val="22"/>
                <w:rtl w:val="0"/>
              </w:rPr>
              <w:t xml:space="preserve">58.7 ± 49.4</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23C">
            <w:pPr>
              <w:spacing w:line="240" w:lineRule="auto"/>
              <w:jc w:val="center"/>
              <w:rPr>
                <w:sz w:val="22"/>
                <w:szCs w:val="22"/>
              </w:rPr>
            </w:pPr>
            <w:r w:rsidDel="00000000" w:rsidR="00000000" w:rsidRPr="00000000">
              <w:rPr>
                <w:sz w:val="22"/>
                <w:szCs w:val="22"/>
                <w:rtl w:val="0"/>
              </w:rPr>
              <w:t xml:space="preserve">60.1 ± 48.9</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23D">
            <w:pPr>
              <w:spacing w:line="240" w:lineRule="auto"/>
              <w:jc w:val="center"/>
              <w:rPr>
                <w:sz w:val="22"/>
                <w:szCs w:val="22"/>
              </w:rPr>
            </w:pPr>
            <w:r w:rsidDel="00000000" w:rsidR="00000000" w:rsidRPr="00000000">
              <w:rPr>
                <w:sz w:val="22"/>
                <w:szCs w:val="22"/>
                <w:rtl w:val="0"/>
              </w:rPr>
              <w:t xml:space="preserve">0.503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E">
            <w:pPr>
              <w:spacing w:line="240" w:lineRule="auto"/>
              <w:jc w:val="center"/>
              <w:rPr>
                <w:sz w:val="22"/>
                <w:szCs w:val="22"/>
              </w:rPr>
            </w:pPr>
            <w:sdt>
              <w:sdtPr>
                <w:id w:val="1007373901"/>
                <w:tag w:val="goog_rdk_55"/>
              </w:sdtPr>
              <w:sdtContent>
                <w:r w:rsidDel="00000000" w:rsidR="00000000" w:rsidRPr="00000000">
                  <w:rPr>
                    <w:rFonts w:ascii="Gungsuh" w:cs="Gungsuh" w:eastAsia="Gungsuh" w:hAnsi="Gungsuh"/>
                    <w:sz w:val="22"/>
                    <w:szCs w:val="22"/>
                    <w:rtl w:val="0"/>
                  </w:rPr>
                  <w:t xml:space="preserve">−0.032</w:t>
                </w:r>
              </w:sdtContent>
            </w:sdt>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F">
            <w:pPr>
              <w:spacing w:line="240" w:lineRule="auto"/>
              <w:jc w:val="center"/>
              <w:rPr>
                <w:sz w:val="22"/>
                <w:szCs w:val="22"/>
              </w:rPr>
            </w:pPr>
            <w:r w:rsidDel="00000000" w:rsidR="00000000" w:rsidRPr="00000000">
              <w:rPr>
                <w:sz w:val="22"/>
                <w:szCs w:val="22"/>
                <w:rtl w:val="0"/>
              </w:rPr>
              <w:t xml:space="preserve">No diff</w:t>
            </w:r>
          </w:p>
        </w:tc>
      </w:tr>
    </w:tbl>
    <w:p w:rsidR="00000000" w:rsidDel="00000000" w:rsidP="00000000" w:rsidRDefault="00000000" w:rsidRPr="00000000" w14:paraId="00000240">
      <w:pPr>
        <w:rPr>
          <w:sz w:val="20"/>
          <w:szCs w:val="20"/>
        </w:rPr>
      </w:pPr>
      <w:r w:rsidDel="00000000" w:rsidR="00000000" w:rsidRPr="00000000">
        <w:rPr>
          <w:rtl w:val="0"/>
        </w:rPr>
      </w:r>
    </w:p>
    <w:p w:rsidR="00000000" w:rsidDel="00000000" w:rsidP="00000000" w:rsidRDefault="00000000" w:rsidRPr="00000000" w14:paraId="00000241">
      <w:pPr>
        <w:spacing w:line="240" w:lineRule="auto"/>
        <w:rPr>
          <w:sz w:val="22"/>
          <w:szCs w:val="22"/>
        </w:rPr>
        <w:sectPr>
          <w:type w:val="nextPage"/>
          <w:pgSz w:h="12240" w:w="15840" w:orient="landscape"/>
          <w:pgMar w:bottom="1440" w:top="1440" w:left="1440" w:right="1353" w:header="720" w:footer="720"/>
        </w:sectPr>
      </w:pPr>
      <w:r w:rsidDel="00000000" w:rsidR="00000000" w:rsidRPr="00000000">
        <w:rPr>
          <w:b w:val="1"/>
          <w:bCs w:val="1"/>
          <w:sz w:val="22"/>
          <w:szCs w:val="22"/>
          <w:rtl w:val="0"/>
        </w:rPr>
        <w:t xml:space="preserve">Table S4. </w:t>
      </w:r>
      <w:r w:rsidDel="00000000" w:rsidR="00000000" w:rsidRPr="00000000">
        <w:rPr>
          <w:sz w:val="22"/>
          <w:szCs w:val="22"/>
          <w:rtl w:val="0"/>
        </w:rPr>
        <w:t xml:space="preserve">Mean exam scores (±SD) are presented for each curricular theme, comparing AI- and human-gen items. P-values correspond to independent-samples comparisons between exam types within each theme, and standardized effect sizes are reported as Cohen’s </w:t>
      </w:r>
      <w:r w:rsidDel="00000000" w:rsidR="00000000" w:rsidRPr="00000000">
        <w:rPr>
          <w:i w:val="1"/>
          <w:iCs w:val="1"/>
          <w:sz w:val="22"/>
          <w:szCs w:val="22"/>
          <w:rtl w:val="0"/>
        </w:rPr>
        <w:t xml:space="preserve">d</w:t>
      </w:r>
      <w:sdt>
        <w:sdtPr>
          <w:id w:val="95710353"/>
          <w:tag w:val="goog_rdk_56"/>
        </w:sdtPr>
        <w:sdtContent>
          <w:r w:rsidDel="00000000" w:rsidR="00000000" w:rsidRPr="00000000">
            <w:rPr>
              <w:rFonts w:ascii="Gungsuh" w:cs="Gungsuh" w:eastAsia="Gungsuh" w:hAnsi="Gungsuh"/>
              <w:sz w:val="22"/>
              <w:szCs w:val="22"/>
              <w:rtl w:val="0"/>
            </w:rPr>
            <w:t xml:space="preserve"> (AI − Human). The final column summarizes the direction of the observed difference across both analytic populations. Across themes, performance modestly favored human-generated items for heart murmur, upper gastrointestinal tract, pregnancy, and diabetes, whereas AI-generated items showed higher performance for nutrient absorption; no meaningful differences were observed for hypertension, infertility, or lower gastrointestinal themes.</w:t>
          </w:r>
        </w:sdtContent>
      </w:sdt>
    </w:p>
    <w:p w:rsidR="00000000" w:rsidDel="00000000" w:rsidP="00000000" w:rsidRDefault="00000000" w:rsidRPr="00000000" w14:paraId="00000242">
      <w:pPr>
        <w:pStyle w:val="Heading2"/>
        <w:rPr/>
      </w:pPr>
      <w:bookmarkStart w:colFirst="0" w:colLast="0" w:name="_heading=h.fd4rnaiv75wn" w:id="54"/>
      <w:bookmarkEnd w:id="54"/>
      <w:r w:rsidDel="00000000" w:rsidR="00000000" w:rsidRPr="00000000">
        <w:rPr>
          <w:rtl w:val="0"/>
        </w:rPr>
        <w:t xml:space="preserve">5. Supplementary Figures</w:t>
      </w:r>
    </w:p>
    <w:p w:rsidR="00000000" w:rsidDel="00000000" w:rsidP="00000000" w:rsidRDefault="00000000" w:rsidRPr="00000000" w14:paraId="00000243">
      <w:pPr>
        <w:pStyle w:val="Heading3"/>
        <w:rPr/>
      </w:pPr>
      <w:bookmarkStart w:colFirst="0" w:colLast="0" w:name="_heading=h.rfyqeh4jwrep" w:id="55"/>
      <w:bookmarkEnd w:id="55"/>
      <w:r w:rsidDel="00000000" w:rsidR="00000000" w:rsidRPr="00000000">
        <w:rPr>
          <w:rtl w:val="0"/>
        </w:rPr>
        <w:t xml:space="preserve">Figure S1. Distribution of examination completion times.</w:t>
      </w:r>
    </w:p>
    <w:p w:rsidR="00000000" w:rsidDel="00000000" w:rsidP="00000000" w:rsidRDefault="00000000" w:rsidRPr="00000000" w14:paraId="00000244">
      <w:pPr>
        <w:spacing w:line="240" w:lineRule="auto"/>
        <w:rPr>
          <w:sz w:val="22"/>
          <w:szCs w:val="22"/>
        </w:rPr>
      </w:pPr>
      <w:r w:rsidDel="00000000" w:rsidR="00000000" w:rsidRPr="00000000">
        <w:rPr>
          <w:rtl w:val="0"/>
        </w:rPr>
      </w:r>
    </w:p>
    <w:p w:rsidR="00000000" w:rsidDel="00000000" w:rsidP="00000000" w:rsidRDefault="00000000" w:rsidRPr="00000000" w14:paraId="00000245">
      <w:pPr>
        <w:spacing w:line="240" w:lineRule="auto"/>
        <w:jc w:val="center"/>
        <w:rPr>
          <w:sz w:val="22"/>
          <w:szCs w:val="22"/>
        </w:rPr>
      </w:pPr>
      <w:r w:rsidDel="00000000" w:rsidR="00000000" w:rsidRPr="00000000">
        <w:rPr>
          <w:sz w:val="22"/>
          <w:szCs w:val="22"/>
        </w:rPr>
        <w:drawing>
          <wp:inline distB="114300" distT="114300" distL="114300" distR="114300">
            <wp:extent cx="5748338" cy="4306691"/>
            <wp:effectExtent b="0" l="0" r="0" t="0"/>
            <wp:docPr id="15"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5748338" cy="4306691"/>
                    </a:xfrm>
                    <a:prstGeom prst="rect"/>
                    <a:ln/>
                  </pic:spPr>
                </pic:pic>
              </a:graphicData>
            </a:graphic>
          </wp:inline>
        </w:drawing>
      </w:r>
      <w:r w:rsidDel="00000000" w:rsidR="00000000" w:rsidRPr="00000000">
        <w:rPr>
          <w:rtl w:val="0"/>
        </w:rPr>
      </w:r>
    </w:p>
    <w:p w:rsidR="00000000" w:rsidDel="00000000" w:rsidP="00000000" w:rsidRDefault="00000000" w:rsidRPr="00000000" w14:paraId="00000246">
      <w:pPr>
        <w:spacing w:after="240" w:before="240" w:line="240" w:lineRule="auto"/>
        <w:rPr>
          <w:sz w:val="22"/>
          <w:szCs w:val="22"/>
        </w:rPr>
      </w:pPr>
      <w:r w:rsidDel="00000000" w:rsidR="00000000" w:rsidRPr="00000000">
        <w:rPr>
          <w:b w:val="1"/>
          <w:bCs w:val="1"/>
          <w:sz w:val="22"/>
          <w:szCs w:val="22"/>
          <w:rtl w:val="0"/>
        </w:rPr>
        <w:t xml:space="preserve">Figure S1. </w:t>
      </w:r>
      <w:r w:rsidDel="00000000" w:rsidR="00000000" w:rsidRPr="00000000">
        <w:rPr>
          <w:sz w:val="22"/>
          <w:szCs w:val="22"/>
          <w:rtl w:val="0"/>
        </w:rPr>
        <w:t xml:space="preserve">Histogram showing the distribution of exam completion times (minutes) among all participants who submitted responses (N = 258) prior to applying exclusion criteria. The vertical dashed red line indicates the pre-specified 35-minute exclusion threshold for insufficient engagement (5 mins for pre- and post-exam survey and 30 mins for exam completion time). Mean completion time was 139.7 ± 42.8 minutes. The 35-minute threshold excluded six participants with extremely short completion times, consistent with random responding or lack of meaningful engagement with the examination.</w:t>
      </w:r>
    </w:p>
    <w:p w:rsidR="00000000" w:rsidDel="00000000" w:rsidP="00000000" w:rsidRDefault="00000000" w:rsidRPr="00000000" w14:paraId="00000247">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248">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249">
      <w:pPr>
        <w:pStyle w:val="Heading3"/>
        <w:rPr/>
      </w:pPr>
      <w:bookmarkStart w:colFirst="0" w:colLast="0" w:name="_heading=h.xeq6ygimfxw3" w:id="56"/>
      <w:bookmarkEnd w:id="56"/>
      <w:r w:rsidDel="00000000" w:rsidR="00000000" w:rsidRPr="00000000">
        <w:rPr>
          <w:rtl w:val="0"/>
        </w:rPr>
        <w:t xml:space="preserve">Figure S2. Time required per MCQ by exam generation protocol.</w:t>
      </w:r>
    </w:p>
    <w:p w:rsidR="00000000" w:rsidDel="00000000" w:rsidP="00000000" w:rsidRDefault="00000000" w:rsidRPr="00000000" w14:paraId="0000024A">
      <w:pPr>
        <w:spacing w:after="240" w:before="240" w:line="240" w:lineRule="auto"/>
        <w:jc w:val="center"/>
        <w:rPr>
          <w:sz w:val="22"/>
          <w:szCs w:val="22"/>
        </w:rPr>
      </w:pPr>
      <w:r w:rsidDel="00000000" w:rsidR="00000000" w:rsidRPr="00000000">
        <w:rPr>
          <w:sz w:val="22"/>
          <w:szCs w:val="22"/>
        </w:rPr>
        <w:drawing>
          <wp:inline distB="114300" distT="114300" distL="114300" distR="114300">
            <wp:extent cx="5143500" cy="3256657"/>
            <wp:effectExtent b="0" l="0" r="0" t="0"/>
            <wp:docPr id="17"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5143500" cy="3256657"/>
                    </a:xfrm>
                    <a:prstGeom prst="rect"/>
                    <a:ln/>
                  </pic:spPr>
                </pic:pic>
              </a:graphicData>
            </a:graphic>
          </wp:inline>
        </w:drawing>
      </w:r>
      <w:r w:rsidDel="00000000" w:rsidR="00000000" w:rsidRPr="00000000">
        <w:rPr>
          <w:rtl w:val="0"/>
        </w:rPr>
      </w:r>
    </w:p>
    <w:p w:rsidR="00000000" w:rsidDel="00000000" w:rsidP="00000000" w:rsidRDefault="00000000" w:rsidRPr="00000000" w14:paraId="0000024B">
      <w:pPr>
        <w:spacing w:line="240" w:lineRule="auto"/>
        <w:rPr>
          <w:sz w:val="22"/>
          <w:szCs w:val="22"/>
        </w:rPr>
      </w:pPr>
      <w:r w:rsidDel="00000000" w:rsidR="00000000" w:rsidRPr="00000000">
        <w:rPr>
          <w:b w:val="1"/>
          <w:bCs w:val="1"/>
          <w:sz w:val="22"/>
          <w:szCs w:val="22"/>
          <w:rtl w:val="0"/>
        </w:rPr>
        <w:t xml:space="preserve">Figure S2.</w:t>
      </w:r>
      <w:r w:rsidDel="00000000" w:rsidR="00000000" w:rsidRPr="00000000">
        <w:rPr>
          <w:sz w:val="22"/>
          <w:szCs w:val="22"/>
          <w:rtl w:val="0"/>
        </w:rPr>
        <w:t xml:space="preserve"> Boxplots comparing the time required to produce individual MCQs for the AI- and human-gen exam. The box midline represents the median time; box limits indicate the interquartile range (IQR, 25th–75th percentile); and whiskers extend to the most extreme data points within 1.5 × IQR of the quartiles. Data points beyond this range are plotted individually.</w:t>
      </w:r>
    </w:p>
    <w:p w:rsidR="00000000" w:rsidDel="00000000" w:rsidP="00000000" w:rsidRDefault="00000000" w:rsidRPr="00000000" w14:paraId="0000024C">
      <w:pPr>
        <w:spacing w:line="240" w:lineRule="auto"/>
        <w:rPr>
          <w:sz w:val="22"/>
          <w:szCs w:val="22"/>
        </w:rPr>
      </w:pPr>
      <w:r w:rsidDel="00000000" w:rsidR="00000000" w:rsidRPr="00000000">
        <w:rPr>
          <w:rtl w:val="0"/>
        </w:rPr>
      </w:r>
    </w:p>
    <w:p w:rsidR="00000000" w:rsidDel="00000000" w:rsidP="00000000" w:rsidRDefault="00000000" w:rsidRPr="00000000" w14:paraId="0000024D">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24E">
      <w:pPr>
        <w:spacing w:line="240"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4F">
      <w:pPr>
        <w:pStyle w:val="Heading3"/>
        <w:rPr/>
      </w:pPr>
      <w:bookmarkStart w:colFirst="0" w:colLast="0" w:name="_heading=h.4qt3eube0ks" w:id="57"/>
      <w:bookmarkEnd w:id="57"/>
      <w:r w:rsidDel="00000000" w:rsidR="00000000" w:rsidRPr="00000000">
        <w:rPr>
          <w:rtl w:val="0"/>
        </w:rPr>
        <w:t xml:space="preserve">Figure S3. Distribution of item discrimination index (DI) values by exam generation protocol in the PP population.</w:t>
      </w:r>
    </w:p>
    <w:p w:rsidR="00000000" w:rsidDel="00000000" w:rsidP="00000000" w:rsidRDefault="00000000" w:rsidRPr="00000000" w14:paraId="00000250">
      <w:pPr>
        <w:rPr/>
      </w:pPr>
      <w:r w:rsidDel="00000000" w:rsidR="00000000" w:rsidRPr="00000000">
        <w:rPr/>
        <w:drawing>
          <wp:inline distB="114300" distT="114300" distL="114300" distR="114300">
            <wp:extent cx="3802740" cy="3609082"/>
            <wp:effectExtent b="0" l="0" r="0" t="0"/>
            <wp:docPr id="16" name="image7.png"/>
            <a:graphic>
              <a:graphicData uri="http://schemas.openxmlformats.org/drawingml/2006/picture">
                <pic:pic>
                  <pic:nvPicPr>
                    <pic:cNvPr id="0" name="image7.png"/>
                    <pic:cNvPicPr preferRelativeResize="0"/>
                  </pic:nvPicPr>
                  <pic:blipFill>
                    <a:blip r:embed="rId12"/>
                    <a:srcRect b="2057" l="0" r="0" t="4165"/>
                    <a:stretch>
                      <a:fillRect/>
                    </a:stretch>
                  </pic:blipFill>
                  <pic:spPr>
                    <a:xfrm>
                      <a:off x="0" y="0"/>
                      <a:ext cx="3802740" cy="3609082"/>
                    </a:xfrm>
                    <a:prstGeom prst="rect"/>
                    <a:ln/>
                  </pic:spPr>
                </pic:pic>
              </a:graphicData>
            </a:graphic>
          </wp:inline>
        </w:drawing>
      </w:r>
      <w:r w:rsidDel="00000000" w:rsidR="00000000" w:rsidRPr="00000000">
        <w:rPr>
          <w:rtl w:val="0"/>
        </w:rPr>
      </w:r>
    </w:p>
    <w:p w:rsidR="00000000" w:rsidDel="00000000" w:rsidP="00000000" w:rsidRDefault="00000000" w:rsidRPr="00000000" w14:paraId="00000251">
      <w:pPr>
        <w:spacing w:line="240" w:lineRule="auto"/>
        <w:rPr>
          <w:sz w:val="22"/>
          <w:szCs w:val="22"/>
        </w:rPr>
      </w:pPr>
      <w:r w:rsidDel="00000000" w:rsidR="00000000" w:rsidRPr="00000000">
        <w:rPr>
          <w:b w:val="1"/>
          <w:bCs w:val="1"/>
          <w:sz w:val="22"/>
          <w:szCs w:val="22"/>
          <w:rtl w:val="0"/>
        </w:rPr>
        <w:t xml:space="preserve">Figure S3.</w:t>
      </w:r>
      <w:r w:rsidDel="00000000" w:rsidR="00000000" w:rsidRPr="00000000">
        <w:rPr>
          <w:sz w:val="22"/>
          <w:szCs w:val="22"/>
          <w:rtl w:val="0"/>
        </w:rPr>
        <w:t xml:space="preserve"> Histogram showing the distribution of item-level DI values for AI- and human-gen MCQs. The distribution for human-gen items is shifted to the right relative to AI-generated items, indicating a higher frequency of items with higher discriminatory power. Dashed blue and grey vertical lines represent the mean DI values for the AI-generated and human-generated exams, respectively.</w:t>
      </w:r>
    </w:p>
    <w:p w:rsidR="00000000" w:rsidDel="00000000" w:rsidP="00000000" w:rsidRDefault="00000000" w:rsidRPr="00000000" w14:paraId="00000252">
      <w:pPr>
        <w:spacing w:line="240" w:lineRule="auto"/>
        <w:rPr>
          <w:sz w:val="22"/>
          <w:szCs w:val="22"/>
        </w:rPr>
      </w:pPr>
      <w:r w:rsidDel="00000000" w:rsidR="00000000" w:rsidRPr="00000000">
        <w:rPr>
          <w:rtl w:val="0"/>
        </w:rPr>
      </w:r>
    </w:p>
    <w:p w:rsidR="00000000" w:rsidDel="00000000" w:rsidP="00000000" w:rsidRDefault="00000000" w:rsidRPr="00000000" w14:paraId="00000253">
      <w:pPr>
        <w:spacing w:line="240" w:lineRule="auto"/>
        <w:rPr>
          <w:sz w:val="22"/>
          <w:szCs w:val="22"/>
        </w:rPr>
      </w:pPr>
      <w:r w:rsidDel="00000000" w:rsidR="00000000" w:rsidRPr="00000000">
        <w:rPr>
          <w:rtl w:val="0"/>
        </w:rPr>
      </w:r>
    </w:p>
    <w:p w:rsidR="00000000" w:rsidDel="00000000" w:rsidP="00000000" w:rsidRDefault="00000000" w:rsidRPr="00000000" w14:paraId="00000254">
      <w:pPr>
        <w:spacing w:line="240" w:lineRule="auto"/>
        <w:rPr>
          <w:sz w:val="22"/>
          <w:szCs w:val="22"/>
        </w:rPr>
      </w:pPr>
      <w:r w:rsidDel="00000000" w:rsidR="00000000" w:rsidRPr="00000000">
        <w:rPr>
          <w:rtl w:val="0"/>
        </w:rPr>
      </w:r>
    </w:p>
    <w:p w:rsidR="00000000" w:rsidDel="00000000" w:rsidP="00000000" w:rsidRDefault="00000000" w:rsidRPr="00000000" w14:paraId="00000255">
      <w:pPr>
        <w:spacing w:line="240" w:lineRule="auto"/>
        <w:rPr>
          <w:sz w:val="22"/>
          <w:szCs w:val="22"/>
        </w:rPr>
      </w:pPr>
      <w:r w:rsidDel="00000000" w:rsidR="00000000" w:rsidRPr="00000000">
        <w:rPr>
          <w:rtl w:val="0"/>
        </w:rPr>
      </w:r>
    </w:p>
    <w:p w:rsidR="00000000" w:rsidDel="00000000" w:rsidP="00000000" w:rsidRDefault="00000000" w:rsidRPr="00000000" w14:paraId="00000256">
      <w:pPr>
        <w:spacing w:line="240"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57">
      <w:pPr>
        <w:pStyle w:val="Heading3"/>
        <w:rPr/>
      </w:pPr>
      <w:bookmarkStart w:colFirst="0" w:colLast="0" w:name="_heading=h.c39fgka3p9oe" w:id="58"/>
      <w:bookmarkEnd w:id="58"/>
      <w:r w:rsidDel="00000000" w:rsidR="00000000" w:rsidRPr="00000000">
        <w:rPr>
          <w:rtl w:val="0"/>
        </w:rPr>
        <w:t xml:space="preserve">Figure S4. Distribution of discrimination efficiency (DE) values by exam generation protocol in the PP population.</w:t>
      </w:r>
    </w:p>
    <w:p w:rsidR="00000000" w:rsidDel="00000000" w:rsidP="00000000" w:rsidRDefault="00000000" w:rsidRPr="00000000" w14:paraId="00000258">
      <w:pPr>
        <w:rPr>
          <w:sz w:val="22"/>
          <w:szCs w:val="22"/>
        </w:rPr>
      </w:pPr>
      <w:r w:rsidDel="00000000" w:rsidR="00000000" w:rsidRPr="00000000">
        <w:rPr>
          <w:sz w:val="22"/>
          <w:szCs w:val="22"/>
        </w:rPr>
        <w:drawing>
          <wp:inline distB="114300" distT="114300" distL="114300" distR="114300">
            <wp:extent cx="5998464" cy="2730500"/>
            <wp:effectExtent b="0" l="0" r="0" t="0"/>
            <wp:docPr id="19"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5998464"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259">
      <w:pPr>
        <w:spacing w:after="240" w:before="240" w:line="240" w:lineRule="auto"/>
        <w:rPr>
          <w:sz w:val="22"/>
          <w:szCs w:val="22"/>
        </w:rPr>
      </w:pPr>
      <w:r w:rsidDel="00000000" w:rsidR="00000000" w:rsidRPr="00000000">
        <w:rPr>
          <w:b w:val="1"/>
          <w:bCs w:val="1"/>
          <w:sz w:val="22"/>
          <w:szCs w:val="22"/>
          <w:rtl w:val="0"/>
        </w:rPr>
        <w:t xml:space="preserve">Figure S4.</w:t>
      </w:r>
      <w:r w:rsidDel="00000000" w:rsidR="00000000" w:rsidRPr="00000000">
        <w:rPr>
          <w:sz w:val="22"/>
          <w:szCs w:val="22"/>
          <w:rtl w:val="0"/>
        </w:rPr>
        <w:t xml:space="preserve"> (A) Boxplots comparing DE values for the AI- and human-gen exams in the PP population. The box midline represents the median DE; box limits indicate the interquartile range (IQR); and whiskers extend to 1.5 × IQR. Data points beyond this range are plotted individually. (B) Distribution of DE values for AI-generated (blue) and human-generated (grey) MCQs. Dashed vertical lines indicate the mean DE for each exam (AI-gen in blue; human-gen in grey).</w:t>
      </w:r>
    </w:p>
    <w:p w:rsidR="00000000" w:rsidDel="00000000" w:rsidP="00000000" w:rsidRDefault="00000000" w:rsidRPr="00000000" w14:paraId="0000025A">
      <w:pPr>
        <w:spacing w:line="240" w:lineRule="auto"/>
        <w:rPr>
          <w:sz w:val="22"/>
          <w:szCs w:val="22"/>
        </w:rPr>
      </w:pPr>
      <w:r w:rsidDel="00000000" w:rsidR="00000000" w:rsidRPr="00000000">
        <w:rPr>
          <w:rtl w:val="0"/>
        </w:rPr>
      </w:r>
    </w:p>
    <w:p w:rsidR="00000000" w:rsidDel="00000000" w:rsidP="00000000" w:rsidRDefault="00000000" w:rsidRPr="00000000" w14:paraId="0000025B">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25C">
      <w:pPr>
        <w:pStyle w:val="Heading3"/>
        <w:rPr/>
      </w:pPr>
      <w:bookmarkStart w:colFirst="0" w:colLast="0" w:name="_heading=h.1xkf1l2owel5" w:id="59"/>
      <w:bookmarkEnd w:id="59"/>
      <w:r w:rsidDel="00000000" w:rsidR="00000000" w:rsidRPr="00000000">
        <w:rPr>
          <w:rtl w:val="0"/>
        </w:rPr>
        <w:t xml:space="preserve">Figure S5. Distribution of student performance by exam generation protocol in the PP population.</w:t>
      </w:r>
    </w:p>
    <w:p w:rsidR="00000000" w:rsidDel="00000000" w:rsidP="00000000" w:rsidRDefault="00000000" w:rsidRPr="00000000" w14:paraId="0000025D">
      <w:pPr>
        <w:spacing w:after="240" w:line="240" w:lineRule="auto"/>
        <w:jc w:val="center"/>
        <w:rPr>
          <w:sz w:val="22"/>
          <w:szCs w:val="22"/>
        </w:rPr>
      </w:pPr>
      <w:r w:rsidDel="00000000" w:rsidR="00000000" w:rsidRPr="00000000">
        <w:rPr>
          <w:sz w:val="22"/>
          <w:szCs w:val="22"/>
        </w:rPr>
        <w:drawing>
          <wp:inline distB="114300" distT="114300" distL="114300" distR="114300">
            <wp:extent cx="4201668" cy="5816394"/>
            <wp:effectExtent b="0" l="0" r="0" t="0"/>
            <wp:docPr id="18"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4201668" cy="5816394"/>
                    </a:xfrm>
                    <a:prstGeom prst="rect"/>
                    <a:ln/>
                  </pic:spPr>
                </pic:pic>
              </a:graphicData>
            </a:graphic>
          </wp:inline>
        </w:drawing>
      </w:r>
      <w:r w:rsidDel="00000000" w:rsidR="00000000" w:rsidRPr="00000000">
        <w:rPr>
          <w:rtl w:val="0"/>
        </w:rPr>
      </w:r>
    </w:p>
    <w:p w:rsidR="00000000" w:rsidDel="00000000" w:rsidP="00000000" w:rsidRDefault="00000000" w:rsidRPr="00000000" w14:paraId="0000025E">
      <w:pPr>
        <w:spacing w:after="240" w:before="240" w:line="240" w:lineRule="auto"/>
        <w:rPr>
          <w:sz w:val="22"/>
          <w:szCs w:val="22"/>
        </w:rPr>
      </w:pPr>
      <w:r w:rsidDel="00000000" w:rsidR="00000000" w:rsidRPr="00000000">
        <w:rPr>
          <w:b w:val="1"/>
          <w:bCs w:val="1"/>
          <w:sz w:val="22"/>
          <w:szCs w:val="22"/>
          <w:rtl w:val="0"/>
        </w:rPr>
        <w:t xml:space="preserve">Figure S5. </w:t>
      </w:r>
      <w:r w:rsidDel="00000000" w:rsidR="00000000" w:rsidRPr="00000000">
        <w:rPr>
          <w:sz w:val="22"/>
          <w:szCs w:val="22"/>
          <w:rtl w:val="0"/>
        </w:rPr>
        <w:t xml:space="preserve">Histograms showing the distribution of student exam scores (% correct) for the (A) AI-gen and (B) human-gen examinations in the per-protocol population.</w:t>
      </w:r>
    </w:p>
    <w:p w:rsidR="00000000" w:rsidDel="00000000" w:rsidP="00000000" w:rsidRDefault="00000000" w:rsidRPr="00000000" w14:paraId="0000025F">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260">
      <w:pPr>
        <w:spacing w:after="240" w:before="240" w:line="240"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61">
      <w:pPr>
        <w:pStyle w:val="Heading3"/>
        <w:rPr>
          <w:sz w:val="22"/>
          <w:szCs w:val="22"/>
        </w:rPr>
      </w:pPr>
      <w:bookmarkStart w:colFirst="0" w:colLast="0" w:name="_heading=h.gz4edn4mkj92" w:id="60"/>
      <w:bookmarkEnd w:id="60"/>
      <w:r w:rsidDel="00000000" w:rsidR="00000000" w:rsidRPr="00000000">
        <w:rPr>
          <w:rtl w:val="0"/>
        </w:rPr>
        <w:t xml:space="preserve">Figure S6.1. Performance by undergraduate academic background in the PP population.</w:t>
      </w:r>
      <w:r w:rsidDel="00000000" w:rsidR="00000000" w:rsidRPr="00000000">
        <w:rPr>
          <w:rtl w:val="0"/>
        </w:rPr>
      </w:r>
    </w:p>
    <w:p w:rsidR="00000000" w:rsidDel="00000000" w:rsidP="00000000" w:rsidRDefault="00000000" w:rsidRPr="00000000" w14:paraId="00000262">
      <w:pPr>
        <w:spacing w:after="240" w:before="240" w:lineRule="auto"/>
        <w:jc w:val="center"/>
        <w:rPr/>
      </w:pPr>
      <w:r w:rsidDel="00000000" w:rsidR="00000000" w:rsidRPr="00000000">
        <w:rPr/>
        <w:drawing>
          <wp:inline distB="114300" distT="114300" distL="114300" distR="114300">
            <wp:extent cx="4267200" cy="2808387"/>
            <wp:effectExtent b="0" l="0" r="0" t="0"/>
            <wp:docPr id="2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4267200" cy="2808387"/>
                    </a:xfrm>
                    <a:prstGeom prst="rect"/>
                    <a:ln/>
                  </pic:spPr>
                </pic:pic>
              </a:graphicData>
            </a:graphic>
          </wp:inline>
        </w:drawing>
      </w:r>
      <w:r w:rsidDel="00000000" w:rsidR="00000000" w:rsidRPr="00000000">
        <w:rPr>
          <w:rtl w:val="0"/>
        </w:rPr>
      </w:r>
    </w:p>
    <w:p w:rsidR="00000000" w:rsidDel="00000000" w:rsidP="00000000" w:rsidRDefault="00000000" w:rsidRPr="00000000" w14:paraId="00000263">
      <w:pPr>
        <w:spacing w:before="280" w:line="240" w:lineRule="auto"/>
        <w:rPr/>
      </w:pPr>
      <w:r w:rsidDel="00000000" w:rsidR="00000000" w:rsidRPr="00000000">
        <w:rPr>
          <w:b w:val="1"/>
          <w:bCs w:val="1"/>
          <w:rtl w:val="0"/>
        </w:rPr>
        <w:t xml:space="preserve">Figure S6.1. </w:t>
      </w:r>
      <w:r w:rsidDel="00000000" w:rsidR="00000000" w:rsidRPr="00000000">
        <w:rPr>
          <w:rtl w:val="0"/>
        </w:rPr>
        <w:t xml:space="preserve">Boxplots of exam performance (%) in the per-protocol population stratified by undergraduate academic background. The x-axis shows exam type (left: AI-gen exam; right: human-gen exam). Within each exam, green boxes represent students with a medical/health sciences background and orange boxes represent students with a non-medical/non-health sciences background. </w:t>
      </w:r>
    </w:p>
    <w:p w:rsidR="00000000" w:rsidDel="00000000" w:rsidP="00000000" w:rsidRDefault="00000000" w:rsidRPr="00000000" w14:paraId="00000264">
      <w:pPr>
        <w:spacing w:before="28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65">
      <w:pPr>
        <w:pStyle w:val="Heading3"/>
        <w:rPr/>
      </w:pPr>
      <w:bookmarkStart w:colFirst="0" w:colLast="0" w:name="_heading=h.447z3dc17oem" w:id="61"/>
      <w:bookmarkEnd w:id="61"/>
      <w:r w:rsidDel="00000000" w:rsidR="00000000" w:rsidRPr="00000000">
        <w:rPr>
          <w:rtl w:val="0"/>
        </w:rPr>
        <w:t xml:space="preserve">Figure S6.2. Performance by undergraduate academic background in the ITT population.</w:t>
      </w:r>
    </w:p>
    <w:p w:rsidR="00000000" w:rsidDel="00000000" w:rsidP="00000000" w:rsidRDefault="00000000" w:rsidRPr="00000000" w14:paraId="00000266">
      <w:pPr>
        <w:spacing w:after="240" w:before="240" w:lineRule="auto"/>
        <w:jc w:val="center"/>
        <w:rPr/>
      </w:pPr>
      <w:r w:rsidDel="00000000" w:rsidR="00000000" w:rsidRPr="00000000">
        <w:rPr/>
        <w:drawing>
          <wp:inline distB="114300" distT="114300" distL="114300" distR="114300">
            <wp:extent cx="4505325" cy="2873778"/>
            <wp:effectExtent b="0" l="0" r="0" t="0"/>
            <wp:docPr id="20"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4505325" cy="2873778"/>
                    </a:xfrm>
                    <a:prstGeom prst="rect"/>
                    <a:ln/>
                  </pic:spPr>
                </pic:pic>
              </a:graphicData>
            </a:graphic>
          </wp:inline>
        </w:drawing>
      </w:r>
      <w:r w:rsidDel="00000000" w:rsidR="00000000" w:rsidRPr="00000000">
        <w:rPr>
          <w:rtl w:val="0"/>
        </w:rPr>
      </w:r>
    </w:p>
    <w:p w:rsidR="00000000" w:rsidDel="00000000" w:rsidP="00000000" w:rsidRDefault="00000000" w:rsidRPr="00000000" w14:paraId="00000267">
      <w:pPr>
        <w:spacing w:line="240" w:lineRule="auto"/>
        <w:rPr/>
      </w:pPr>
      <w:r w:rsidDel="00000000" w:rsidR="00000000" w:rsidRPr="00000000">
        <w:rPr>
          <w:b w:val="1"/>
          <w:bCs w:val="1"/>
          <w:rtl w:val="0"/>
        </w:rPr>
        <w:t xml:space="preserve">Figure S6.2. </w:t>
      </w:r>
      <w:r w:rsidDel="00000000" w:rsidR="00000000" w:rsidRPr="00000000">
        <w:rPr>
          <w:rtl w:val="0"/>
        </w:rPr>
        <w:t xml:space="preserve">Boxplots of exam performance (%) in the ITT population stratified by undergraduate academic background. The x-axis shows exam type (left: AI-gen exam; right: human-gen exam). Within each exam, green boxes represent students with a medical/health sciences background and orange boxes represent students with a non-medical/non-health sciences background. </w:t>
      </w:r>
    </w:p>
    <w:p w:rsidR="00000000" w:rsidDel="00000000" w:rsidP="00000000" w:rsidRDefault="00000000" w:rsidRPr="00000000" w14:paraId="00000268">
      <w:pPr>
        <w:pStyle w:val="Heading3"/>
        <w:keepNext w:val="0"/>
        <w:keepLines w:val="0"/>
        <w:spacing w:before="280" w:line="240" w:lineRule="auto"/>
        <w:rPr>
          <w:b w:val="0"/>
          <w:bCs w:val="0"/>
        </w:rPr>
      </w:pPr>
      <w:bookmarkStart w:colFirst="0" w:colLast="0" w:name="_heading=h.sg1o7levs0fs" w:id="62"/>
      <w:bookmarkEnd w:id="62"/>
      <w:r w:rsidDel="00000000" w:rsidR="00000000" w:rsidRPr="00000000">
        <w:rPr>
          <w:rtl w:val="0"/>
        </w:rPr>
      </w:r>
    </w:p>
    <w:p w:rsidR="00000000" w:rsidDel="00000000" w:rsidP="00000000" w:rsidRDefault="00000000" w:rsidRPr="00000000" w14:paraId="00000269">
      <w:pPr>
        <w:pStyle w:val="Heading3"/>
        <w:rPr>
          <w:b w:val="0"/>
          <w:bCs w:val="0"/>
        </w:rPr>
      </w:pPr>
      <w:bookmarkStart w:colFirst="0" w:colLast="0" w:name="_heading=h.jkgfjbkb9tfc" w:id="63"/>
      <w:bookmarkEnd w:id="63"/>
      <w:r w:rsidDel="00000000" w:rsidR="00000000" w:rsidRPr="00000000">
        <w:rPr>
          <w:rtl w:val="0"/>
        </w:rPr>
      </w:r>
    </w:p>
    <w:p w:rsidR="00000000" w:rsidDel="00000000" w:rsidP="00000000" w:rsidRDefault="00000000" w:rsidRPr="00000000" w14:paraId="0000026A">
      <w:pPr>
        <w:pStyle w:val="Heading3"/>
        <w:rPr>
          <w:b w:val="0"/>
          <w:bCs w:val="0"/>
        </w:rPr>
      </w:pPr>
      <w:bookmarkStart w:colFirst="0" w:colLast="0" w:name="_heading=h.5q7irdbyyquu" w:id="64"/>
      <w:bookmarkEnd w:id="64"/>
      <w:r w:rsidDel="00000000" w:rsidR="00000000" w:rsidRPr="00000000">
        <w:rPr>
          <w:rtl w:val="0"/>
        </w:rPr>
      </w:r>
    </w:p>
    <w:p w:rsidR="00000000" w:rsidDel="00000000" w:rsidP="00000000" w:rsidRDefault="00000000" w:rsidRPr="00000000" w14:paraId="0000026B">
      <w:pPr>
        <w:spacing w:after="200" w:line="240" w:lineRule="auto"/>
        <w:jc w:val="left"/>
        <w:rPr>
          <w:sz w:val="22"/>
          <w:szCs w:val="22"/>
        </w:rPr>
      </w:pPr>
      <w:r w:rsidDel="00000000" w:rsidR="00000000" w:rsidRPr="00000000">
        <w:rPr>
          <w:rtl w:val="0"/>
        </w:rPr>
      </w:r>
    </w:p>
    <w:p w:rsidR="00000000" w:rsidDel="00000000" w:rsidP="00000000" w:rsidRDefault="00000000" w:rsidRPr="00000000" w14:paraId="0000026C">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26D">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26E">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26F">
      <w:pPr>
        <w:spacing w:line="240" w:lineRule="auto"/>
        <w:rPr>
          <w:sz w:val="22"/>
          <w:szCs w:val="22"/>
        </w:rPr>
      </w:pPr>
      <w:r w:rsidDel="00000000" w:rsidR="00000000" w:rsidRPr="00000000">
        <w:rPr>
          <w:rtl w:val="0"/>
        </w:rPr>
      </w:r>
    </w:p>
    <w:p w:rsidR="00000000" w:rsidDel="00000000" w:rsidP="00000000" w:rsidRDefault="00000000" w:rsidRPr="00000000" w14:paraId="00000270">
      <w:pPr>
        <w:pStyle w:val="Heading3"/>
        <w:rPr/>
      </w:pPr>
      <w:bookmarkStart w:colFirst="0" w:colLast="0" w:name="_heading=h.nhk7xtje6bk8" w:id="65"/>
      <w:bookmarkEnd w:id="65"/>
      <w:r w:rsidDel="00000000" w:rsidR="00000000" w:rsidRPr="00000000">
        <w:rPr>
          <w:rtl w:val="0"/>
        </w:rPr>
        <w:t xml:space="preserve">Figure S7.1. Performance by curricular theme in the PP population.</w:t>
      </w:r>
    </w:p>
    <w:p w:rsidR="00000000" w:rsidDel="00000000" w:rsidP="00000000" w:rsidRDefault="00000000" w:rsidRPr="00000000" w14:paraId="00000271">
      <w:pPr>
        <w:widowControl w:val="0"/>
        <w:spacing w:line="240" w:lineRule="auto"/>
        <w:jc w:val="left"/>
        <w:rPr>
          <w:sz w:val="22"/>
          <w:szCs w:val="22"/>
        </w:rPr>
      </w:pPr>
      <w:r w:rsidDel="00000000" w:rsidR="00000000" w:rsidRPr="00000000">
        <w:rPr>
          <w:sz w:val="22"/>
          <w:szCs w:val="22"/>
        </w:rPr>
        <w:drawing>
          <wp:inline distB="114300" distT="114300" distL="114300" distR="114300">
            <wp:extent cx="5718250" cy="3809107"/>
            <wp:effectExtent b="0" l="0" r="0" t="0"/>
            <wp:docPr id="23"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5718250" cy="3809107"/>
                    </a:xfrm>
                    <a:prstGeom prst="rect"/>
                    <a:ln/>
                  </pic:spPr>
                </pic:pic>
              </a:graphicData>
            </a:graphic>
          </wp:inline>
        </w:drawing>
      </w:r>
      <w:r w:rsidDel="00000000" w:rsidR="00000000" w:rsidRPr="00000000">
        <w:rPr>
          <w:rtl w:val="0"/>
        </w:rPr>
      </w:r>
    </w:p>
    <w:p w:rsidR="00000000" w:rsidDel="00000000" w:rsidP="00000000" w:rsidRDefault="00000000" w:rsidRPr="00000000" w14:paraId="00000272">
      <w:pPr>
        <w:spacing w:line="240" w:lineRule="auto"/>
        <w:rPr>
          <w:sz w:val="22"/>
          <w:szCs w:val="22"/>
        </w:rPr>
      </w:pPr>
      <w:r w:rsidDel="00000000" w:rsidR="00000000" w:rsidRPr="00000000">
        <w:rPr>
          <w:b w:val="1"/>
          <w:bCs w:val="1"/>
          <w:sz w:val="22"/>
          <w:szCs w:val="22"/>
          <w:rtl w:val="0"/>
        </w:rPr>
        <w:t xml:space="preserve">Figure S7.1. </w:t>
      </w:r>
      <w:r w:rsidDel="00000000" w:rsidR="00000000" w:rsidRPr="00000000">
        <w:rPr>
          <w:sz w:val="22"/>
          <w:szCs w:val="22"/>
          <w:rtl w:val="0"/>
        </w:rPr>
        <w:t xml:space="preserve">Bar plot showing mean score (%) ± standard error (SE) for each curricular theme, stratified by exam type (AI-gen versus human-gen). Bars represent the theme-level mean across all student–item observations within each theme, and error bars indicate ±1 SE. Significance labels beside each theme denote the raw p-value from independent-samples t-tests comparing AI- versus human-gen items within that theme.</w:t>
      </w:r>
    </w:p>
    <w:p w:rsidR="00000000" w:rsidDel="00000000" w:rsidP="00000000" w:rsidRDefault="00000000" w:rsidRPr="00000000" w14:paraId="00000273">
      <w:pPr>
        <w:spacing w:line="240"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74">
      <w:pPr>
        <w:pStyle w:val="Heading3"/>
        <w:rPr/>
      </w:pPr>
      <w:bookmarkStart w:colFirst="0" w:colLast="0" w:name="_heading=h.lhqedai0kkt5" w:id="66"/>
      <w:bookmarkEnd w:id="66"/>
      <w:r w:rsidDel="00000000" w:rsidR="00000000" w:rsidRPr="00000000">
        <w:rPr>
          <w:rtl w:val="0"/>
        </w:rPr>
        <w:t xml:space="preserve">Figure S7.2. Performance by curricular theme in the ITT population.</w:t>
      </w:r>
    </w:p>
    <w:p w:rsidR="00000000" w:rsidDel="00000000" w:rsidP="00000000" w:rsidRDefault="00000000" w:rsidRPr="00000000" w14:paraId="00000275">
      <w:pPr>
        <w:widowControl w:val="0"/>
        <w:spacing w:line="240" w:lineRule="auto"/>
        <w:jc w:val="left"/>
        <w:rPr>
          <w:sz w:val="22"/>
          <w:szCs w:val="22"/>
        </w:rPr>
      </w:pPr>
      <w:r w:rsidDel="00000000" w:rsidR="00000000" w:rsidRPr="00000000">
        <w:rPr>
          <w:sz w:val="22"/>
          <w:szCs w:val="22"/>
        </w:rPr>
        <w:drawing>
          <wp:inline distB="114300" distT="114300" distL="114300" distR="114300">
            <wp:extent cx="6034088" cy="4018526"/>
            <wp:effectExtent b="0" l="0" r="0" t="0"/>
            <wp:docPr id="22"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034088" cy="4018526"/>
                    </a:xfrm>
                    <a:prstGeom prst="rect"/>
                    <a:ln/>
                  </pic:spPr>
                </pic:pic>
              </a:graphicData>
            </a:graphic>
          </wp:inline>
        </w:drawing>
      </w:r>
      <w:r w:rsidDel="00000000" w:rsidR="00000000" w:rsidRPr="00000000">
        <w:rPr>
          <w:rtl w:val="0"/>
        </w:rPr>
      </w:r>
    </w:p>
    <w:p w:rsidR="00000000" w:rsidDel="00000000" w:rsidP="00000000" w:rsidRDefault="00000000" w:rsidRPr="00000000" w14:paraId="00000276">
      <w:pPr>
        <w:spacing w:line="240" w:lineRule="auto"/>
        <w:rPr/>
      </w:pPr>
      <w:r w:rsidDel="00000000" w:rsidR="00000000" w:rsidRPr="00000000">
        <w:rPr>
          <w:b w:val="1"/>
          <w:bCs w:val="1"/>
          <w:rtl w:val="0"/>
        </w:rPr>
        <w:t xml:space="preserve">Figure S7.2 </w:t>
      </w:r>
      <w:r w:rsidDel="00000000" w:rsidR="00000000" w:rsidRPr="00000000">
        <w:rPr>
          <w:rtl w:val="0"/>
        </w:rPr>
        <w:t xml:space="preserve">Bar plot showing mean score (%) ± standard error (SE) for each curricular theme, stratified by exam type (AI- versus human-gen). Bars represent the theme-level mean across all student–item observations within each theme, and error bars indicate ±1 SE. Significance labels beside each theme denote the </w:t>
      </w:r>
      <w:r w:rsidDel="00000000" w:rsidR="00000000" w:rsidRPr="00000000">
        <w:rPr>
          <w:i w:val="1"/>
          <w:iCs w:val="1"/>
          <w:rtl w:val="0"/>
        </w:rPr>
        <w:t xml:space="preserve">p-</w:t>
      </w:r>
      <w:r w:rsidDel="00000000" w:rsidR="00000000" w:rsidRPr="00000000">
        <w:rPr>
          <w:rtl w:val="0"/>
        </w:rPr>
        <w:t xml:space="preserve">value from independent-samples t-tests comparing AI-gen versus human-gen items within that theme.</w:t>
      </w:r>
    </w:p>
    <w:p w:rsidR="00000000" w:rsidDel="00000000" w:rsidP="00000000" w:rsidRDefault="00000000" w:rsidRPr="00000000" w14:paraId="00000277">
      <w:pPr>
        <w:spacing w:line="240" w:lineRule="auto"/>
        <w:rPr/>
      </w:pPr>
      <w:r w:rsidDel="00000000" w:rsidR="00000000" w:rsidRPr="00000000">
        <w:rPr>
          <w:rtl w:val="0"/>
        </w:rPr>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240" w:lineRule="auto"/>
        <w:jc w:val="left"/>
        <w:rPr>
          <w:sz w:val="22"/>
          <w:szCs w:val="22"/>
        </w:rPr>
      </w:pPr>
      <w:r w:rsidDel="00000000" w:rsidR="00000000" w:rsidRPr="00000000">
        <w:rPr>
          <w:rtl w:val="0"/>
        </w:rPr>
      </w:r>
    </w:p>
    <w:p w:rsidR="00000000" w:rsidDel="00000000" w:rsidP="00000000" w:rsidRDefault="00000000" w:rsidRPr="00000000" w14:paraId="00000279">
      <w:pPr>
        <w:pStyle w:val="Heading3"/>
        <w:rPr>
          <w:b w:val="0"/>
          <w:bCs w:val="0"/>
        </w:rPr>
      </w:pPr>
      <w:bookmarkStart w:colFirst="0" w:colLast="0" w:name="_heading=h.mbwvhv2l2a1t" w:id="67"/>
      <w:bookmarkEnd w:id="67"/>
      <w:r w:rsidDel="00000000" w:rsidR="00000000" w:rsidRPr="00000000">
        <w:br w:type="page"/>
      </w:r>
      <w:r w:rsidDel="00000000" w:rsidR="00000000" w:rsidRPr="00000000">
        <w:rPr>
          <w:rtl w:val="0"/>
        </w:rPr>
      </w:r>
    </w:p>
    <w:p w:rsidR="00000000" w:rsidDel="00000000" w:rsidP="00000000" w:rsidRDefault="00000000" w:rsidRPr="00000000" w14:paraId="0000027A">
      <w:pPr>
        <w:pStyle w:val="Heading3"/>
        <w:rPr/>
      </w:pPr>
      <w:bookmarkStart w:colFirst="0" w:colLast="0" w:name="_heading=h.mu4vyhegimbm" w:id="68"/>
      <w:bookmarkEnd w:id="68"/>
      <w:r w:rsidDel="00000000" w:rsidR="00000000" w:rsidRPr="00000000">
        <w:rPr>
          <w:rtl w:val="0"/>
        </w:rPr>
        <w:t xml:space="preserve">Figure S8.1. Performance by gender in the PP population.</w:t>
      </w:r>
    </w:p>
    <w:p w:rsidR="00000000" w:rsidDel="00000000" w:rsidP="00000000" w:rsidRDefault="00000000" w:rsidRPr="00000000" w14:paraId="0000027B">
      <w:pPr>
        <w:rPr>
          <w:sz w:val="22"/>
          <w:szCs w:val="22"/>
        </w:rPr>
      </w:pPr>
      <w:r w:rsidDel="00000000" w:rsidR="00000000" w:rsidRPr="00000000">
        <w:rPr/>
        <w:drawing>
          <wp:inline distB="114300" distT="114300" distL="114300" distR="114300">
            <wp:extent cx="3895725" cy="3343275"/>
            <wp:effectExtent b="0" l="0" r="0" t="0"/>
            <wp:docPr id="26" name="image4.png"/>
            <a:graphic>
              <a:graphicData uri="http://schemas.openxmlformats.org/drawingml/2006/picture">
                <pic:pic>
                  <pic:nvPicPr>
                    <pic:cNvPr id="0" name="image4.png"/>
                    <pic:cNvPicPr preferRelativeResize="0"/>
                  </pic:nvPicPr>
                  <pic:blipFill>
                    <a:blip r:embed="rId18"/>
                    <a:srcRect b="0" l="0" r="22391" t="0"/>
                    <a:stretch>
                      <a:fillRect/>
                    </a:stretch>
                  </pic:blipFill>
                  <pic:spPr>
                    <a:xfrm>
                      <a:off x="0" y="0"/>
                      <a:ext cx="3895725" cy="3343275"/>
                    </a:xfrm>
                    <a:prstGeom prst="rect"/>
                    <a:ln/>
                  </pic:spPr>
                </pic:pic>
              </a:graphicData>
            </a:graphic>
          </wp:inline>
        </w:drawing>
      </w:r>
      <w:r w:rsidDel="00000000" w:rsidR="00000000" w:rsidRPr="00000000">
        <w:rPr>
          <w:rtl w:val="0"/>
        </w:rPr>
      </w:r>
    </w:p>
    <w:p w:rsidR="00000000" w:rsidDel="00000000" w:rsidP="00000000" w:rsidRDefault="00000000" w:rsidRPr="00000000" w14:paraId="0000027C">
      <w:pPr>
        <w:spacing w:line="240" w:lineRule="auto"/>
        <w:rPr/>
      </w:pPr>
      <w:r w:rsidDel="00000000" w:rsidR="00000000" w:rsidRPr="00000000">
        <w:rPr>
          <w:b w:val="1"/>
          <w:bCs w:val="1"/>
          <w:rtl w:val="0"/>
        </w:rPr>
        <w:t xml:space="preserve">Figure S8.1. </w:t>
      </w:r>
      <w:r w:rsidDel="00000000" w:rsidR="00000000" w:rsidRPr="00000000">
        <w:rPr>
          <w:rtl w:val="0"/>
        </w:rPr>
        <w:t xml:space="preserve">Mean exam scores (±95% confidence intervals) are shown for male (blue) and female (pink) students in the AI- and human-gen examinations within the per-protocol (PP) population. Points represent group means, and error bars represent 95% confidence intervals.</w:t>
      </w:r>
    </w:p>
    <w:p w:rsidR="00000000" w:rsidDel="00000000" w:rsidP="00000000" w:rsidRDefault="00000000" w:rsidRPr="00000000" w14:paraId="0000027D">
      <w:pPr>
        <w:spacing w:line="240"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3"/>
        <w:rPr/>
      </w:pPr>
      <w:bookmarkStart w:colFirst="0" w:colLast="0" w:name="_heading=h.gxdlyc3ngwnk" w:id="69"/>
      <w:bookmarkEnd w:id="69"/>
      <w:r w:rsidDel="00000000" w:rsidR="00000000" w:rsidRPr="00000000">
        <w:rPr>
          <w:rtl w:val="0"/>
        </w:rPr>
        <w:t xml:space="preserve">Figure S8.2. Performance by gender in the ITT population.</w:t>
      </w:r>
    </w:p>
    <w:p w:rsidR="00000000" w:rsidDel="00000000" w:rsidP="00000000" w:rsidRDefault="00000000" w:rsidRPr="00000000" w14:paraId="0000027F">
      <w:pPr>
        <w:spacing w:line="240" w:lineRule="auto"/>
        <w:rPr>
          <w:sz w:val="22"/>
          <w:szCs w:val="22"/>
        </w:rPr>
      </w:pPr>
      <w:r w:rsidDel="00000000" w:rsidR="00000000" w:rsidRPr="00000000">
        <w:rPr>
          <w:rtl w:val="0"/>
        </w:rPr>
      </w:r>
    </w:p>
    <w:p w:rsidR="00000000" w:rsidDel="00000000" w:rsidP="00000000" w:rsidRDefault="00000000" w:rsidRPr="00000000" w14:paraId="00000280">
      <w:pPr>
        <w:pStyle w:val="Heading2"/>
        <w:keepNext w:val="0"/>
        <w:keepLines w:val="0"/>
        <w:spacing w:after="0" w:before="0" w:line="240" w:lineRule="auto"/>
        <w:jc w:val="left"/>
        <w:rPr>
          <w:b w:val="0"/>
          <w:bCs w:val="0"/>
          <w:sz w:val="22"/>
          <w:szCs w:val="22"/>
        </w:rPr>
      </w:pPr>
      <w:bookmarkStart w:colFirst="0" w:colLast="0" w:name="_heading=h.8ja92yzd7fn1" w:id="70"/>
      <w:bookmarkEnd w:id="70"/>
      <w:r w:rsidDel="00000000" w:rsidR="00000000" w:rsidRPr="00000000">
        <w:rPr>
          <w:b w:val="0"/>
          <w:bCs w:val="0"/>
          <w:sz w:val="22"/>
          <w:szCs w:val="22"/>
        </w:rPr>
        <w:drawing>
          <wp:inline distB="114300" distT="114300" distL="114300" distR="114300">
            <wp:extent cx="4224338" cy="3602226"/>
            <wp:effectExtent b="0" l="0" r="0" t="0"/>
            <wp:docPr id="24" name="image1.png"/>
            <a:graphic>
              <a:graphicData uri="http://schemas.openxmlformats.org/drawingml/2006/picture">
                <pic:pic>
                  <pic:nvPicPr>
                    <pic:cNvPr id="0" name="image1.png"/>
                    <pic:cNvPicPr preferRelativeResize="0"/>
                  </pic:nvPicPr>
                  <pic:blipFill>
                    <a:blip r:embed="rId19"/>
                    <a:srcRect b="0" l="0" r="21892" t="0"/>
                    <a:stretch>
                      <a:fillRect/>
                    </a:stretch>
                  </pic:blipFill>
                  <pic:spPr>
                    <a:xfrm>
                      <a:off x="0" y="0"/>
                      <a:ext cx="4224338" cy="3602226"/>
                    </a:xfrm>
                    <a:prstGeom prst="rect"/>
                    <a:ln/>
                  </pic:spPr>
                </pic:pic>
              </a:graphicData>
            </a:graphic>
          </wp:inline>
        </w:drawing>
      </w:r>
      <w:r w:rsidDel="00000000" w:rsidR="00000000" w:rsidRPr="00000000">
        <w:rPr>
          <w:rtl w:val="0"/>
        </w:rPr>
      </w:r>
    </w:p>
    <w:p w:rsidR="00000000" w:rsidDel="00000000" w:rsidP="00000000" w:rsidRDefault="00000000" w:rsidRPr="00000000" w14:paraId="00000281">
      <w:pPr>
        <w:spacing w:line="240" w:lineRule="auto"/>
        <w:rPr/>
      </w:pPr>
      <w:r w:rsidDel="00000000" w:rsidR="00000000" w:rsidRPr="00000000">
        <w:rPr>
          <w:b w:val="1"/>
          <w:bCs w:val="1"/>
          <w:rtl w:val="0"/>
        </w:rPr>
        <w:t xml:space="preserve">Figure S8.2.</w:t>
      </w:r>
      <w:r w:rsidDel="00000000" w:rsidR="00000000" w:rsidRPr="00000000">
        <w:rPr>
          <w:rtl w:val="0"/>
        </w:rPr>
        <w:t xml:space="preserve"> Mean exam scores (±95% confidence intervals) are shown for male (blue) and female (pink) students in the AI-gen and human-gen exams within the intention-to-treat (ITT) population. Points represent group means, and error bars represent 95% confidence intervals.</w:t>
      </w:r>
    </w:p>
    <w:p w:rsidR="00000000" w:rsidDel="00000000" w:rsidP="00000000" w:rsidRDefault="00000000" w:rsidRPr="00000000" w14:paraId="00000282">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83">
      <w:pPr>
        <w:pStyle w:val="Heading3"/>
        <w:rPr/>
      </w:pPr>
      <w:bookmarkStart w:colFirst="0" w:colLast="0" w:name="_heading=h.cf71hk8l0gkd" w:id="71"/>
      <w:bookmarkEnd w:id="71"/>
      <w:r w:rsidDel="00000000" w:rsidR="00000000" w:rsidRPr="00000000">
        <w:rPr>
          <w:rtl w:val="0"/>
        </w:rPr>
        <w:t xml:space="preserve">Figure S9. Comparison of PP and ITT DI distributions.</w:t>
      </w:r>
    </w:p>
    <w:p w:rsidR="00000000" w:rsidDel="00000000" w:rsidP="00000000" w:rsidRDefault="00000000" w:rsidRPr="00000000" w14:paraId="00000284">
      <w:pPr>
        <w:rPr/>
      </w:pPr>
      <w:r w:rsidDel="00000000" w:rsidR="00000000" w:rsidRPr="00000000">
        <w:rPr/>
        <w:drawing>
          <wp:inline distB="114300" distT="114300" distL="114300" distR="114300">
            <wp:extent cx="6000750" cy="3149600"/>
            <wp:effectExtent b="0" l="0" r="0" t="0"/>
            <wp:docPr id="25"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6000750"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285">
      <w:pPr>
        <w:spacing w:line="240" w:lineRule="auto"/>
        <w:rPr/>
      </w:pPr>
      <w:r w:rsidDel="00000000" w:rsidR="00000000" w:rsidRPr="00000000">
        <w:rPr>
          <w:b w:val="1"/>
          <w:bCs w:val="1"/>
          <w:rtl w:val="0"/>
        </w:rPr>
        <w:t xml:space="preserve">Figure S9.</w:t>
      </w:r>
      <w:r w:rsidDel="00000000" w:rsidR="00000000" w:rsidRPr="00000000">
        <w:rPr>
          <w:rtl w:val="0"/>
        </w:rPr>
        <w:t xml:space="preserve"> Comparison of the DI distributions for AI-gen (blue) and Human-gen (grey) MCQs in the (A) PP and (B) ITT analyses. In both the PP and ITT analyses, the distributions were indistinguishable by the Wilcoxon rank-sum test. Dashed vertical lines represent group DI means.</w:t>
      </w:r>
      <w:r w:rsidDel="00000000" w:rsidR="00000000" w:rsidRPr="00000000">
        <w:br w:type="page"/>
      </w:r>
      <w:r w:rsidDel="00000000" w:rsidR="00000000" w:rsidRPr="00000000">
        <w:rPr>
          <w:rtl w:val="0"/>
        </w:rPr>
      </w:r>
    </w:p>
    <w:p w:rsidR="00000000" w:rsidDel="00000000" w:rsidP="00000000" w:rsidRDefault="00000000" w:rsidRPr="00000000" w14:paraId="00000286">
      <w:pPr>
        <w:pStyle w:val="Heading3"/>
        <w:rPr/>
      </w:pPr>
      <w:bookmarkStart w:colFirst="0" w:colLast="0" w:name="_heading=h.64voheavalrg" w:id="72"/>
      <w:bookmarkEnd w:id="72"/>
      <w:r w:rsidDel="00000000" w:rsidR="00000000" w:rsidRPr="00000000">
        <w:rPr>
          <w:rtl w:val="0"/>
        </w:rPr>
        <w:t xml:space="preserve">Figure S10. Comparison of DI for PP and ITT populations.</w:t>
      </w:r>
    </w:p>
    <w:p w:rsidR="00000000" w:rsidDel="00000000" w:rsidP="00000000" w:rsidRDefault="00000000" w:rsidRPr="00000000" w14:paraId="00000287">
      <w:pPr>
        <w:spacing w:after="80" w:line="240" w:lineRule="auto"/>
        <w:rPr>
          <w:sz w:val="22"/>
          <w:szCs w:val="22"/>
        </w:rPr>
      </w:pPr>
      <w:r w:rsidDel="00000000" w:rsidR="00000000" w:rsidRPr="00000000">
        <w:rPr>
          <w:sz w:val="22"/>
          <w:szCs w:val="22"/>
        </w:rPr>
        <w:drawing>
          <wp:inline distB="114300" distT="114300" distL="114300" distR="114300">
            <wp:extent cx="5998464" cy="2438400"/>
            <wp:effectExtent b="0" l="0" r="0" t="0"/>
            <wp:docPr id="27"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5998464"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288">
      <w:pPr>
        <w:spacing w:after="80" w:line="240" w:lineRule="auto"/>
        <w:rPr>
          <w:sz w:val="22"/>
          <w:szCs w:val="22"/>
        </w:rPr>
      </w:pPr>
      <w:r w:rsidDel="00000000" w:rsidR="00000000" w:rsidRPr="00000000">
        <w:rPr>
          <w:b w:val="1"/>
          <w:bCs w:val="1"/>
          <w:sz w:val="22"/>
          <w:szCs w:val="22"/>
          <w:rtl w:val="0"/>
        </w:rPr>
        <w:t xml:space="preserve">Figure S10.</w:t>
      </w:r>
      <w:r w:rsidDel="00000000" w:rsidR="00000000" w:rsidRPr="00000000">
        <w:rPr>
          <w:sz w:val="22"/>
          <w:szCs w:val="22"/>
          <w:rtl w:val="0"/>
        </w:rPr>
        <w:t xml:space="preserve"> Boxplots comparing the DI values of the AI- and Human-gen exams in the (A) ITT and (B) PP analyses. For each boxplot, the center line represents the median, the box limits indicate the interquartile range (IQR), and whiskers extend to 1.5 X IQR. Data points lying outside this range are plotted individually.</w:t>
      </w:r>
    </w:p>
    <w:p w:rsidR="00000000" w:rsidDel="00000000" w:rsidP="00000000" w:rsidRDefault="00000000" w:rsidRPr="00000000" w14:paraId="00000289">
      <w:pPr>
        <w:pStyle w:val="Heading3"/>
        <w:rPr>
          <w:b w:val="0"/>
          <w:bCs w:val="0"/>
        </w:rPr>
      </w:pPr>
      <w:bookmarkStart w:colFirst="0" w:colLast="0" w:name="_heading=h.lfi26t635s2" w:id="73"/>
      <w:bookmarkEnd w:id="73"/>
      <w:r w:rsidDel="00000000" w:rsidR="00000000" w:rsidRPr="00000000">
        <w:br w:type="page"/>
      </w:r>
      <w:r w:rsidDel="00000000" w:rsidR="00000000" w:rsidRPr="00000000">
        <w:rPr>
          <w:rtl w:val="0"/>
        </w:rPr>
      </w:r>
    </w:p>
    <w:p w:rsidR="00000000" w:rsidDel="00000000" w:rsidP="00000000" w:rsidRDefault="00000000" w:rsidRPr="00000000" w14:paraId="0000028A">
      <w:pPr>
        <w:pStyle w:val="Heading3"/>
        <w:rPr/>
      </w:pPr>
      <w:bookmarkStart w:colFirst="0" w:colLast="0" w:name="_heading=h.fxusu1gwrw9p" w:id="74"/>
      <w:bookmarkEnd w:id="74"/>
      <w:r w:rsidDel="00000000" w:rsidR="00000000" w:rsidRPr="00000000">
        <w:rPr>
          <w:rtl w:val="0"/>
        </w:rPr>
        <w:t xml:space="preserve">Figure S11. Acceptability metrics for PP population.</w:t>
      </w:r>
    </w:p>
    <w:p w:rsidR="00000000" w:rsidDel="00000000" w:rsidP="00000000" w:rsidRDefault="00000000" w:rsidRPr="00000000" w14:paraId="0000028B">
      <w:pPr>
        <w:rPr>
          <w:sz w:val="22"/>
          <w:szCs w:val="22"/>
        </w:rPr>
      </w:pPr>
      <w:r w:rsidDel="00000000" w:rsidR="00000000" w:rsidRPr="00000000">
        <w:rPr/>
        <w:drawing>
          <wp:inline distB="114300" distT="114300" distL="114300" distR="114300">
            <wp:extent cx="5881688" cy="3897625"/>
            <wp:effectExtent b="0" l="0" r="0" t="0"/>
            <wp:docPr id="28"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5881688" cy="3897625"/>
                    </a:xfrm>
                    <a:prstGeom prst="rect"/>
                    <a:ln/>
                  </pic:spPr>
                </pic:pic>
              </a:graphicData>
            </a:graphic>
          </wp:inline>
        </w:drawing>
      </w:r>
      <w:r w:rsidDel="00000000" w:rsidR="00000000" w:rsidRPr="00000000">
        <w:rPr>
          <w:rtl w:val="0"/>
        </w:rPr>
      </w:r>
    </w:p>
    <w:p w:rsidR="00000000" w:rsidDel="00000000" w:rsidP="00000000" w:rsidRDefault="00000000" w:rsidRPr="00000000" w14:paraId="0000028C">
      <w:pPr>
        <w:spacing w:line="240" w:lineRule="auto"/>
        <w:jc w:val="left"/>
        <w:rPr>
          <w:sz w:val="22"/>
          <w:szCs w:val="22"/>
        </w:rPr>
      </w:pPr>
      <w:r w:rsidDel="00000000" w:rsidR="00000000" w:rsidRPr="00000000">
        <w:rPr>
          <w:b w:val="1"/>
          <w:bCs w:val="1"/>
          <w:sz w:val="22"/>
          <w:szCs w:val="22"/>
          <w:rtl w:val="0"/>
        </w:rPr>
        <w:t xml:space="preserve">Figure S11. </w:t>
      </w:r>
      <w:sdt>
        <w:sdtPr>
          <w:id w:val="-660680864"/>
          <w:tag w:val="goog_rdk_57"/>
        </w:sdtPr>
        <w:sdtContent>
          <w:r w:rsidDel="00000000" w:rsidR="00000000" w:rsidRPr="00000000">
            <w:rPr>
              <w:rFonts w:ascii="Gungsuh" w:cs="Gungsuh" w:eastAsia="Gungsuh" w:hAnsi="Gungsuh"/>
              <w:sz w:val="22"/>
              <w:szCs w:val="22"/>
              <w:rtl w:val="0"/>
            </w:rPr>
            <w:t xml:space="preserve">Student-reported perceptions of AI- and Human-gen exams in the PP population. Bars represent mean scores on a 10-point Likert scale, with error bars indicating standard error. Statistical comparisons were conducted using Welch’s t-test; “*” denote p &lt; 0.05 and “ns” indicates non-significance (p ≥ 0.05). </w:t>
          </w:r>
        </w:sdtContent>
      </w:sdt>
    </w:p>
    <w:p w:rsidR="00000000" w:rsidDel="00000000" w:rsidP="00000000" w:rsidRDefault="00000000" w:rsidRPr="00000000" w14:paraId="0000028D">
      <w:pPr>
        <w:pStyle w:val="Heading2"/>
        <w:rPr>
          <w:b w:val="0"/>
          <w:bCs w:val="0"/>
        </w:rPr>
      </w:pPr>
      <w:bookmarkStart w:colFirst="0" w:colLast="0" w:name="_heading=h.99gwgcatffy7" w:id="75"/>
      <w:bookmarkEnd w:id="75"/>
      <w:r w:rsidDel="00000000" w:rsidR="00000000" w:rsidRPr="00000000">
        <w:br w:type="page"/>
      </w:r>
      <w:r w:rsidDel="00000000" w:rsidR="00000000" w:rsidRPr="00000000">
        <w:rPr>
          <w:rtl w:val="0"/>
        </w:rPr>
      </w:r>
    </w:p>
    <w:p w:rsidR="00000000" w:rsidDel="00000000" w:rsidP="00000000" w:rsidRDefault="00000000" w:rsidRPr="00000000" w14:paraId="0000028E">
      <w:pPr>
        <w:pStyle w:val="Heading2"/>
        <w:rPr/>
      </w:pPr>
      <w:bookmarkStart w:colFirst="0" w:colLast="0" w:name="_heading=h.7snsgnymk2cg" w:id="76"/>
      <w:bookmarkEnd w:id="76"/>
      <w:r w:rsidDel="00000000" w:rsidR="00000000" w:rsidRPr="00000000">
        <w:rPr>
          <w:rtl w:val="0"/>
        </w:rPr>
        <w:t xml:space="preserve">6. Sample Paired AI-Gen and Human-Gen MCQs</w:t>
      </w:r>
    </w:p>
    <w:p w:rsidR="00000000" w:rsidDel="00000000" w:rsidP="00000000" w:rsidRDefault="00000000" w:rsidRPr="00000000" w14:paraId="0000028F">
      <w:pPr>
        <w:spacing w:after="240" w:before="240" w:lineRule="auto"/>
        <w:rPr/>
      </w:pPr>
      <w:r w:rsidDel="00000000" w:rsidR="00000000" w:rsidRPr="00000000">
        <w:rPr>
          <w:rtl w:val="0"/>
        </w:rPr>
        <w:t xml:space="preserve">A randomly selected subset of 30 paired AI-generated and human-generated multiple-choice questions (MCQs) is made publicly available in an open data repository. For each selected objective, the AI-generated and human-generated versions are presented side by side, together with the correct answer and item-level discrimination indices derived from the per-protocol (PP) analysis. These items are provided solely as illustrative research artefacts. They were not analyzed independently for psychometric inference beyond the full 112-item analyses reported in the main manuscript and are not validated for summative assessment.</w:t>
      </w:r>
    </w:p>
    <w:p w:rsidR="00000000" w:rsidDel="00000000" w:rsidP="00000000" w:rsidRDefault="00000000" w:rsidRPr="00000000" w14:paraId="00000290">
      <w:pPr>
        <w:spacing w:after="240" w:before="240" w:lineRule="auto"/>
        <w:rPr/>
      </w:pPr>
      <w:r w:rsidDel="00000000" w:rsidR="00000000" w:rsidRPr="00000000">
        <w:rPr>
          <w:rtl w:val="0"/>
        </w:rPr>
        <w:t xml:space="preserve">The dataset is publicly available at Zenodo (DOI: </w:t>
      </w:r>
      <w:hyperlink r:id="rId23">
        <w:r w:rsidDel="00000000" w:rsidR="00000000" w:rsidRPr="00000000">
          <w:rPr>
            <w:u w:val="single"/>
            <w:rtl w:val="0"/>
          </w:rPr>
          <w:t xml:space="preserve">10.5281/zenodo.18284890</w:t>
        </w:r>
      </w:hyperlink>
      <w:r w:rsidDel="00000000" w:rsidR="00000000" w:rsidRPr="00000000">
        <w:rPr>
          <w:rtl w:val="0"/>
        </w:rPr>
        <w:t xml:space="preserve">).</w:t>
      </w:r>
    </w:p>
    <w:p w:rsidR="00000000" w:rsidDel="00000000" w:rsidP="00000000" w:rsidRDefault="00000000" w:rsidRPr="00000000" w14:paraId="00000291">
      <w:pPr>
        <w:pStyle w:val="Heading2"/>
        <w:rPr>
          <w:b w:val="0"/>
          <w:bCs w:val="0"/>
        </w:rPr>
      </w:pPr>
      <w:bookmarkStart w:colFirst="0" w:colLast="0" w:name="_heading=h.qgy2fu5holua" w:id="77"/>
      <w:bookmarkEnd w:id="77"/>
      <w:r w:rsidDel="00000000" w:rsidR="00000000" w:rsidRPr="00000000">
        <w:rPr>
          <w:rtl w:val="0"/>
        </w:rPr>
      </w:r>
    </w:p>
    <w:p w:rsidR="00000000" w:rsidDel="00000000" w:rsidP="00000000" w:rsidRDefault="00000000" w:rsidRPr="00000000" w14:paraId="00000292">
      <w:pPr>
        <w:pStyle w:val="Heading2"/>
        <w:rPr/>
      </w:pPr>
      <w:bookmarkStart w:colFirst="0" w:colLast="0" w:name="_heading=h.yaizwdu9ejeq" w:id="78"/>
      <w:bookmarkEnd w:id="78"/>
      <w:r w:rsidDel="00000000" w:rsidR="00000000" w:rsidRPr="00000000">
        <w:rPr>
          <w:rtl w:val="0"/>
        </w:rPr>
        <w:t xml:space="preserve">7. Supplementary References</w:t>
      </w:r>
    </w:p>
    <w:p w:rsidR="00000000" w:rsidDel="00000000" w:rsidP="00000000" w:rsidRDefault="00000000" w:rsidRPr="00000000" w14:paraId="00000293">
      <w:pPr>
        <w:spacing w:after="240" w:line="240" w:lineRule="auto"/>
        <w:ind w:left="384" w:firstLine="0"/>
        <w:rPr/>
      </w:pPr>
      <w:hyperlink r:id="rId24">
        <w:r w:rsidDel="00000000" w:rsidR="00000000" w:rsidRPr="00000000">
          <w:rPr>
            <w:rtl w:val="0"/>
          </w:rPr>
          <w:t xml:space="preserve">1. </w:t>
        </w:r>
      </w:hyperlink>
      <w:r w:rsidDel="00000000" w:rsidR="00000000" w:rsidRPr="00000000">
        <w:rPr>
          <w:rtl w:val="0"/>
        </w:rPr>
        <w:tab/>
      </w:r>
      <w:hyperlink r:id="rId25">
        <w:r w:rsidDel="00000000" w:rsidR="00000000" w:rsidRPr="00000000">
          <w:rPr>
            <w:rtl w:val="0"/>
          </w:rPr>
          <w:t xml:space="preserve">Cohen J. Statistical power analysis for the behavioral sciences. 2nd ed. Hillsdale, N.J: L. Erlbaum Associates; 1988. 567 p. </w:t>
        </w:r>
      </w:hyperlink>
      <w:r w:rsidDel="00000000" w:rsidR="00000000" w:rsidRPr="00000000">
        <w:rPr>
          <w:rtl w:val="0"/>
        </w:rPr>
      </w:r>
    </w:p>
    <w:sectPr>
      <w:type w:val="nextPage"/>
      <w:pgSz w:h="15840" w:w="12240" w:orient="portrait"/>
      <w:pgMar w:bottom="1440" w:top="1440" w:left="1440" w:right="135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4">
    <w:pPr>
      <w:spacing w:after="240" w:line="240" w:lineRule="auto"/>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Arial" w:cs="Arial" w:eastAsia="Arial" w:hAnsi="Arial"/>
      <w:b w:val="1"/>
      <w:bCs w:val="1"/>
      <w:sz w:val="28"/>
      <w:szCs w:val="28"/>
    </w:rPr>
  </w:style>
  <w:style w:type="paragraph" w:styleId="Heading3">
    <w:name w:val="heading 3"/>
    <w:basedOn w:val="Normal"/>
    <w:next w:val="Normal"/>
    <w:pPr>
      <w:keepNext w:val="1"/>
      <w:keepLines w:val="1"/>
      <w:spacing w:after="120" w:before="360" w:lineRule="auto"/>
    </w:pPr>
    <w:rPr>
      <w:rFonts w:ascii="Arial" w:cs="Arial" w:eastAsia="Arial" w:hAnsi="Arial"/>
      <w:b w:val="1"/>
      <w:bCs w:val="1"/>
    </w:rPr>
  </w:style>
  <w:style w:type="paragraph" w:styleId="Heading4">
    <w:name w:val="heading 4"/>
    <w:basedOn w:val="Normal"/>
    <w:next w:val="Normal"/>
    <w:pPr>
      <w:keepNext w:val="1"/>
      <w:keepLines w:val="1"/>
      <w:spacing w:after="240" w:before="240" w:lineRule="auto"/>
    </w:pPr>
    <w:rPr>
      <w:rFonts w:ascii="Arial" w:cs="Arial" w:eastAsia="Arial" w:hAnsi="Arial"/>
      <w:b w:val="1"/>
      <w:bCs w:val="1"/>
      <w:i w:val="1"/>
      <w:iCs w:val="1"/>
    </w:rPr>
  </w:style>
  <w:style w:type="paragraph" w:styleId="Heading5">
    <w:name w:val="heading 5"/>
    <w:basedOn w:val="Normal"/>
    <w:next w:val="Normal"/>
    <w:pPr>
      <w:keepNext w:val="1"/>
      <w:keepLines w:val="1"/>
      <w:spacing w:after="240" w:before="240" w:line="240" w:lineRule="auto"/>
    </w:pPr>
    <w:rPr>
      <w:i w:val="1"/>
      <w:iCs w:val="1"/>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8.png"/><Relationship Id="rId24" Type="http://schemas.openxmlformats.org/officeDocument/2006/relationships/hyperlink" Target="https://www.zotero.org/google-docs/?ViUwRH" TargetMode="External"/><Relationship Id="rId23" Type="http://schemas.openxmlformats.org/officeDocument/2006/relationships/hyperlink" Target="https://doi.org/10.5281/zenodo.1828489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5" Type="http://schemas.openxmlformats.org/officeDocument/2006/relationships/hyperlink" Target="https://www.zotero.org/google-docs/?ViUwR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zotero.org/google-docs/?6B2YR9" TargetMode="External"/><Relationship Id="rId8" Type="http://schemas.openxmlformats.org/officeDocument/2006/relationships/header" Target="header1.xml"/><Relationship Id="rId11" Type="http://schemas.openxmlformats.org/officeDocument/2006/relationships/image" Target="media/image12.png"/><Relationship Id="rId10" Type="http://schemas.openxmlformats.org/officeDocument/2006/relationships/image" Target="media/image11.png"/><Relationship Id="rId13" Type="http://schemas.openxmlformats.org/officeDocument/2006/relationships/image" Target="media/image13.png"/><Relationship Id="rId12" Type="http://schemas.openxmlformats.org/officeDocument/2006/relationships/image" Target="media/image7.png"/><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10.png"/><Relationship Id="rId16" Type="http://schemas.openxmlformats.org/officeDocument/2006/relationships/image" Target="media/image9.png"/><Relationship Id="rId19" Type="http://schemas.openxmlformats.org/officeDocument/2006/relationships/image" Target="media/image1.png"/><Relationship Id="rId1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xNVY79A0sVvg/38+1S+iaXIgRw==">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Mg5oLjJxbGR1cjdpcmY4ZjIOaC5lOXhlZ2QybTVmOGYyDmgueGZvZ3JiOG52NjVyMg5oLnFjNDFya2FibHV2aTIOaC5rdTF1dHJoMnVnbTUyDmgudnR4NHp3eDN3bHM3Mg5oLjV6ZDc1dm11MDh1NzINaC4zczl2c2VvZGN2bzIOaC5tNGI4bWduc29yZXkyDmguM293bHF1eDV3eWFlMg5oLjEzd2o1dmVqNnlqYjIOaC5qMjNhNDJ2NXJwNHoyDmguM3VkdmVlamFtam1xMg5oLnVkZHFhancxaTR2djIOaC42em12dmxjNTIwOW8yDmguMWR4b245Z3pvYjBrMg5oLjZqM3dycW44Z2h4ZzIOaC55bGFobHRhbnZ6b2MyDmguZmZvcnpkYzl6b2d1Mg5oLmtrbjh0amR4aXF4YzIOaC42aXRyaHRlM3pvZWgyDmguaHFiano3dGk0Y3JoMg5oLnQzZDk4ZzN2MHJqYzIOaC55bzc5YTFpdHVydHoyDmguNWEzNjQ5ajR6aTZ1Mg5oLmRocm1uZGFlMTZpYzIOaC4xbHQwNjR3NWdpejUyDmgudjhjYTJveTVhaDRiMg5oLnRyeXhlazExcWRneDIOaC53aDFteGtiZHZmdXkyDmguZmlnMzdwamxnNXByMg5oLmZ1czhld3R3bHNlbzIOaC5mdTZoc3EybjgzbHgyDmguZzMyc2VuaHJjdTA2Mg5oLmg1MmwzeG5ubjNsbjIOaC5yNDVodTRmcGFoaTAyDmguZ3R5MTBsN2F1dGhkMg5oLjRyOG5uMG85cGs5MTIOaC55c29ocjl1NmU5MzYyDmguZTk4Y3ZpeDlwZnFsMg5oLmd6ems2c2l4ODdpczIOaC5udjF1dWlwdzRlaTAyDmguNDV2MTBvbTVqZDFoMg5oLnFyYm8wcnJxbndpcDIOaC5tcDgxM294cDZkbW8yDmguZ203bDdvd3hyZnM3Mg5oLjJ4MW1yZTZsdXprYzIOaC4xcHBsNXI3ZTgzZjAyDmguY3E3NGM4YjY2YWR3Mg5oLmp5MTVubnRqdDdjdTINaC5weXF0b2dleGRtZDIOaC42aWRtbzc2ajl2dmsyDmguY2ppYjViZGo0MGc2Mg5oLjZ3cDBvcnM5YTYzcjIOaC5mZDRybmFpdjc1d24yDmgucmZ5cWVoNGp3cmVwMg5oLnhlcTZ5Z2ltZnh3MzINaC40cXQzZXViZTBrczIOaC5jMzlmZ2thM3A5b2UyDmguMXhrZjFsMm93ZWw1Mg5oLmd6NGVkbjRta2o5MjIOaC40NDd6M2RjMTdvZW0yDmguc2cxbzdsZXZzMGZzMg5oLmprZ2ZqYmtiOXRmYzIOaC41cTdpcmRieXlxdXUyDmgubmhrN3h0amU2Yms4Mg5oLmxocWVkYWkwa2t0NTIOaC5tYnd2aHYybDJhMXQyDmgubXU0dnloZWdpbWJtMg5oLmd4ZGx5YzNuZ3duazIOaC44amE5Mnl6ZDdmbjEyDmguY2Y3MWhrOGwwZ2tkMg5oLjY0dm9oZWF2YWxyZzINaC5sZmkyNnQ2MzVzMjIOaC5meHVzdTFnd3J3OXAyDmguOTlnd2djYXRmZnk3Mg5oLjdzbnNnbnltazJjZzIOaC5xZ3kyZnU1aG9sdWEyDmgueWFpendkdTllamVxOAByITFYVmdPTmZCNDVBbk1HeHNnVDkzcUQ2V0l4WlJDS25R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2026-03-10T06:22:00Z</dcterms:created>
</cp:coreProperties>
</file>