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62F74" w14:textId="77777777" w:rsidR="005F21B4" w:rsidRDefault="005141AC">
      <w:pPr>
        <w:pStyle w:val="Kop1"/>
        <w:spacing w:line="480" w:lineRule="auto"/>
        <w:jc w:val="both"/>
      </w:pPr>
      <w:bookmarkStart w:id="0" w:name="_85qlfj4chgn0" w:colFirst="0" w:colLast="0"/>
      <w:bookmarkEnd w:id="0"/>
      <w:r>
        <w:rPr>
          <w:b/>
          <w:bCs/>
          <w:sz w:val="30"/>
          <w:szCs w:val="30"/>
        </w:rPr>
        <w:t>SUPPLEMENTARY MATERIALS</w:t>
      </w:r>
    </w:p>
    <w:p w14:paraId="1C474E75" w14:textId="77777777" w:rsidR="005F21B4" w:rsidRDefault="005141AC">
      <w:pPr>
        <w:jc w:val="both"/>
      </w:pPr>
      <w:r>
        <w:rPr>
          <w:noProof/>
        </w:rPr>
        <w:drawing>
          <wp:inline distT="114300" distB="114300" distL="114300" distR="114300" wp14:anchorId="64181688" wp14:editId="0B255E43">
            <wp:extent cx="4857750" cy="477523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934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775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9A5C2" w14:textId="77777777" w:rsidR="005F21B4" w:rsidRPr="001B36AA" w:rsidRDefault="005141AC">
      <w:pPr>
        <w:spacing w:line="480" w:lineRule="auto"/>
        <w:jc w:val="both"/>
        <w:rPr>
          <w:lang w:val="en-US"/>
        </w:rPr>
      </w:pPr>
      <w:r w:rsidRPr="001B36AA">
        <w:rPr>
          <w:b/>
          <w:bCs/>
          <w:lang w:val="en-US"/>
        </w:rPr>
        <w:t xml:space="preserve">Supplemental figure 1 </w:t>
      </w:r>
      <w:r w:rsidRPr="001B36AA">
        <w:rPr>
          <w:lang w:val="en-US"/>
        </w:rPr>
        <w:t xml:space="preserve">– Bar plots with the mean ± SEM of the relative stimulated calcitonin gene-related peptide (CGRP) release ratios of the trigeminal nucleus </w:t>
      </w:r>
      <w:proofErr w:type="spellStart"/>
      <w:r w:rsidRPr="001B36AA">
        <w:rPr>
          <w:lang w:val="en-US"/>
        </w:rPr>
        <w:t>caudalis</w:t>
      </w:r>
      <w:proofErr w:type="spellEnd"/>
      <w:r w:rsidRPr="001B36AA">
        <w:rPr>
          <w:lang w:val="en-US"/>
        </w:rPr>
        <w:t xml:space="preserve"> (TNC, n = 23), trigeminal ganglion (TG, n = 20), and dura mater (DM, n = 15)  after potassium chloride (KCl) administration in </w:t>
      </w:r>
      <w:r w:rsidRPr="001B36AA">
        <w:rPr>
          <w:i/>
          <w:iCs/>
          <w:lang w:val="en-US"/>
        </w:rPr>
        <w:t>Ercc1</w:t>
      </w:r>
      <w:r>
        <w:rPr>
          <w:rFonts w:ascii="Arial Unicode MS" w:eastAsia="Arial Unicode MS" w:hAnsi="Arial Unicode MS" w:cs="Arial Unicode MS"/>
          <w:i/>
          <w:iCs/>
          <w:vertAlign w:val="superscript"/>
        </w:rPr>
        <w:t>Δ</w:t>
      </w:r>
      <w:r w:rsidRPr="001B36AA">
        <w:rPr>
          <w:rFonts w:ascii="Arial Unicode MS" w:eastAsia="Arial Unicode MS" w:hAnsi="Arial Unicode MS" w:cs="Arial Unicode MS"/>
          <w:i/>
          <w:iCs/>
          <w:vertAlign w:val="superscript"/>
          <w:lang w:val="en-US"/>
        </w:rPr>
        <w:t>/−</w:t>
      </w:r>
      <w:r w:rsidRPr="001B36AA">
        <w:rPr>
          <w:lang w:val="en-US"/>
        </w:rPr>
        <w:t xml:space="preserve"> mice, indicating overall significant differences between the three groups (</w:t>
      </w:r>
      <w:r w:rsidRPr="001B36AA">
        <w:rPr>
          <w:b/>
          <w:bCs/>
          <w:lang w:val="en-US"/>
        </w:rPr>
        <w:t>**</w:t>
      </w:r>
      <w:r w:rsidRPr="001B36AA">
        <w:rPr>
          <w:lang w:val="en-US"/>
        </w:rPr>
        <w:t xml:space="preserve"> indicates overall </w:t>
      </w:r>
      <w:r w:rsidRPr="001B36AA">
        <w:rPr>
          <w:i/>
          <w:iCs/>
          <w:lang w:val="en-US"/>
        </w:rPr>
        <w:t>P</w:t>
      </w:r>
      <w:r w:rsidRPr="001B36AA">
        <w:rPr>
          <w:lang w:val="en-US"/>
        </w:rPr>
        <w:t xml:space="preserve">-value &lt; 0.0001). </w:t>
      </w:r>
    </w:p>
    <w:p w14:paraId="7F78F9B6" w14:textId="77777777" w:rsidR="005F21B4" w:rsidRPr="001B36AA" w:rsidRDefault="005F21B4">
      <w:pPr>
        <w:spacing w:line="480" w:lineRule="auto"/>
        <w:jc w:val="both"/>
        <w:rPr>
          <w:lang w:val="en-US"/>
        </w:rPr>
      </w:pPr>
    </w:p>
    <w:p w14:paraId="5F10AD3B" w14:textId="77777777" w:rsidR="005F21B4" w:rsidRDefault="005141AC">
      <w:pPr>
        <w:spacing w:line="480" w:lineRule="auto"/>
        <w:jc w:val="both"/>
      </w:pPr>
      <w:r w:rsidRPr="001B36AA">
        <w:rPr>
          <w:lang w:val="en-US"/>
        </w:rPr>
        <w:t xml:space="preserve">Post-hoc tests indicated significant differences between TNC </w:t>
      </w:r>
      <w:r w:rsidRPr="001B36AA">
        <w:rPr>
          <w:i/>
          <w:iCs/>
          <w:lang w:val="en-US"/>
        </w:rPr>
        <w:t xml:space="preserve">versus </w:t>
      </w:r>
      <w:r w:rsidRPr="001B36AA">
        <w:rPr>
          <w:lang w:val="en-US"/>
        </w:rPr>
        <w:t xml:space="preserve">TG and TNC </w:t>
      </w:r>
      <w:r w:rsidRPr="001B36AA">
        <w:rPr>
          <w:i/>
          <w:iCs/>
          <w:lang w:val="en-US"/>
        </w:rPr>
        <w:t xml:space="preserve">versus </w:t>
      </w:r>
      <w:r w:rsidRPr="001B36AA">
        <w:rPr>
          <w:lang w:val="en-US"/>
        </w:rPr>
        <w:t xml:space="preserve">DM, but not between TG </w:t>
      </w:r>
      <w:r w:rsidRPr="001B36AA">
        <w:rPr>
          <w:i/>
          <w:iCs/>
          <w:lang w:val="en-US"/>
        </w:rPr>
        <w:t xml:space="preserve">versus </w:t>
      </w:r>
      <w:proofErr w:type="gramStart"/>
      <w:r w:rsidRPr="001B36AA">
        <w:rPr>
          <w:lang w:val="en-US"/>
        </w:rPr>
        <w:t xml:space="preserve">DM. </w:t>
      </w:r>
      <w:r>
        <w:t>#</w:t>
      </w:r>
      <w:proofErr w:type="gramEnd"/>
      <w:r>
        <w:t xml:space="preserve"> indicates statistical significance with an adjusted </w:t>
      </w:r>
      <w:r>
        <w:rPr>
          <w:i/>
          <w:iCs/>
        </w:rPr>
        <w:t>P</w:t>
      </w:r>
      <w:r>
        <w:t xml:space="preserve">-value &lt; 0.05 of TNC </w:t>
      </w:r>
      <w:r>
        <w:rPr>
          <w:i/>
          <w:iCs/>
        </w:rPr>
        <w:t xml:space="preserve">versus </w:t>
      </w:r>
      <w:r>
        <w:t xml:space="preserve">TG, while ## indicates statistical significance with an adjusted </w:t>
      </w:r>
      <w:r>
        <w:rPr>
          <w:i/>
          <w:iCs/>
        </w:rPr>
        <w:t>P</w:t>
      </w:r>
      <w:r>
        <w:t xml:space="preserve">-value &lt; 0.0001 of TNC </w:t>
      </w:r>
      <w:r>
        <w:rPr>
          <w:i/>
          <w:iCs/>
        </w:rPr>
        <w:t xml:space="preserve">versus </w:t>
      </w:r>
      <w:r>
        <w:t>DM.</w:t>
      </w:r>
    </w:p>
    <w:p w14:paraId="1DD2A2DA" w14:textId="77777777" w:rsidR="005F21B4" w:rsidRDefault="005141AC">
      <w:r>
        <w:rPr>
          <w:noProof/>
        </w:rPr>
        <w:lastRenderedPageBreak/>
        <w:drawing>
          <wp:inline distT="114300" distB="114300" distL="114300" distR="114300" wp14:anchorId="339DF7AC" wp14:editId="4E335853">
            <wp:extent cx="4857750" cy="4701587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02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70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E46AF" w14:textId="77777777" w:rsidR="005F21B4" w:rsidRPr="001B36AA" w:rsidRDefault="005141AC">
      <w:pPr>
        <w:spacing w:line="480" w:lineRule="auto"/>
        <w:jc w:val="both"/>
        <w:rPr>
          <w:lang w:val="en-US"/>
        </w:rPr>
      </w:pPr>
      <w:r w:rsidRPr="001B36AA">
        <w:rPr>
          <w:b/>
          <w:bCs/>
          <w:lang w:val="en-US"/>
        </w:rPr>
        <w:t xml:space="preserve">Supplemental figure 2 </w:t>
      </w:r>
      <w:r w:rsidRPr="001B36AA">
        <w:rPr>
          <w:lang w:val="en-US"/>
        </w:rPr>
        <w:t xml:space="preserve">– Bar plots with the mean ± SEM of the relative stimulated calcitonin gene-related peptide (CGRP) release ratios of the trigeminal nucleus </w:t>
      </w:r>
      <w:proofErr w:type="spellStart"/>
      <w:r w:rsidRPr="001B36AA">
        <w:rPr>
          <w:lang w:val="en-US"/>
        </w:rPr>
        <w:t>caudalis</w:t>
      </w:r>
      <w:proofErr w:type="spellEnd"/>
      <w:r w:rsidRPr="001B36AA">
        <w:rPr>
          <w:lang w:val="en-US"/>
        </w:rPr>
        <w:t xml:space="preserve"> (TNC, n = 27), trigeminal ganglion (TG, n = 23), and dura mater (DM, n = 19)  after potassium chloride (KCl) administration in wild type mice, indicating overall significant differences between the three groups (</w:t>
      </w:r>
      <w:r w:rsidRPr="001B36AA">
        <w:rPr>
          <w:b/>
          <w:bCs/>
          <w:lang w:val="en-US"/>
        </w:rPr>
        <w:t>*</w:t>
      </w:r>
      <w:r w:rsidRPr="001B36AA">
        <w:rPr>
          <w:lang w:val="en-US"/>
        </w:rPr>
        <w:t xml:space="preserve"> indicates overall </w:t>
      </w:r>
      <w:r w:rsidRPr="001B36AA">
        <w:rPr>
          <w:i/>
          <w:iCs/>
          <w:lang w:val="en-US"/>
        </w:rPr>
        <w:t>P</w:t>
      </w:r>
      <w:r w:rsidRPr="001B36AA">
        <w:rPr>
          <w:lang w:val="en-US"/>
        </w:rPr>
        <w:t xml:space="preserve">-value &lt; 0.05). </w:t>
      </w:r>
    </w:p>
    <w:p w14:paraId="02AA77FA" w14:textId="77777777" w:rsidR="005F21B4" w:rsidRPr="001B36AA" w:rsidRDefault="005F21B4">
      <w:pPr>
        <w:spacing w:line="480" w:lineRule="auto"/>
        <w:jc w:val="both"/>
        <w:rPr>
          <w:lang w:val="en-US"/>
        </w:rPr>
      </w:pPr>
    </w:p>
    <w:p w14:paraId="60C96179" w14:textId="77777777" w:rsidR="005F21B4" w:rsidRDefault="005141AC">
      <w:pPr>
        <w:spacing w:line="480" w:lineRule="auto"/>
        <w:jc w:val="both"/>
      </w:pPr>
      <w:r w:rsidRPr="001B36AA">
        <w:rPr>
          <w:lang w:val="en-US"/>
        </w:rPr>
        <w:t xml:space="preserve">Post-hoc tests indicated significant differences between TNC </w:t>
      </w:r>
      <w:r w:rsidRPr="001B36AA">
        <w:rPr>
          <w:i/>
          <w:iCs/>
          <w:lang w:val="en-US"/>
        </w:rPr>
        <w:t xml:space="preserve">versus </w:t>
      </w:r>
      <w:r w:rsidRPr="001B36AA">
        <w:rPr>
          <w:lang w:val="en-US"/>
        </w:rPr>
        <w:t xml:space="preserve">DM, but not between TNC </w:t>
      </w:r>
      <w:r w:rsidRPr="001B36AA">
        <w:rPr>
          <w:i/>
          <w:iCs/>
          <w:lang w:val="en-US"/>
        </w:rPr>
        <w:t>versus</w:t>
      </w:r>
      <w:r w:rsidRPr="001B36AA">
        <w:rPr>
          <w:lang w:val="en-US"/>
        </w:rPr>
        <w:t xml:space="preserve"> TG nor between TG </w:t>
      </w:r>
      <w:r w:rsidRPr="001B36AA">
        <w:rPr>
          <w:i/>
          <w:iCs/>
          <w:lang w:val="en-US"/>
        </w:rPr>
        <w:t xml:space="preserve">versus </w:t>
      </w:r>
      <w:proofErr w:type="gramStart"/>
      <w:r w:rsidRPr="001B36AA">
        <w:rPr>
          <w:lang w:val="en-US"/>
        </w:rPr>
        <w:t xml:space="preserve">DM. </w:t>
      </w:r>
      <w:r>
        <w:t>#</w:t>
      </w:r>
      <w:proofErr w:type="gramEnd"/>
      <w:r>
        <w:t xml:space="preserve"> indicates statistical significance with an adjusted </w:t>
      </w:r>
      <w:r>
        <w:rPr>
          <w:i/>
          <w:iCs/>
        </w:rPr>
        <w:t>P</w:t>
      </w:r>
      <w:r>
        <w:t>-value &lt; 0.05.</w:t>
      </w:r>
    </w:p>
    <w:p w14:paraId="28AD4CE2" w14:textId="77777777" w:rsidR="005F21B4" w:rsidRDefault="005F21B4">
      <w:pPr>
        <w:spacing w:line="480" w:lineRule="auto"/>
        <w:jc w:val="both"/>
      </w:pPr>
    </w:p>
    <w:p w14:paraId="1B6B3021" w14:textId="77777777" w:rsidR="005F21B4" w:rsidRDefault="005F21B4">
      <w:pPr>
        <w:spacing w:line="480" w:lineRule="auto"/>
        <w:jc w:val="both"/>
      </w:pPr>
    </w:p>
    <w:p w14:paraId="7A22140A" w14:textId="77777777" w:rsidR="005F21B4" w:rsidRDefault="005F21B4">
      <w:pPr>
        <w:spacing w:line="480" w:lineRule="auto"/>
        <w:jc w:val="both"/>
      </w:pPr>
    </w:p>
    <w:p w14:paraId="0867AA5D" w14:textId="77777777" w:rsidR="005F21B4" w:rsidRDefault="005F21B4">
      <w:pPr>
        <w:spacing w:line="480" w:lineRule="auto"/>
        <w:jc w:val="both"/>
      </w:pPr>
    </w:p>
    <w:p w14:paraId="0BFF6677" w14:textId="77777777" w:rsidR="005F21B4" w:rsidRDefault="005141AC">
      <w:pPr>
        <w:spacing w:line="480" w:lineRule="auto"/>
        <w:jc w:val="both"/>
      </w:pPr>
      <w:r>
        <w:rPr>
          <w:noProof/>
        </w:rPr>
        <w:lastRenderedPageBreak/>
        <w:drawing>
          <wp:inline distT="114300" distB="114300" distL="114300" distR="114300" wp14:anchorId="22D05600" wp14:editId="2D7FFC6B">
            <wp:extent cx="2905125" cy="300037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A8AF1" w14:textId="77777777" w:rsidR="005F21B4" w:rsidRDefault="005141AC">
      <w:pPr>
        <w:spacing w:line="480" w:lineRule="auto"/>
        <w:jc w:val="both"/>
      </w:pPr>
      <w:r w:rsidRPr="001B36AA">
        <w:rPr>
          <w:b/>
          <w:bCs/>
          <w:lang w:val="en-US"/>
        </w:rPr>
        <w:t xml:space="preserve">Supplemental figure 3 </w:t>
      </w:r>
      <w:r w:rsidRPr="001B36AA">
        <w:rPr>
          <w:lang w:val="en-US"/>
        </w:rPr>
        <w:t xml:space="preserve">– Bar plot with the mean ± SEM contractile responses to 60 mmol/L potassium chloride (KCl) of coronaries in wild type (n = 6) and </w:t>
      </w:r>
      <w:r w:rsidRPr="001B36AA">
        <w:rPr>
          <w:i/>
          <w:iCs/>
          <w:lang w:val="en-US"/>
        </w:rPr>
        <w:t>Ercc1</w:t>
      </w:r>
      <w:r>
        <w:rPr>
          <w:rFonts w:ascii="Arial Unicode MS" w:eastAsia="Arial Unicode MS" w:hAnsi="Arial Unicode MS" w:cs="Arial Unicode MS"/>
          <w:i/>
          <w:iCs/>
          <w:vertAlign w:val="superscript"/>
        </w:rPr>
        <w:t>Δ</w:t>
      </w:r>
      <w:r w:rsidRPr="001B36AA">
        <w:rPr>
          <w:rFonts w:ascii="Arial Unicode MS" w:eastAsia="Arial Unicode MS" w:hAnsi="Arial Unicode MS" w:cs="Arial Unicode MS"/>
          <w:i/>
          <w:iCs/>
          <w:vertAlign w:val="superscript"/>
          <w:lang w:val="en-US"/>
        </w:rPr>
        <w:t>/−</w:t>
      </w:r>
      <w:r w:rsidRPr="001B36AA">
        <w:rPr>
          <w:vertAlign w:val="superscript"/>
          <w:lang w:val="en-US"/>
        </w:rPr>
        <w:t xml:space="preserve"> </w:t>
      </w:r>
      <w:r w:rsidRPr="001B36AA">
        <w:rPr>
          <w:lang w:val="en-US"/>
        </w:rPr>
        <w:t xml:space="preserve">mice (n = 6). </w:t>
      </w:r>
      <w:r>
        <w:t>An asterisk (</w:t>
      </w:r>
      <w:r>
        <w:rPr>
          <w:b/>
          <w:bCs/>
        </w:rPr>
        <w:t>*</w:t>
      </w:r>
      <w:r>
        <w:t xml:space="preserve">) indicates a </w:t>
      </w:r>
      <w:r>
        <w:rPr>
          <w:i/>
          <w:iCs/>
        </w:rPr>
        <w:t>P</w:t>
      </w:r>
      <w:r>
        <w:t xml:space="preserve">-value &lt; 0.05). </w:t>
      </w:r>
    </w:p>
    <w:p w14:paraId="0F8123BC" w14:textId="77777777" w:rsidR="005F21B4" w:rsidRDefault="005F21B4">
      <w:pPr>
        <w:spacing w:line="480" w:lineRule="auto"/>
        <w:jc w:val="both"/>
      </w:pPr>
    </w:p>
    <w:p w14:paraId="68449127" w14:textId="77777777" w:rsidR="005F21B4" w:rsidRDefault="005141AC">
      <w:pPr>
        <w:spacing w:line="480" w:lineRule="auto"/>
        <w:jc w:val="both"/>
      </w:pPr>
      <w:r>
        <w:rPr>
          <w:noProof/>
        </w:rPr>
        <w:drawing>
          <wp:inline distT="114300" distB="114300" distL="114300" distR="114300" wp14:anchorId="2203541D" wp14:editId="74BE9BB2">
            <wp:extent cx="3190875" cy="300037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81654D" w14:textId="77777777" w:rsidR="005F21B4" w:rsidRDefault="005141AC">
      <w:pPr>
        <w:spacing w:line="480" w:lineRule="auto"/>
        <w:jc w:val="both"/>
      </w:pPr>
      <w:r w:rsidRPr="001B36AA">
        <w:rPr>
          <w:b/>
          <w:bCs/>
          <w:lang w:val="en-US"/>
        </w:rPr>
        <w:t xml:space="preserve">Supplemental figure 4 </w:t>
      </w:r>
      <w:r w:rsidRPr="001B36AA">
        <w:rPr>
          <w:lang w:val="en-US"/>
        </w:rPr>
        <w:t xml:space="preserve">– Bar plot with the mean ± SEM contractile responses to 30 nmol/L U46619 of coronaries in wild type (n = 6) and </w:t>
      </w:r>
      <w:r w:rsidRPr="001B36AA">
        <w:rPr>
          <w:i/>
          <w:iCs/>
          <w:lang w:val="en-US"/>
        </w:rPr>
        <w:t>Ercc1</w:t>
      </w:r>
      <w:r>
        <w:rPr>
          <w:rFonts w:ascii="Arial Unicode MS" w:eastAsia="Arial Unicode MS" w:hAnsi="Arial Unicode MS" w:cs="Arial Unicode MS"/>
          <w:i/>
          <w:iCs/>
          <w:vertAlign w:val="superscript"/>
        </w:rPr>
        <w:t>Δ</w:t>
      </w:r>
      <w:r w:rsidRPr="001B36AA">
        <w:rPr>
          <w:rFonts w:ascii="Arial Unicode MS" w:eastAsia="Arial Unicode MS" w:hAnsi="Arial Unicode MS" w:cs="Arial Unicode MS"/>
          <w:i/>
          <w:iCs/>
          <w:vertAlign w:val="superscript"/>
          <w:lang w:val="en-US"/>
        </w:rPr>
        <w:t>/−</w:t>
      </w:r>
      <w:r w:rsidRPr="001B36AA">
        <w:rPr>
          <w:vertAlign w:val="superscript"/>
          <w:lang w:val="en-US"/>
        </w:rPr>
        <w:t xml:space="preserve"> </w:t>
      </w:r>
      <w:r w:rsidRPr="001B36AA">
        <w:rPr>
          <w:lang w:val="en-US"/>
        </w:rPr>
        <w:t xml:space="preserve">mice (n = 6). </w:t>
      </w:r>
      <w:r>
        <w:t>An asterisk (</w:t>
      </w:r>
      <w:r>
        <w:rPr>
          <w:b/>
          <w:bCs/>
        </w:rPr>
        <w:t>*</w:t>
      </w:r>
      <w:r>
        <w:t xml:space="preserve">) indicates a </w:t>
      </w:r>
      <w:r>
        <w:rPr>
          <w:i/>
          <w:iCs/>
        </w:rPr>
        <w:t>P</w:t>
      </w:r>
      <w:r>
        <w:t>-value &lt; 0.05).</w:t>
      </w:r>
    </w:p>
    <w:sectPr w:rsidR="005F21B4"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23F07" w14:textId="77777777" w:rsidR="005141AC" w:rsidRDefault="005141AC">
      <w:pPr>
        <w:spacing w:line="240" w:lineRule="auto"/>
      </w:pPr>
      <w:r>
        <w:separator/>
      </w:r>
    </w:p>
  </w:endnote>
  <w:endnote w:type="continuationSeparator" w:id="0">
    <w:p w14:paraId="12F2653E" w14:textId="77777777" w:rsidR="005141AC" w:rsidRDefault="00514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C84B66-E33D-4B01-BFD4-849CED729B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5598B05-07FB-45F4-B89C-8BA1E229B6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B3D9F" w14:textId="77777777" w:rsidR="005F21B4" w:rsidRDefault="005141AC">
    <w:pPr>
      <w:jc w:val="right"/>
    </w:pPr>
    <w:r>
      <w:fldChar w:fldCharType="begin"/>
    </w:r>
    <w:r>
      <w:instrText>PAGE</w:instrText>
    </w:r>
    <w:r>
      <w:fldChar w:fldCharType="separate"/>
    </w:r>
    <w:r w:rsidR="001B36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0EF83" w14:textId="77777777" w:rsidR="005141AC" w:rsidRDefault="005141AC">
      <w:pPr>
        <w:spacing w:line="240" w:lineRule="auto"/>
      </w:pPr>
      <w:r>
        <w:separator/>
      </w:r>
    </w:p>
  </w:footnote>
  <w:footnote w:type="continuationSeparator" w:id="0">
    <w:p w14:paraId="0E1F4543" w14:textId="77777777" w:rsidR="005141AC" w:rsidRDefault="005141A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B4"/>
    <w:rsid w:val="00080CC1"/>
    <w:rsid w:val="001B36AA"/>
    <w:rsid w:val="005141AC"/>
    <w:rsid w:val="005F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0A37B"/>
  <w15:docId w15:val="{90EB0467-4351-4B8F-8686-660BBF551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1549</Characters>
  <Application>Microsoft Office Word</Application>
  <DocSecurity>0</DocSecurity>
  <Lines>27</Lines>
  <Paragraphs>9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Al-Hassany</dc:creator>
  <cp:lastModifiedBy>Linda Al-Hassany</cp:lastModifiedBy>
  <cp:revision>2</cp:revision>
  <dcterms:created xsi:type="dcterms:W3CDTF">2026-03-21T15:48:00Z</dcterms:created>
  <dcterms:modified xsi:type="dcterms:W3CDTF">2026-03-21T15:48:00Z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51ca2f71-59a8-4be3-b95f-b4f46675d941</vt:lpwstr>
  </property>
</Properties>
</file>