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2B271" w14:textId="77777777" w:rsidR="008C4EBB" w:rsidRDefault="008C4EBB" w:rsidP="008C4EBB">
      <w:pPr>
        <w:spacing w:after="200" w:line="480" w:lineRule="auto"/>
      </w:pPr>
      <w:r>
        <w:rPr>
          <w:b/>
          <w:bCs/>
        </w:rPr>
        <w:t xml:space="preserve">Supplementary Table 1. </w:t>
      </w:r>
      <w:r>
        <w:t>ICD-10-CM Codes Used for Initial Case Identification of Gastrointestinal Hemorrhage</w:t>
      </w: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00"/>
        <w:gridCol w:w="4760"/>
        <w:gridCol w:w="3200"/>
      </w:tblGrid>
      <w:tr w:rsidR="008C4EBB" w14:paraId="7BC7724A" w14:textId="77777777" w:rsidTr="006D1F5E">
        <w:tc>
          <w:tcPr>
            <w:tcW w:w="1400" w:type="dxa"/>
            <w:tcBorders>
              <w:top w:val="single" w:sz="4" w:space="0" w:color="000000"/>
              <w:left w:val="single" w:sz="4" w:space="0" w:color="000000"/>
              <w:bottom w:val="single" w:sz="4" w:space="0" w:color="000000"/>
              <w:right w:val="single" w:sz="4" w:space="0" w:color="000000"/>
            </w:tcBorders>
            <w:shd w:val="clear" w:color="auto" w:fill="D9E2F3"/>
            <w:tcMar>
              <w:top w:w="60" w:type="dxa"/>
              <w:left w:w="100" w:type="dxa"/>
              <w:bottom w:w="60" w:type="dxa"/>
              <w:right w:w="100" w:type="dxa"/>
            </w:tcMar>
          </w:tcPr>
          <w:p w14:paraId="2A945E49" w14:textId="77777777" w:rsidR="008C4EBB" w:rsidRDefault="008C4EBB" w:rsidP="006D1F5E">
            <w:pPr>
              <w:spacing w:line="276" w:lineRule="auto"/>
            </w:pPr>
            <w:r>
              <w:rPr>
                <w:b/>
                <w:bCs/>
                <w:sz w:val="22"/>
                <w:szCs w:val="22"/>
              </w:rPr>
              <w:t>ICD-10-CM Code</w:t>
            </w:r>
          </w:p>
        </w:tc>
        <w:tc>
          <w:tcPr>
            <w:tcW w:w="4760" w:type="dxa"/>
            <w:tcBorders>
              <w:top w:val="single" w:sz="4" w:space="0" w:color="000000"/>
              <w:left w:val="single" w:sz="4" w:space="0" w:color="000000"/>
              <w:bottom w:val="single" w:sz="4" w:space="0" w:color="000000"/>
              <w:right w:val="single" w:sz="4" w:space="0" w:color="000000"/>
            </w:tcBorders>
            <w:shd w:val="clear" w:color="auto" w:fill="D9E2F3"/>
            <w:tcMar>
              <w:top w:w="60" w:type="dxa"/>
              <w:left w:w="100" w:type="dxa"/>
              <w:bottom w:w="60" w:type="dxa"/>
              <w:right w:w="100" w:type="dxa"/>
            </w:tcMar>
          </w:tcPr>
          <w:p w14:paraId="18F1EA11" w14:textId="77777777" w:rsidR="008C4EBB" w:rsidRDefault="008C4EBB" w:rsidP="006D1F5E">
            <w:pPr>
              <w:spacing w:line="276" w:lineRule="auto"/>
            </w:pPr>
            <w:r>
              <w:rPr>
                <w:b/>
                <w:bCs/>
                <w:sz w:val="22"/>
                <w:szCs w:val="22"/>
              </w:rPr>
              <w:t>Description</w:t>
            </w:r>
          </w:p>
        </w:tc>
        <w:tc>
          <w:tcPr>
            <w:tcW w:w="3200" w:type="dxa"/>
            <w:tcBorders>
              <w:top w:val="single" w:sz="4" w:space="0" w:color="000000"/>
              <w:left w:val="single" w:sz="4" w:space="0" w:color="000000"/>
              <w:bottom w:val="single" w:sz="4" w:space="0" w:color="000000"/>
              <w:right w:val="single" w:sz="4" w:space="0" w:color="000000"/>
            </w:tcBorders>
            <w:shd w:val="clear" w:color="auto" w:fill="D9E2F3"/>
            <w:tcMar>
              <w:top w:w="60" w:type="dxa"/>
              <w:left w:w="100" w:type="dxa"/>
              <w:bottom w:w="60" w:type="dxa"/>
              <w:right w:w="100" w:type="dxa"/>
            </w:tcMar>
          </w:tcPr>
          <w:p w14:paraId="13AD55F6" w14:textId="77777777" w:rsidR="008C4EBB" w:rsidRDefault="008C4EBB" w:rsidP="006D1F5E">
            <w:pPr>
              <w:spacing w:line="276" w:lineRule="auto"/>
            </w:pPr>
            <w:r>
              <w:rPr>
                <w:b/>
                <w:bCs/>
                <w:sz w:val="22"/>
                <w:szCs w:val="22"/>
              </w:rPr>
              <w:t>Category</w:t>
            </w:r>
          </w:p>
        </w:tc>
      </w:tr>
      <w:tr w:rsidR="008C4EBB" w14:paraId="7BBB3441"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2D787C5E" w14:textId="77777777" w:rsidR="008C4EBB" w:rsidRDefault="008C4EBB" w:rsidP="006D1F5E">
            <w:pPr>
              <w:spacing w:line="276" w:lineRule="auto"/>
            </w:pPr>
            <w:r>
              <w:rPr>
                <w:sz w:val="22"/>
                <w:szCs w:val="22"/>
              </w:rPr>
              <w:t>K25</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0247E2D1" w14:textId="77777777" w:rsidR="008C4EBB" w:rsidRDefault="008C4EBB" w:rsidP="006D1F5E">
            <w:pPr>
              <w:spacing w:line="276" w:lineRule="auto"/>
            </w:pPr>
            <w:r>
              <w:rPr>
                <w:sz w:val="22"/>
                <w:szCs w:val="22"/>
              </w:rPr>
              <w:t>Gastric ulcer</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AD5160A" w14:textId="77777777" w:rsidR="008C4EBB" w:rsidRDefault="008C4EBB" w:rsidP="006D1F5E">
            <w:pPr>
              <w:spacing w:line="276" w:lineRule="auto"/>
            </w:pPr>
            <w:r>
              <w:rPr>
                <w:sz w:val="22"/>
                <w:szCs w:val="22"/>
              </w:rPr>
              <w:t>Peptic ulcer diseases</w:t>
            </w:r>
          </w:p>
        </w:tc>
      </w:tr>
      <w:tr w:rsidR="008C4EBB" w14:paraId="3F979858"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57D0A26A" w14:textId="77777777" w:rsidR="008C4EBB" w:rsidRDefault="008C4EBB" w:rsidP="006D1F5E">
            <w:pPr>
              <w:spacing w:line="276" w:lineRule="auto"/>
            </w:pPr>
            <w:r>
              <w:rPr>
                <w:sz w:val="22"/>
                <w:szCs w:val="22"/>
              </w:rPr>
              <w:t>K25.2</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9F39FA2" w14:textId="77777777" w:rsidR="008C4EBB" w:rsidRDefault="008C4EBB" w:rsidP="006D1F5E">
            <w:pPr>
              <w:spacing w:line="276" w:lineRule="auto"/>
            </w:pPr>
            <w:r>
              <w:rPr>
                <w:sz w:val="22"/>
                <w:szCs w:val="22"/>
              </w:rPr>
              <w:t>Acute gastric ulcer with both hemorrhage and perforation</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24015F8" w14:textId="77777777" w:rsidR="008C4EBB" w:rsidRDefault="008C4EBB" w:rsidP="006D1F5E">
            <w:pPr>
              <w:spacing w:line="276" w:lineRule="auto"/>
            </w:pPr>
            <w:r>
              <w:rPr>
                <w:sz w:val="22"/>
                <w:szCs w:val="22"/>
              </w:rPr>
              <w:t>Peptic ulcer diseases</w:t>
            </w:r>
          </w:p>
        </w:tc>
      </w:tr>
      <w:tr w:rsidR="008C4EBB" w14:paraId="3250C8D4"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35BC4C39" w14:textId="77777777" w:rsidR="008C4EBB" w:rsidRDefault="008C4EBB" w:rsidP="006D1F5E">
            <w:pPr>
              <w:spacing w:line="276" w:lineRule="auto"/>
            </w:pPr>
            <w:r>
              <w:rPr>
                <w:sz w:val="22"/>
                <w:szCs w:val="22"/>
              </w:rPr>
              <w:t>K25.4</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3C501E6" w14:textId="77777777" w:rsidR="008C4EBB" w:rsidRDefault="008C4EBB" w:rsidP="006D1F5E">
            <w:pPr>
              <w:spacing w:line="276" w:lineRule="auto"/>
            </w:pPr>
            <w:r>
              <w:rPr>
                <w:sz w:val="22"/>
                <w:szCs w:val="22"/>
              </w:rPr>
              <w:t>Chronic or unspecified gastric ulcer with hemorrhage</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07E68A35" w14:textId="77777777" w:rsidR="008C4EBB" w:rsidRDefault="008C4EBB" w:rsidP="006D1F5E">
            <w:pPr>
              <w:spacing w:line="276" w:lineRule="auto"/>
            </w:pPr>
            <w:r>
              <w:rPr>
                <w:sz w:val="22"/>
                <w:szCs w:val="22"/>
              </w:rPr>
              <w:t>Peptic ulcer diseases</w:t>
            </w:r>
          </w:p>
        </w:tc>
      </w:tr>
      <w:tr w:rsidR="008C4EBB" w14:paraId="2AB358B3"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603541FC" w14:textId="77777777" w:rsidR="008C4EBB" w:rsidRDefault="008C4EBB" w:rsidP="006D1F5E">
            <w:pPr>
              <w:spacing w:line="276" w:lineRule="auto"/>
            </w:pPr>
            <w:r>
              <w:rPr>
                <w:sz w:val="22"/>
                <w:szCs w:val="22"/>
              </w:rPr>
              <w:t>K25.6</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63139A2" w14:textId="77777777" w:rsidR="008C4EBB" w:rsidRDefault="008C4EBB" w:rsidP="006D1F5E">
            <w:pPr>
              <w:spacing w:line="276" w:lineRule="auto"/>
            </w:pPr>
            <w:r>
              <w:rPr>
                <w:sz w:val="22"/>
                <w:szCs w:val="22"/>
              </w:rPr>
              <w:t>Chronic or unspecified gastric ulcer with both hemorrhage and perforation</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597CFAEE" w14:textId="77777777" w:rsidR="008C4EBB" w:rsidRDefault="008C4EBB" w:rsidP="006D1F5E">
            <w:pPr>
              <w:spacing w:line="276" w:lineRule="auto"/>
            </w:pPr>
            <w:r>
              <w:rPr>
                <w:sz w:val="22"/>
                <w:szCs w:val="22"/>
              </w:rPr>
              <w:t>Peptic ulcer diseases</w:t>
            </w:r>
          </w:p>
        </w:tc>
      </w:tr>
      <w:tr w:rsidR="008C4EBB" w14:paraId="20B1AA5F"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3D5E9582" w14:textId="77777777" w:rsidR="008C4EBB" w:rsidRDefault="008C4EBB" w:rsidP="006D1F5E">
            <w:pPr>
              <w:spacing w:line="276" w:lineRule="auto"/>
            </w:pPr>
            <w:r>
              <w:rPr>
                <w:sz w:val="22"/>
                <w:szCs w:val="22"/>
              </w:rPr>
              <w:t>K28</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09A64D4" w14:textId="77777777" w:rsidR="008C4EBB" w:rsidRDefault="008C4EBB" w:rsidP="006D1F5E">
            <w:pPr>
              <w:spacing w:line="276" w:lineRule="auto"/>
            </w:pPr>
            <w:r>
              <w:rPr>
                <w:sz w:val="22"/>
                <w:szCs w:val="22"/>
              </w:rPr>
              <w:t>Gastrojejunal ulcer</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6E1B1997" w14:textId="77777777" w:rsidR="008C4EBB" w:rsidRDefault="008C4EBB" w:rsidP="006D1F5E">
            <w:pPr>
              <w:spacing w:line="276" w:lineRule="auto"/>
            </w:pPr>
            <w:r>
              <w:rPr>
                <w:sz w:val="22"/>
                <w:szCs w:val="22"/>
              </w:rPr>
              <w:t>Peptic ulcer diseases</w:t>
            </w:r>
          </w:p>
        </w:tc>
      </w:tr>
      <w:tr w:rsidR="008C4EBB" w14:paraId="7C530C94"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5AE1C35F" w14:textId="77777777" w:rsidR="008C4EBB" w:rsidRDefault="008C4EBB" w:rsidP="006D1F5E">
            <w:pPr>
              <w:spacing w:line="276" w:lineRule="auto"/>
            </w:pPr>
            <w:r>
              <w:rPr>
                <w:sz w:val="22"/>
                <w:szCs w:val="22"/>
              </w:rPr>
              <w:t>K29.01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2210EA95" w14:textId="77777777" w:rsidR="008C4EBB" w:rsidRDefault="008C4EBB" w:rsidP="006D1F5E">
            <w:pPr>
              <w:spacing w:line="276" w:lineRule="auto"/>
            </w:pPr>
            <w:r>
              <w:rPr>
                <w:sz w:val="22"/>
                <w:szCs w:val="22"/>
              </w:rPr>
              <w:t>Acute gastritis with bleeding</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E040C26" w14:textId="77777777" w:rsidR="008C4EBB" w:rsidRDefault="008C4EBB" w:rsidP="006D1F5E">
            <w:pPr>
              <w:spacing w:line="276" w:lineRule="auto"/>
            </w:pPr>
            <w:r>
              <w:rPr>
                <w:sz w:val="22"/>
                <w:szCs w:val="22"/>
              </w:rPr>
              <w:t>Gastritis and duodenitis</w:t>
            </w:r>
          </w:p>
        </w:tc>
      </w:tr>
      <w:tr w:rsidR="008C4EBB" w14:paraId="6C5BFA35"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91696DC" w14:textId="77777777" w:rsidR="008C4EBB" w:rsidRDefault="008C4EBB" w:rsidP="006D1F5E">
            <w:pPr>
              <w:spacing w:line="276" w:lineRule="auto"/>
            </w:pPr>
            <w:r>
              <w:rPr>
                <w:sz w:val="22"/>
                <w:szCs w:val="22"/>
              </w:rPr>
              <w:t>K29.21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2A62A99" w14:textId="77777777" w:rsidR="008C4EBB" w:rsidRDefault="008C4EBB" w:rsidP="006D1F5E">
            <w:pPr>
              <w:spacing w:line="276" w:lineRule="auto"/>
            </w:pPr>
            <w:r>
              <w:rPr>
                <w:sz w:val="22"/>
                <w:szCs w:val="22"/>
              </w:rPr>
              <w:t>Alcoholic gastritis with bleeding</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0BBCFDA9" w14:textId="77777777" w:rsidR="008C4EBB" w:rsidRDefault="008C4EBB" w:rsidP="006D1F5E">
            <w:pPr>
              <w:spacing w:line="276" w:lineRule="auto"/>
            </w:pPr>
            <w:r>
              <w:rPr>
                <w:sz w:val="22"/>
                <w:szCs w:val="22"/>
              </w:rPr>
              <w:t>Gastritis and duodenitis</w:t>
            </w:r>
          </w:p>
        </w:tc>
      </w:tr>
      <w:tr w:rsidR="008C4EBB" w14:paraId="7AF9F5AD"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F9ABDD7" w14:textId="77777777" w:rsidR="008C4EBB" w:rsidRDefault="008C4EBB" w:rsidP="006D1F5E">
            <w:pPr>
              <w:spacing w:line="276" w:lineRule="auto"/>
            </w:pPr>
            <w:r>
              <w:rPr>
                <w:sz w:val="22"/>
                <w:szCs w:val="22"/>
              </w:rPr>
              <w:t>K29.31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0E719AE1" w14:textId="77777777" w:rsidR="008C4EBB" w:rsidRDefault="008C4EBB" w:rsidP="006D1F5E">
            <w:pPr>
              <w:spacing w:line="276" w:lineRule="auto"/>
            </w:pPr>
            <w:r>
              <w:rPr>
                <w:sz w:val="22"/>
                <w:szCs w:val="22"/>
              </w:rPr>
              <w:t>Chronic superficial gastritis with bleeding</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374F5EF0" w14:textId="77777777" w:rsidR="008C4EBB" w:rsidRDefault="008C4EBB" w:rsidP="006D1F5E">
            <w:pPr>
              <w:spacing w:line="276" w:lineRule="auto"/>
            </w:pPr>
            <w:r>
              <w:rPr>
                <w:sz w:val="22"/>
                <w:szCs w:val="22"/>
              </w:rPr>
              <w:t>Gastritis and duodenitis</w:t>
            </w:r>
          </w:p>
        </w:tc>
      </w:tr>
      <w:tr w:rsidR="008C4EBB" w14:paraId="2DDBA7C6"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6252DB8A" w14:textId="77777777" w:rsidR="008C4EBB" w:rsidRDefault="008C4EBB" w:rsidP="006D1F5E">
            <w:pPr>
              <w:spacing w:line="276" w:lineRule="auto"/>
            </w:pPr>
            <w:r>
              <w:rPr>
                <w:sz w:val="22"/>
                <w:szCs w:val="22"/>
              </w:rPr>
              <w:t>K29.41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FBD3A57" w14:textId="77777777" w:rsidR="008C4EBB" w:rsidRDefault="008C4EBB" w:rsidP="006D1F5E">
            <w:pPr>
              <w:spacing w:line="276" w:lineRule="auto"/>
            </w:pPr>
            <w:r>
              <w:rPr>
                <w:sz w:val="22"/>
                <w:szCs w:val="22"/>
              </w:rPr>
              <w:t>Chronic atrophic gastritis with bleeding</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3973E316" w14:textId="77777777" w:rsidR="008C4EBB" w:rsidRDefault="008C4EBB" w:rsidP="006D1F5E">
            <w:pPr>
              <w:spacing w:line="276" w:lineRule="auto"/>
            </w:pPr>
            <w:r>
              <w:rPr>
                <w:sz w:val="22"/>
                <w:szCs w:val="22"/>
              </w:rPr>
              <w:t>Gastritis and duodenitis</w:t>
            </w:r>
          </w:p>
        </w:tc>
      </w:tr>
      <w:tr w:rsidR="008C4EBB" w14:paraId="3193DF78"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5EC0162B" w14:textId="77777777" w:rsidR="008C4EBB" w:rsidRDefault="008C4EBB" w:rsidP="006D1F5E">
            <w:pPr>
              <w:spacing w:line="276" w:lineRule="auto"/>
            </w:pPr>
            <w:r>
              <w:rPr>
                <w:sz w:val="22"/>
                <w:szCs w:val="22"/>
              </w:rPr>
              <w:t>K29.61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0A1F5527" w14:textId="77777777" w:rsidR="008C4EBB" w:rsidRDefault="008C4EBB" w:rsidP="006D1F5E">
            <w:pPr>
              <w:spacing w:line="276" w:lineRule="auto"/>
            </w:pPr>
            <w:r>
              <w:rPr>
                <w:sz w:val="22"/>
                <w:szCs w:val="22"/>
              </w:rPr>
              <w:t>Other gastritis with bleeding</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6F12715D" w14:textId="77777777" w:rsidR="008C4EBB" w:rsidRDefault="008C4EBB" w:rsidP="006D1F5E">
            <w:pPr>
              <w:spacing w:line="276" w:lineRule="auto"/>
            </w:pPr>
            <w:r>
              <w:rPr>
                <w:sz w:val="22"/>
                <w:szCs w:val="22"/>
              </w:rPr>
              <w:t>Gastritis and duodenitis</w:t>
            </w:r>
          </w:p>
        </w:tc>
      </w:tr>
      <w:tr w:rsidR="008C4EBB" w14:paraId="4AD07D24"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0F0BA9D" w14:textId="77777777" w:rsidR="008C4EBB" w:rsidRDefault="008C4EBB" w:rsidP="006D1F5E">
            <w:pPr>
              <w:spacing w:line="276" w:lineRule="auto"/>
            </w:pPr>
            <w:r>
              <w:rPr>
                <w:sz w:val="22"/>
                <w:szCs w:val="22"/>
              </w:rPr>
              <w:t>K29.81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E33DF77" w14:textId="77777777" w:rsidR="008C4EBB" w:rsidRDefault="008C4EBB" w:rsidP="006D1F5E">
            <w:pPr>
              <w:spacing w:line="276" w:lineRule="auto"/>
            </w:pPr>
            <w:r>
              <w:rPr>
                <w:sz w:val="22"/>
                <w:szCs w:val="22"/>
              </w:rPr>
              <w:t>Duodenitis with bleeding</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2710CE8B" w14:textId="77777777" w:rsidR="008C4EBB" w:rsidRDefault="008C4EBB" w:rsidP="006D1F5E">
            <w:pPr>
              <w:spacing w:line="276" w:lineRule="auto"/>
            </w:pPr>
            <w:r>
              <w:rPr>
                <w:sz w:val="22"/>
                <w:szCs w:val="22"/>
              </w:rPr>
              <w:t>Gastritis and duodenitis</w:t>
            </w:r>
          </w:p>
        </w:tc>
      </w:tr>
      <w:tr w:rsidR="008C4EBB" w14:paraId="633E2F7C"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3B5DB554" w14:textId="77777777" w:rsidR="008C4EBB" w:rsidRDefault="008C4EBB" w:rsidP="006D1F5E">
            <w:pPr>
              <w:spacing w:line="276" w:lineRule="auto"/>
            </w:pPr>
            <w:r>
              <w:rPr>
                <w:sz w:val="22"/>
                <w:szCs w:val="22"/>
              </w:rPr>
              <w:t>K29.91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5023CE6" w14:textId="77777777" w:rsidR="008C4EBB" w:rsidRDefault="008C4EBB" w:rsidP="006D1F5E">
            <w:pPr>
              <w:spacing w:line="276" w:lineRule="auto"/>
            </w:pPr>
            <w:r>
              <w:rPr>
                <w:sz w:val="22"/>
                <w:szCs w:val="22"/>
              </w:rPr>
              <w:t>Gastroduodenitis, unspecified, with bleeding</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11E6EDD1" w14:textId="77777777" w:rsidR="008C4EBB" w:rsidRDefault="008C4EBB" w:rsidP="006D1F5E">
            <w:pPr>
              <w:spacing w:line="276" w:lineRule="auto"/>
            </w:pPr>
            <w:r>
              <w:rPr>
                <w:sz w:val="22"/>
                <w:szCs w:val="22"/>
              </w:rPr>
              <w:t>Gastritis and duodenitis</w:t>
            </w:r>
          </w:p>
        </w:tc>
      </w:tr>
      <w:tr w:rsidR="008C4EBB" w14:paraId="33E661EB"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63B0899A" w14:textId="77777777" w:rsidR="008C4EBB" w:rsidRDefault="008C4EBB" w:rsidP="006D1F5E">
            <w:pPr>
              <w:spacing w:line="276" w:lineRule="auto"/>
            </w:pPr>
            <w:r>
              <w:rPr>
                <w:sz w:val="22"/>
                <w:szCs w:val="22"/>
              </w:rPr>
              <w:t>K92.0</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069BC5D2" w14:textId="77777777" w:rsidR="008C4EBB" w:rsidRDefault="008C4EBB" w:rsidP="006D1F5E">
            <w:pPr>
              <w:spacing w:line="276" w:lineRule="auto"/>
            </w:pPr>
            <w:r>
              <w:rPr>
                <w:sz w:val="22"/>
                <w:szCs w:val="22"/>
              </w:rPr>
              <w:t>Hematemesis</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2100B9D8" w14:textId="77777777" w:rsidR="008C4EBB" w:rsidRDefault="008C4EBB" w:rsidP="006D1F5E">
            <w:pPr>
              <w:spacing w:line="276" w:lineRule="auto"/>
            </w:pPr>
            <w:r>
              <w:rPr>
                <w:sz w:val="22"/>
                <w:szCs w:val="22"/>
              </w:rPr>
              <w:t>Gastrointestinal hemorrhage</w:t>
            </w:r>
          </w:p>
        </w:tc>
      </w:tr>
      <w:tr w:rsidR="008C4EBB" w14:paraId="7F4E751A" w14:textId="77777777" w:rsidTr="006D1F5E">
        <w:tc>
          <w:tcPr>
            <w:tcW w:w="14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28475508" w14:textId="77777777" w:rsidR="008C4EBB" w:rsidRDefault="008C4EBB" w:rsidP="006D1F5E">
            <w:pPr>
              <w:spacing w:line="276" w:lineRule="auto"/>
            </w:pPr>
            <w:r>
              <w:rPr>
                <w:sz w:val="22"/>
                <w:szCs w:val="22"/>
              </w:rPr>
              <w:t>K92.1</w:t>
            </w:r>
          </w:p>
        </w:tc>
        <w:tc>
          <w:tcPr>
            <w:tcW w:w="476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5395D385" w14:textId="77777777" w:rsidR="008C4EBB" w:rsidRDefault="008C4EBB" w:rsidP="006D1F5E">
            <w:pPr>
              <w:spacing w:line="276" w:lineRule="auto"/>
            </w:pPr>
            <w:r>
              <w:rPr>
                <w:sz w:val="22"/>
                <w:szCs w:val="22"/>
              </w:rPr>
              <w:t>Melena</w:t>
            </w:r>
          </w:p>
        </w:tc>
        <w:tc>
          <w:tcPr>
            <w:tcW w:w="32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35E07753" w14:textId="77777777" w:rsidR="008C4EBB" w:rsidRDefault="008C4EBB" w:rsidP="006D1F5E">
            <w:pPr>
              <w:spacing w:line="276" w:lineRule="auto"/>
            </w:pPr>
            <w:r>
              <w:rPr>
                <w:sz w:val="22"/>
                <w:szCs w:val="22"/>
              </w:rPr>
              <w:t>Gastrointestinal hemorrhage</w:t>
            </w:r>
          </w:p>
        </w:tc>
      </w:tr>
    </w:tbl>
    <w:p w14:paraId="7FEF715C" w14:textId="77777777" w:rsidR="008C4EBB" w:rsidRDefault="008C4EBB" w:rsidP="008C4EBB">
      <w:pPr>
        <w:spacing w:before="200" w:after="100" w:line="480" w:lineRule="auto"/>
      </w:pPr>
    </w:p>
    <w:p w14:paraId="1FDCCDA3" w14:textId="77777777" w:rsidR="008C4EBB" w:rsidRDefault="008C4EBB" w:rsidP="008C4EBB">
      <w:pPr>
        <w:spacing w:after="200" w:line="360" w:lineRule="auto"/>
      </w:pPr>
      <w:sdt>
        <w:sdtPr>
          <w:tag w:val="goog_rdk_8"/>
          <w:id w:val="-1591826559"/>
        </w:sdtPr>
        <w:sdtContent>
          <w:r>
            <w:rPr>
              <w:rFonts w:ascii="Gungsuh" w:eastAsia="Gungsuh" w:hAnsi="Gungsuh" w:cs="Gungsuh"/>
              <w:i/>
              <w:iCs/>
              <w:sz w:val="20"/>
              <w:szCs w:val="20"/>
            </w:rPr>
            <w:t>ICD-10-CM, International Classification of Diseases, Tenth Revision, Clinical Modification. Patients identified through these codes underwent subsequent manual chart review by trained research personnel to confirm the diagnosis of upper gastrointestinal bleeding based on clinical presentation (hematemesis, coffee-ground emesis, melena, bloody nasogastric aspirate) and/or endoscopic findings. Patients meeting exclusion criteria (traumatic upper gastrointestinal bleeding, isolated hematochezia, age ≥90 years) were removed during manual review.</w:t>
          </w:r>
        </w:sdtContent>
      </w:sdt>
    </w:p>
    <w:p w14:paraId="74C99963" w14:textId="77777777" w:rsidR="008C4EBB" w:rsidRDefault="008C4EBB" w:rsidP="008C4EBB">
      <w:pPr>
        <w:spacing w:after="200" w:line="480" w:lineRule="auto"/>
      </w:pPr>
      <w:r>
        <w:rPr>
          <w:b/>
          <w:bCs/>
        </w:rPr>
        <w:t xml:space="preserve">Supplementary Table 2. </w:t>
      </w:r>
      <w:r>
        <w:t>ABC Score Parameters for Prediction of Mortality</w:t>
      </w:r>
    </w:p>
    <w:sdt>
      <w:sdtPr>
        <w:tag w:val="goog_rdk_11"/>
        <w:id w:val="18001157"/>
        <w:lock w:val="contentLocked"/>
      </w:sdtPr>
      <w:sdtContent>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60"/>
            <w:gridCol w:w="2800"/>
          </w:tblGrid>
          <w:tr w:rsidR="008C4EBB" w14:paraId="09E70311" w14:textId="77777777" w:rsidTr="006D1F5E">
            <w:tc>
              <w:tcPr>
                <w:tcW w:w="6560" w:type="dxa"/>
                <w:tcBorders>
                  <w:top w:val="single" w:sz="4" w:space="0" w:color="000000"/>
                  <w:left w:val="single" w:sz="4" w:space="0" w:color="000000"/>
                  <w:bottom w:val="single" w:sz="4" w:space="0" w:color="000000"/>
                  <w:right w:val="single" w:sz="4" w:space="0" w:color="000000"/>
                </w:tcBorders>
                <w:shd w:val="clear" w:color="auto" w:fill="D9E2F3"/>
                <w:tcMar>
                  <w:top w:w="60" w:type="dxa"/>
                  <w:left w:w="120" w:type="dxa"/>
                  <w:bottom w:w="60" w:type="dxa"/>
                  <w:right w:w="120" w:type="dxa"/>
                </w:tcMar>
              </w:tcPr>
              <w:p w14:paraId="750E6D7D" w14:textId="77777777" w:rsidR="008C4EBB" w:rsidRDefault="008C4EBB" w:rsidP="006D1F5E">
                <w:pPr>
                  <w:spacing w:line="276" w:lineRule="auto"/>
                </w:pPr>
                <w:r>
                  <w:rPr>
                    <w:b/>
                    <w:bCs/>
                    <w:sz w:val="22"/>
                    <w:szCs w:val="22"/>
                  </w:rPr>
                  <w:t>Variable</w:t>
                </w:r>
              </w:p>
            </w:tc>
            <w:tc>
              <w:tcPr>
                <w:tcW w:w="2800" w:type="dxa"/>
                <w:tcBorders>
                  <w:top w:val="single" w:sz="4" w:space="0" w:color="000000"/>
                  <w:left w:val="single" w:sz="4" w:space="0" w:color="000000"/>
                  <w:bottom w:val="single" w:sz="4" w:space="0" w:color="000000"/>
                  <w:right w:val="single" w:sz="4" w:space="0" w:color="000000"/>
                </w:tcBorders>
                <w:shd w:val="clear" w:color="auto" w:fill="D9E2F3"/>
                <w:tcMar>
                  <w:top w:w="60" w:type="dxa"/>
                  <w:left w:w="120" w:type="dxa"/>
                  <w:bottom w:w="60" w:type="dxa"/>
                  <w:right w:w="120" w:type="dxa"/>
                </w:tcMar>
              </w:tcPr>
              <w:p w14:paraId="458B3E6F" w14:textId="77777777" w:rsidR="008C4EBB" w:rsidRDefault="008C4EBB" w:rsidP="006D1F5E">
                <w:pPr>
                  <w:spacing w:line="276" w:lineRule="auto"/>
                  <w:jc w:val="center"/>
                </w:pPr>
                <w:r>
                  <w:rPr>
                    <w:b/>
                    <w:bCs/>
                    <w:sz w:val="22"/>
                    <w:szCs w:val="22"/>
                  </w:rPr>
                  <w:t>Assigned Score</w:t>
                </w:r>
              </w:p>
            </w:tc>
          </w:tr>
          <w:tr w:rsidR="008C4EBB" w14:paraId="6992D8ED" w14:textId="77777777" w:rsidTr="006D1F5E">
            <w:tc>
              <w:tcPr>
                <w:tcW w:w="656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7E6D5560" w14:textId="77777777" w:rsidR="008C4EBB" w:rsidRDefault="008C4EBB" w:rsidP="006D1F5E">
                <w:pPr>
                  <w:spacing w:line="276" w:lineRule="auto"/>
                </w:pPr>
                <w:r>
                  <w:rPr>
                    <w:b/>
                    <w:bCs/>
                    <w:sz w:val="22"/>
                    <w:szCs w:val="22"/>
                  </w:rPr>
                  <w:t>Age</w:t>
                </w:r>
              </w:p>
            </w:tc>
            <w:tc>
              <w:tcPr>
                <w:tcW w:w="280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4371388A" w14:textId="77777777" w:rsidR="008C4EBB" w:rsidRDefault="008C4EBB" w:rsidP="006D1F5E">
                <w:pPr>
                  <w:spacing w:line="276" w:lineRule="auto"/>
                  <w:jc w:val="center"/>
                </w:pPr>
              </w:p>
            </w:tc>
          </w:tr>
          <w:tr w:rsidR="008C4EBB" w14:paraId="353BB068"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198F149" w14:textId="77777777" w:rsidR="008C4EBB" w:rsidRDefault="008C4EBB" w:rsidP="006D1F5E">
                <w:pPr>
                  <w:spacing w:line="276" w:lineRule="auto"/>
                  <w:ind w:left="240"/>
                </w:pPr>
                <w:r>
                  <w:rPr>
                    <w:sz w:val="22"/>
                    <w:szCs w:val="22"/>
                  </w:rPr>
                  <w:t>60–74 years</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36D5AA8" w14:textId="77777777" w:rsidR="008C4EBB" w:rsidRDefault="008C4EBB" w:rsidP="006D1F5E">
                <w:pPr>
                  <w:spacing w:line="276" w:lineRule="auto"/>
                  <w:jc w:val="center"/>
                </w:pPr>
                <w:r>
                  <w:rPr>
                    <w:sz w:val="22"/>
                    <w:szCs w:val="22"/>
                  </w:rPr>
                  <w:t>1</w:t>
                </w:r>
              </w:p>
            </w:tc>
          </w:tr>
          <w:tr w:rsidR="008C4EBB" w14:paraId="67E3A90A"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DEB434C" w14:textId="77777777" w:rsidR="008C4EBB" w:rsidRDefault="008C4EBB" w:rsidP="006D1F5E">
                <w:pPr>
                  <w:spacing w:line="276" w:lineRule="auto"/>
                  <w:ind w:left="240"/>
                </w:pPr>
                <w:sdt>
                  <w:sdtPr>
                    <w:tag w:val="goog_rdk_9"/>
                    <w:id w:val="1988318381"/>
                  </w:sdtPr>
                  <w:sdtContent>
                    <w:r>
                      <w:rPr>
                        <w:rFonts w:ascii="Gungsuh" w:eastAsia="Gungsuh" w:hAnsi="Gungsuh" w:cs="Gungsuh"/>
                        <w:sz w:val="22"/>
                        <w:szCs w:val="22"/>
                      </w:rPr>
                      <w:t>≥75 years</w:t>
                    </w:r>
                  </w:sdtContent>
                </w:sdt>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819951" w14:textId="77777777" w:rsidR="008C4EBB" w:rsidRDefault="008C4EBB" w:rsidP="006D1F5E">
                <w:pPr>
                  <w:spacing w:line="276" w:lineRule="auto"/>
                  <w:jc w:val="center"/>
                </w:pPr>
                <w:r>
                  <w:rPr>
                    <w:sz w:val="22"/>
                    <w:szCs w:val="22"/>
                  </w:rPr>
                  <w:t>2</w:t>
                </w:r>
              </w:p>
            </w:tc>
          </w:tr>
          <w:tr w:rsidR="008C4EBB" w14:paraId="508F7492" w14:textId="77777777" w:rsidTr="006D1F5E">
            <w:tc>
              <w:tcPr>
                <w:tcW w:w="656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23D8E510" w14:textId="77777777" w:rsidR="008C4EBB" w:rsidRDefault="008C4EBB" w:rsidP="006D1F5E">
                <w:pPr>
                  <w:spacing w:line="276" w:lineRule="auto"/>
                </w:pPr>
                <w:r>
                  <w:rPr>
                    <w:b/>
                    <w:bCs/>
                    <w:sz w:val="22"/>
                    <w:szCs w:val="22"/>
                  </w:rPr>
                  <w:t>Blood tests</w:t>
                </w:r>
              </w:p>
            </w:tc>
            <w:tc>
              <w:tcPr>
                <w:tcW w:w="280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52D85706" w14:textId="77777777" w:rsidR="008C4EBB" w:rsidRDefault="008C4EBB" w:rsidP="006D1F5E">
                <w:pPr>
                  <w:spacing w:line="276" w:lineRule="auto"/>
                  <w:jc w:val="center"/>
                </w:pPr>
              </w:p>
            </w:tc>
          </w:tr>
          <w:tr w:rsidR="008C4EBB" w14:paraId="0DDBBFD8"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77D464" w14:textId="77777777" w:rsidR="008C4EBB" w:rsidRDefault="008C4EBB" w:rsidP="006D1F5E">
                <w:pPr>
                  <w:spacing w:line="276" w:lineRule="auto"/>
                  <w:ind w:left="240"/>
                </w:pPr>
                <w:r>
                  <w:rPr>
                    <w:sz w:val="22"/>
                    <w:szCs w:val="22"/>
                  </w:rPr>
                  <w:t>Urea &gt;10 mmol/L (&gt;28 mg/dL)</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1BC184" w14:textId="77777777" w:rsidR="008C4EBB" w:rsidRDefault="008C4EBB" w:rsidP="006D1F5E">
                <w:pPr>
                  <w:spacing w:line="276" w:lineRule="auto"/>
                  <w:jc w:val="center"/>
                </w:pPr>
                <w:r>
                  <w:rPr>
                    <w:sz w:val="22"/>
                    <w:szCs w:val="22"/>
                  </w:rPr>
                  <w:t>1</w:t>
                </w:r>
              </w:p>
            </w:tc>
          </w:tr>
          <w:tr w:rsidR="008C4EBB" w14:paraId="3C03F067"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25B819C" w14:textId="77777777" w:rsidR="008C4EBB" w:rsidRDefault="008C4EBB" w:rsidP="006D1F5E">
                <w:pPr>
                  <w:spacing w:line="276" w:lineRule="auto"/>
                  <w:ind w:left="240"/>
                </w:pPr>
                <w:r>
                  <w:rPr>
                    <w:sz w:val="22"/>
                    <w:szCs w:val="22"/>
                  </w:rPr>
                  <w:t>Albumin &lt;30 g/L (&lt;3.0 g/dL)</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B8803BB" w14:textId="77777777" w:rsidR="008C4EBB" w:rsidRDefault="008C4EBB" w:rsidP="006D1F5E">
                <w:pPr>
                  <w:spacing w:line="276" w:lineRule="auto"/>
                  <w:jc w:val="center"/>
                </w:pPr>
                <w:r>
                  <w:rPr>
                    <w:sz w:val="22"/>
                    <w:szCs w:val="22"/>
                  </w:rPr>
                  <w:t>2</w:t>
                </w:r>
              </w:p>
            </w:tc>
          </w:tr>
          <w:tr w:rsidR="008C4EBB" w14:paraId="2FE71C3C" w14:textId="77777777" w:rsidTr="006D1F5E">
            <w:tc>
              <w:tcPr>
                <w:tcW w:w="656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7E2A8697" w14:textId="77777777" w:rsidR="008C4EBB" w:rsidRDefault="008C4EBB" w:rsidP="006D1F5E">
                <w:pPr>
                  <w:spacing w:line="276" w:lineRule="auto"/>
                  <w:ind w:left="240"/>
                </w:pPr>
                <w:r>
                  <w:rPr>
                    <w:b/>
                    <w:bCs/>
                    <w:sz w:val="22"/>
                    <w:szCs w:val="22"/>
                  </w:rPr>
                  <w:t>Creatinine</w:t>
                </w:r>
              </w:p>
            </w:tc>
            <w:tc>
              <w:tcPr>
                <w:tcW w:w="280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407A53A1" w14:textId="77777777" w:rsidR="008C4EBB" w:rsidRDefault="008C4EBB" w:rsidP="006D1F5E">
                <w:pPr>
                  <w:spacing w:line="276" w:lineRule="auto"/>
                  <w:jc w:val="center"/>
                </w:pPr>
              </w:p>
            </w:tc>
          </w:tr>
          <w:tr w:rsidR="008C4EBB" w14:paraId="5FB13473"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032EDFB" w14:textId="77777777" w:rsidR="008C4EBB" w:rsidRDefault="008C4EBB" w:rsidP="006D1F5E">
                <w:pPr>
                  <w:spacing w:line="276" w:lineRule="auto"/>
                  <w:ind w:left="480"/>
                </w:pPr>
                <w:r>
                  <w:rPr>
                    <w:sz w:val="22"/>
                    <w:szCs w:val="22"/>
                  </w:rPr>
                  <w:t>100–150 μmol/L (1.13–1.70 mg/dL)</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CE09B43" w14:textId="77777777" w:rsidR="008C4EBB" w:rsidRDefault="008C4EBB" w:rsidP="006D1F5E">
                <w:pPr>
                  <w:spacing w:line="276" w:lineRule="auto"/>
                  <w:jc w:val="center"/>
                </w:pPr>
                <w:r>
                  <w:rPr>
                    <w:sz w:val="22"/>
                    <w:szCs w:val="22"/>
                  </w:rPr>
                  <w:t>1</w:t>
                </w:r>
              </w:p>
            </w:tc>
          </w:tr>
          <w:tr w:rsidR="008C4EBB" w14:paraId="339A7EF2"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C361B30" w14:textId="77777777" w:rsidR="008C4EBB" w:rsidRDefault="008C4EBB" w:rsidP="006D1F5E">
                <w:pPr>
                  <w:spacing w:line="276" w:lineRule="auto"/>
                  <w:ind w:left="480"/>
                </w:pPr>
                <w:r>
                  <w:rPr>
                    <w:sz w:val="22"/>
                    <w:szCs w:val="22"/>
                  </w:rPr>
                  <w:t>&gt;150 μmol/L (&gt;1.70 mg/dL)</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2BDBA22" w14:textId="77777777" w:rsidR="008C4EBB" w:rsidRDefault="008C4EBB" w:rsidP="006D1F5E">
                <w:pPr>
                  <w:spacing w:line="276" w:lineRule="auto"/>
                  <w:jc w:val="center"/>
                </w:pPr>
                <w:r>
                  <w:rPr>
                    <w:sz w:val="22"/>
                    <w:szCs w:val="22"/>
                  </w:rPr>
                  <w:t>2</w:t>
                </w:r>
              </w:p>
            </w:tc>
          </w:tr>
          <w:tr w:rsidR="008C4EBB" w14:paraId="68FD2A5D" w14:textId="77777777" w:rsidTr="006D1F5E">
            <w:tc>
              <w:tcPr>
                <w:tcW w:w="656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4904E686" w14:textId="77777777" w:rsidR="008C4EBB" w:rsidRDefault="008C4EBB" w:rsidP="006D1F5E">
                <w:pPr>
                  <w:spacing w:line="276" w:lineRule="auto"/>
                </w:pPr>
                <w:r>
                  <w:rPr>
                    <w:b/>
                    <w:bCs/>
                    <w:sz w:val="22"/>
                    <w:szCs w:val="22"/>
                  </w:rPr>
                  <w:t>Comorbidity</w:t>
                </w:r>
              </w:p>
            </w:tc>
            <w:tc>
              <w:tcPr>
                <w:tcW w:w="280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5C0C9000" w14:textId="77777777" w:rsidR="008C4EBB" w:rsidRDefault="008C4EBB" w:rsidP="006D1F5E">
                <w:pPr>
                  <w:spacing w:line="276" w:lineRule="auto"/>
                  <w:jc w:val="center"/>
                </w:pPr>
              </w:p>
            </w:tc>
          </w:tr>
          <w:tr w:rsidR="008C4EBB" w14:paraId="531A3638"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34F0DDF" w14:textId="77777777" w:rsidR="008C4EBB" w:rsidRDefault="008C4EBB" w:rsidP="006D1F5E">
                <w:pPr>
                  <w:spacing w:line="276" w:lineRule="auto"/>
                  <w:ind w:left="240"/>
                </w:pPr>
                <w:r>
                  <w:rPr>
                    <w:sz w:val="22"/>
                    <w:szCs w:val="22"/>
                  </w:rPr>
                  <w:t>Altered mental status</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AD406EB" w14:textId="77777777" w:rsidR="008C4EBB" w:rsidRDefault="008C4EBB" w:rsidP="006D1F5E">
                <w:pPr>
                  <w:spacing w:line="276" w:lineRule="auto"/>
                  <w:jc w:val="center"/>
                </w:pPr>
                <w:r>
                  <w:rPr>
                    <w:sz w:val="22"/>
                    <w:szCs w:val="22"/>
                  </w:rPr>
                  <w:t>2</w:t>
                </w:r>
              </w:p>
            </w:tc>
          </w:tr>
          <w:tr w:rsidR="008C4EBB" w14:paraId="0CCF0F54"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9EDBCF" w14:textId="77777777" w:rsidR="008C4EBB" w:rsidRDefault="008C4EBB" w:rsidP="006D1F5E">
                <w:pPr>
                  <w:spacing w:line="276" w:lineRule="auto"/>
                  <w:ind w:left="240"/>
                </w:pPr>
                <w:r>
                  <w:rPr>
                    <w:sz w:val="22"/>
                    <w:szCs w:val="22"/>
                  </w:rPr>
                  <w:t>Liver cirrhosis</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C636964" w14:textId="77777777" w:rsidR="008C4EBB" w:rsidRDefault="008C4EBB" w:rsidP="006D1F5E">
                <w:pPr>
                  <w:spacing w:line="276" w:lineRule="auto"/>
                  <w:jc w:val="center"/>
                </w:pPr>
                <w:r>
                  <w:rPr>
                    <w:sz w:val="22"/>
                    <w:szCs w:val="22"/>
                  </w:rPr>
                  <w:t>2</w:t>
                </w:r>
              </w:p>
            </w:tc>
          </w:tr>
          <w:tr w:rsidR="008C4EBB" w14:paraId="4A130222"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E8BAF80" w14:textId="77777777" w:rsidR="008C4EBB" w:rsidRDefault="008C4EBB" w:rsidP="006D1F5E">
                <w:pPr>
                  <w:spacing w:line="276" w:lineRule="auto"/>
                  <w:ind w:left="240"/>
                </w:pPr>
                <w:r>
                  <w:rPr>
                    <w:sz w:val="22"/>
                    <w:szCs w:val="22"/>
                  </w:rPr>
                  <w:t>Disseminated malignancy</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FD8C539" w14:textId="77777777" w:rsidR="008C4EBB" w:rsidRDefault="008C4EBB" w:rsidP="006D1F5E">
                <w:pPr>
                  <w:spacing w:line="276" w:lineRule="auto"/>
                  <w:jc w:val="center"/>
                </w:pPr>
                <w:r>
                  <w:rPr>
                    <w:sz w:val="22"/>
                    <w:szCs w:val="22"/>
                  </w:rPr>
                  <w:t>4</w:t>
                </w:r>
              </w:p>
            </w:tc>
          </w:tr>
          <w:tr w:rsidR="008C4EBB" w14:paraId="34DA0966" w14:textId="77777777" w:rsidTr="006D1F5E">
            <w:tc>
              <w:tcPr>
                <w:tcW w:w="656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5645B7CE" w14:textId="77777777" w:rsidR="008C4EBB" w:rsidRDefault="008C4EBB" w:rsidP="006D1F5E">
                <w:pPr>
                  <w:spacing w:line="276" w:lineRule="auto"/>
                  <w:ind w:left="240"/>
                </w:pPr>
                <w:r>
                  <w:rPr>
                    <w:b/>
                    <w:bCs/>
                    <w:sz w:val="22"/>
                    <w:szCs w:val="22"/>
                  </w:rPr>
                  <w:t>ASA score</w:t>
                </w:r>
              </w:p>
            </w:tc>
            <w:tc>
              <w:tcPr>
                <w:tcW w:w="2800" w:type="dxa"/>
                <w:tcBorders>
                  <w:top w:val="single" w:sz="4" w:space="0" w:color="000000"/>
                  <w:left w:val="single" w:sz="4" w:space="0" w:color="000000"/>
                  <w:bottom w:val="single" w:sz="4" w:space="0" w:color="000000"/>
                  <w:right w:val="single" w:sz="4" w:space="0" w:color="000000"/>
                </w:tcBorders>
                <w:shd w:val="clear" w:color="auto" w:fill="E8F0F8"/>
                <w:tcMar>
                  <w:top w:w="60" w:type="dxa"/>
                  <w:left w:w="120" w:type="dxa"/>
                  <w:bottom w:w="60" w:type="dxa"/>
                  <w:right w:w="120" w:type="dxa"/>
                </w:tcMar>
              </w:tcPr>
              <w:p w14:paraId="4BA9316D" w14:textId="77777777" w:rsidR="008C4EBB" w:rsidRDefault="008C4EBB" w:rsidP="006D1F5E">
                <w:pPr>
                  <w:spacing w:line="276" w:lineRule="auto"/>
                  <w:jc w:val="center"/>
                </w:pPr>
              </w:p>
            </w:tc>
          </w:tr>
          <w:tr w:rsidR="008C4EBB" w14:paraId="3688DCDE"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BA76FFD" w14:textId="77777777" w:rsidR="008C4EBB" w:rsidRDefault="008C4EBB" w:rsidP="006D1F5E">
                <w:pPr>
                  <w:spacing w:line="276" w:lineRule="auto"/>
                  <w:ind w:left="480"/>
                </w:pPr>
                <w:r>
                  <w:rPr>
                    <w:sz w:val="22"/>
                    <w:szCs w:val="22"/>
                  </w:rPr>
                  <w:t>3</w:t>
                </w:r>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FFFE5" w14:textId="77777777" w:rsidR="008C4EBB" w:rsidRDefault="008C4EBB" w:rsidP="006D1F5E">
                <w:pPr>
                  <w:spacing w:line="276" w:lineRule="auto"/>
                  <w:jc w:val="center"/>
                </w:pPr>
                <w:r>
                  <w:rPr>
                    <w:sz w:val="22"/>
                    <w:szCs w:val="22"/>
                  </w:rPr>
                  <w:t>1</w:t>
                </w:r>
              </w:p>
            </w:tc>
          </w:tr>
          <w:tr w:rsidR="008C4EBB" w14:paraId="056D89E8" w14:textId="77777777" w:rsidTr="006D1F5E">
            <w:tc>
              <w:tcPr>
                <w:tcW w:w="656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B8E00F9" w14:textId="77777777" w:rsidR="008C4EBB" w:rsidRDefault="008C4EBB" w:rsidP="006D1F5E">
                <w:pPr>
                  <w:spacing w:line="276" w:lineRule="auto"/>
                  <w:ind w:left="480"/>
                </w:pPr>
                <w:sdt>
                  <w:sdtPr>
                    <w:tag w:val="goog_rdk_10"/>
                    <w:id w:val="1791526026"/>
                  </w:sdtPr>
                  <w:sdtContent>
                    <w:r>
                      <w:rPr>
                        <w:rFonts w:ascii="Gungsuh" w:eastAsia="Gungsuh" w:hAnsi="Gungsuh" w:cs="Gungsuh"/>
                        <w:sz w:val="22"/>
                        <w:szCs w:val="22"/>
                      </w:rPr>
                      <w:t>≥4</w:t>
                    </w:r>
                  </w:sdtContent>
                </w:sdt>
              </w:p>
            </w:tc>
            <w:tc>
              <w:tcPr>
                <w:tcW w:w="2800"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C81F81" w14:textId="77777777" w:rsidR="008C4EBB" w:rsidRDefault="008C4EBB" w:rsidP="006D1F5E">
                <w:pPr>
                  <w:spacing w:line="276" w:lineRule="auto"/>
                  <w:jc w:val="center"/>
                </w:pPr>
                <w:r>
                  <w:rPr>
                    <w:sz w:val="22"/>
                    <w:szCs w:val="22"/>
                  </w:rPr>
                  <w:t>3</w:t>
                </w:r>
              </w:p>
            </w:tc>
          </w:tr>
        </w:tbl>
      </w:sdtContent>
    </w:sdt>
    <w:p w14:paraId="56504E4A" w14:textId="77777777" w:rsidR="008C4EBB" w:rsidRDefault="008C4EBB" w:rsidP="008C4EBB">
      <w:pPr>
        <w:spacing w:before="200" w:after="100" w:line="480" w:lineRule="auto"/>
      </w:pPr>
    </w:p>
    <w:p w14:paraId="61D851E2" w14:textId="77777777" w:rsidR="008C4EBB" w:rsidRDefault="008C4EBB" w:rsidP="008C4EBB">
      <w:pPr>
        <w:spacing w:after="120" w:line="360" w:lineRule="auto"/>
      </w:pPr>
      <w:r>
        <w:rPr>
          <w:i/>
          <w:iCs/>
          <w:sz w:val="20"/>
          <w:szCs w:val="20"/>
        </w:rPr>
        <w:t>ABC, Age, Blood tests, Comorbidities; ASA, American Society of Anesthesiologists physical status classification. Scoring parameters adapted from Laursen SB, Oakland K, Laine L, et al. ABC score: a new risk score that accurately predicts mortality in acute upper and lower gastrointestinal bleeding: an international multicentre study. Gut. 2021;70(4):707–716. Conversion factors: Urea: 1 mmol/L = 2.8 mg/dL; Albumin: 1 g/L = 0.1 g/dL; Creatinine: 1 μmol/L = 0.0113 mg/dL. Patients with none of the above criteria score 0. Total score range: 0–18.</w:t>
      </w:r>
    </w:p>
    <w:p w14:paraId="42CA459C" w14:textId="77777777" w:rsidR="008C4EBB" w:rsidRDefault="008C4EBB" w:rsidP="008C4EBB">
      <w:pPr>
        <w:spacing w:after="200" w:line="480" w:lineRule="auto"/>
      </w:pPr>
    </w:p>
    <w:p w14:paraId="033513B6" w14:textId="77777777" w:rsidR="004E780C" w:rsidRDefault="004E780C"/>
    <w:sectPr w:rsidR="004E780C" w:rsidSect="008C4EBB">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ungsuh">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EBB"/>
    <w:rsid w:val="000E3EDC"/>
    <w:rsid w:val="002978F5"/>
    <w:rsid w:val="003852CF"/>
    <w:rsid w:val="004E780C"/>
    <w:rsid w:val="008C4EBB"/>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B0437"/>
  <w15:chartTrackingRefBased/>
  <w15:docId w15:val="{E5F61CD8-ED27-42EE-80CC-F542C5226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EB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C4EB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C4EB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C4EB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C4EBB"/>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C4EBB"/>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C4EBB"/>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C4EBB"/>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C4EBB"/>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C4EBB"/>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E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4E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4E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4E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4E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4E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4E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4E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4EBB"/>
    <w:rPr>
      <w:rFonts w:eastAsiaTheme="majorEastAsia" w:cstheme="majorBidi"/>
      <w:color w:val="272727" w:themeColor="text1" w:themeTint="D8"/>
    </w:rPr>
  </w:style>
  <w:style w:type="paragraph" w:styleId="Title">
    <w:name w:val="Title"/>
    <w:basedOn w:val="Normal"/>
    <w:next w:val="Normal"/>
    <w:link w:val="TitleChar"/>
    <w:uiPriority w:val="10"/>
    <w:qFormat/>
    <w:rsid w:val="008C4EBB"/>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C4E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4EB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C4E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4EBB"/>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8C4EBB"/>
    <w:rPr>
      <w:i/>
      <w:iCs/>
      <w:color w:val="404040" w:themeColor="text1" w:themeTint="BF"/>
    </w:rPr>
  </w:style>
  <w:style w:type="paragraph" w:styleId="ListParagraph">
    <w:name w:val="List Paragraph"/>
    <w:basedOn w:val="Normal"/>
    <w:uiPriority w:val="34"/>
    <w:qFormat/>
    <w:rsid w:val="008C4EBB"/>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8C4EBB"/>
    <w:rPr>
      <w:i/>
      <w:iCs/>
      <w:color w:val="0F4761" w:themeColor="accent1" w:themeShade="BF"/>
    </w:rPr>
  </w:style>
  <w:style w:type="paragraph" w:styleId="IntenseQuote">
    <w:name w:val="Intense Quote"/>
    <w:basedOn w:val="Normal"/>
    <w:next w:val="Normal"/>
    <w:link w:val="IntenseQuoteChar"/>
    <w:uiPriority w:val="30"/>
    <w:qFormat/>
    <w:rsid w:val="008C4EB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C4EBB"/>
    <w:rPr>
      <w:i/>
      <w:iCs/>
      <w:color w:val="0F4761" w:themeColor="accent1" w:themeShade="BF"/>
    </w:rPr>
  </w:style>
  <w:style w:type="character" w:styleId="IntenseReference">
    <w:name w:val="Intense Reference"/>
    <w:basedOn w:val="DefaultParagraphFont"/>
    <w:uiPriority w:val="32"/>
    <w:qFormat/>
    <w:rsid w:val="008C4E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352</Words>
  <Characters>2220</Characters>
  <Application>Microsoft Office Word</Application>
  <DocSecurity>0</DocSecurity>
  <Lines>42</Lines>
  <Paragraphs>19</Paragraphs>
  <ScaleCrop>false</ScaleCrop>
  <Company/>
  <LinksUpToDate>false</LinksUpToDate>
  <CharactersWithSpaces>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2026-03-26T15:59:00Z</dcterms:created>
  <dcterms:modified xsi:type="dcterms:W3CDTF">2026-03-26T15:59:00Z</dcterms:modified>
</cp:coreProperties>
</file>