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068FC" w:rsidRPr="00040A18" w:rsidRDefault="005068FC" w:rsidP="00C8499F">
      <w:pPr>
        <w:spacing w:line="360" w:lineRule="auto"/>
        <w:jc w:val="center"/>
        <w:rPr>
          <w:rFonts w:ascii="Times New Roman" w:hAnsi="Times New Roman" w:cs="Times New Roman"/>
          <w:b/>
          <w:sz w:val="24"/>
          <w:szCs w:val="24"/>
        </w:rPr>
      </w:pPr>
      <w:r w:rsidRPr="00040A18">
        <w:rPr>
          <w:rFonts w:ascii="Times New Roman" w:hAnsi="Times New Roman" w:cs="Times New Roman"/>
          <w:b/>
          <w:sz w:val="24"/>
          <w:szCs w:val="24"/>
        </w:rPr>
        <w:t xml:space="preserve">Supplementary material to: </w:t>
      </w:r>
    </w:p>
    <w:p w:rsidR="00C17EB6" w:rsidRPr="00040A18" w:rsidRDefault="009C4FE5" w:rsidP="00C8499F">
      <w:pPr>
        <w:spacing w:line="360" w:lineRule="auto"/>
        <w:jc w:val="center"/>
        <w:rPr>
          <w:rFonts w:ascii="Times New Roman" w:hAnsi="Times New Roman" w:cs="Times New Roman"/>
          <w:b/>
          <w:sz w:val="24"/>
          <w:szCs w:val="24"/>
        </w:rPr>
      </w:pPr>
      <w:r w:rsidRPr="009C4FE5">
        <w:rPr>
          <w:rFonts w:ascii="Times New Roman" w:hAnsi="Times New Roman" w:cs="Times New Roman"/>
          <w:b/>
          <w:sz w:val="24"/>
          <w:szCs w:val="24"/>
        </w:rPr>
        <w:t>A source-pathway-receptor framework for quantifying ecological risk to shallow- and deep-rooted vegetation under heavy</w:t>
      </w:r>
      <w:r w:rsidR="008D6FA3">
        <w:rPr>
          <w:rFonts w:ascii="Times New Roman" w:hAnsi="Times New Roman" w:cs="Times New Roman"/>
          <w:b/>
          <w:sz w:val="24"/>
          <w:szCs w:val="24"/>
        </w:rPr>
        <w:t xml:space="preserve"> </w:t>
      </w:r>
      <w:bookmarkStart w:id="0" w:name="_GoBack"/>
      <w:bookmarkEnd w:id="0"/>
      <w:r w:rsidRPr="009C4FE5">
        <w:rPr>
          <w:rFonts w:ascii="Times New Roman" w:hAnsi="Times New Roman" w:cs="Times New Roman"/>
          <w:b/>
          <w:sz w:val="24"/>
          <w:szCs w:val="24"/>
        </w:rPr>
        <w:t>metal contamination</w:t>
      </w:r>
    </w:p>
    <w:p w:rsidR="00D00A60" w:rsidRPr="00C734C5" w:rsidRDefault="00D00A60" w:rsidP="00C8499F">
      <w:pPr>
        <w:pStyle w:val="Subtitle"/>
        <w:spacing w:line="360" w:lineRule="auto"/>
        <w:rPr>
          <w:rFonts w:cs="Times New Roman"/>
          <w:b w:val="0"/>
          <w:sz w:val="24"/>
        </w:rPr>
      </w:pPr>
      <w:bookmarkStart w:id="1" w:name="_Hlk177860124"/>
      <w:r w:rsidRPr="00C734C5">
        <w:rPr>
          <w:rFonts w:cs="Times New Roman"/>
          <w:b w:val="0"/>
          <w:sz w:val="24"/>
        </w:rPr>
        <w:t xml:space="preserve">Prabhat Dwivedi </w:t>
      </w:r>
      <w:r w:rsidRPr="00C734C5">
        <w:rPr>
          <w:rFonts w:cs="Times New Roman"/>
          <w:b w:val="0"/>
          <w:sz w:val="24"/>
          <w:vertAlign w:val="superscript"/>
        </w:rPr>
        <w:t>a</w:t>
      </w:r>
      <w:r w:rsidRPr="00C734C5">
        <w:rPr>
          <w:rFonts w:cs="Times New Roman"/>
          <w:b w:val="0"/>
          <w:sz w:val="24"/>
        </w:rPr>
        <w:t xml:space="preserve">, Brijesh Kumar Yadav </w:t>
      </w:r>
      <w:r w:rsidRPr="00C734C5">
        <w:rPr>
          <w:rFonts w:cs="Times New Roman"/>
          <w:b w:val="0"/>
          <w:sz w:val="24"/>
          <w:vertAlign w:val="superscript"/>
        </w:rPr>
        <w:t>b</w:t>
      </w:r>
      <w:r w:rsidR="00B230EF">
        <w:rPr>
          <w:rFonts w:cs="Times New Roman"/>
          <w:b w:val="0"/>
          <w:sz w:val="24"/>
          <w:vertAlign w:val="superscript"/>
        </w:rPr>
        <w:t>*</w:t>
      </w:r>
    </w:p>
    <w:p w:rsidR="00D00A60" w:rsidRPr="00C734C5" w:rsidRDefault="00D00A60" w:rsidP="00C8499F">
      <w:pPr>
        <w:pStyle w:val="Subtitle"/>
        <w:spacing w:line="360" w:lineRule="auto"/>
        <w:rPr>
          <w:rFonts w:cs="Times New Roman"/>
          <w:b w:val="0"/>
          <w:sz w:val="24"/>
        </w:rPr>
      </w:pPr>
      <w:r w:rsidRPr="00C734C5">
        <w:rPr>
          <w:rFonts w:cs="Times New Roman"/>
          <w:b w:val="0"/>
          <w:sz w:val="24"/>
        </w:rPr>
        <w:t xml:space="preserve"> </w:t>
      </w:r>
      <w:r w:rsidRPr="00C734C5">
        <w:rPr>
          <w:rFonts w:cs="Times New Roman"/>
          <w:b w:val="0"/>
          <w:sz w:val="24"/>
          <w:vertAlign w:val="superscript"/>
        </w:rPr>
        <w:t>a,b</w:t>
      </w:r>
      <w:r w:rsidRPr="00C734C5">
        <w:rPr>
          <w:rFonts w:cs="Times New Roman"/>
          <w:b w:val="0"/>
          <w:sz w:val="24"/>
        </w:rPr>
        <w:t xml:space="preserve"> Department of Hydrology, Indian Institute of Technology, Roorkee, 247667, India</w:t>
      </w:r>
      <w:bookmarkEnd w:id="1"/>
    </w:p>
    <w:p w:rsidR="00C17EB6" w:rsidRPr="00040A18" w:rsidRDefault="00D00A60" w:rsidP="00C8499F">
      <w:pPr>
        <w:spacing w:line="360" w:lineRule="auto"/>
        <w:rPr>
          <w:rFonts w:ascii="Times New Roman" w:hAnsi="Times New Roman" w:cs="Times New Roman"/>
          <w:sz w:val="20"/>
          <w:szCs w:val="20"/>
        </w:rPr>
      </w:pPr>
      <w:bookmarkStart w:id="2" w:name="_Hlk186378505"/>
      <w:r w:rsidRPr="00C734C5">
        <w:rPr>
          <w:rFonts w:ascii="Times New Roman" w:hAnsi="Times New Roman" w:cs="Times New Roman"/>
          <w:sz w:val="24"/>
          <w:szCs w:val="24"/>
        </w:rPr>
        <w:t xml:space="preserve">*Corresponding author E-mail: </w:t>
      </w:r>
      <w:bookmarkEnd w:id="2"/>
      <w:r w:rsidR="00B230EF">
        <w:rPr>
          <w:rFonts w:ascii="Times New Roman" w:eastAsiaTheme="majorEastAsia" w:hAnsi="Times New Roman" w:cs="Times New Roman"/>
          <w:sz w:val="24"/>
          <w:szCs w:val="24"/>
        </w:rPr>
        <w:fldChar w:fldCharType="begin"/>
      </w:r>
      <w:r w:rsidR="00B230EF">
        <w:rPr>
          <w:rFonts w:ascii="Times New Roman" w:eastAsiaTheme="majorEastAsia" w:hAnsi="Times New Roman" w:cs="Times New Roman"/>
          <w:sz w:val="24"/>
          <w:szCs w:val="24"/>
        </w:rPr>
        <w:instrText xml:space="preserve"> HYPERLINK "mailto:</w:instrText>
      </w:r>
      <w:r w:rsidR="00B230EF" w:rsidRPr="00B230EF">
        <w:rPr>
          <w:rFonts w:ascii="Times New Roman" w:eastAsiaTheme="majorEastAsia" w:hAnsi="Times New Roman" w:cs="Times New Roman"/>
          <w:sz w:val="24"/>
          <w:szCs w:val="24"/>
        </w:rPr>
        <w:instrText>brijesh.yadav@hy.iitr.ac.in</w:instrText>
      </w:r>
      <w:r w:rsidR="00B230EF">
        <w:rPr>
          <w:rFonts w:ascii="Times New Roman" w:eastAsiaTheme="majorEastAsia" w:hAnsi="Times New Roman" w:cs="Times New Roman"/>
          <w:sz w:val="24"/>
          <w:szCs w:val="24"/>
        </w:rPr>
        <w:instrText xml:space="preserve">" </w:instrText>
      </w:r>
      <w:r w:rsidR="00B230EF">
        <w:rPr>
          <w:rFonts w:ascii="Times New Roman" w:eastAsiaTheme="majorEastAsia" w:hAnsi="Times New Roman" w:cs="Times New Roman"/>
          <w:sz w:val="24"/>
          <w:szCs w:val="24"/>
        </w:rPr>
        <w:fldChar w:fldCharType="separate"/>
      </w:r>
      <w:r w:rsidR="00B230EF" w:rsidRPr="00A534AE">
        <w:rPr>
          <w:rStyle w:val="Hyperlink"/>
          <w:rFonts w:ascii="Times New Roman" w:eastAsiaTheme="majorEastAsia" w:hAnsi="Times New Roman" w:cs="Times New Roman"/>
          <w:sz w:val="24"/>
          <w:szCs w:val="24"/>
        </w:rPr>
        <w:t>brijesh.yadav@hy.iitr.ac.in</w:t>
      </w:r>
      <w:r w:rsidR="00B230EF">
        <w:rPr>
          <w:rFonts w:ascii="Times New Roman" w:eastAsiaTheme="majorEastAsia" w:hAnsi="Times New Roman" w:cs="Times New Roman"/>
          <w:sz w:val="24"/>
          <w:szCs w:val="24"/>
        </w:rPr>
        <w:fldChar w:fldCharType="end"/>
      </w:r>
      <w:r w:rsidR="00B230EF">
        <w:rPr>
          <w:rFonts w:ascii="Times New Roman" w:eastAsiaTheme="majorEastAsia" w:hAnsi="Times New Roman" w:cs="Times New Roman"/>
          <w:sz w:val="24"/>
          <w:szCs w:val="24"/>
        </w:rPr>
        <w:t xml:space="preserve"> </w:t>
      </w:r>
    </w:p>
    <w:p w:rsidR="00D00A60" w:rsidRPr="00F57579" w:rsidRDefault="00D00A60" w:rsidP="00C8499F">
      <w:pPr>
        <w:spacing w:before="100" w:beforeAutospacing="1" w:after="100" w:afterAutospacing="1" w:line="360" w:lineRule="auto"/>
        <w:jc w:val="both"/>
        <w:rPr>
          <w:rFonts w:ascii="Times New Roman" w:eastAsia="Times New Roman" w:hAnsi="Times New Roman" w:cs="Times New Roman"/>
          <w:b/>
          <w:sz w:val="24"/>
          <w:szCs w:val="24"/>
        </w:rPr>
      </w:pPr>
      <w:r w:rsidRPr="00F57579">
        <w:rPr>
          <w:rFonts w:ascii="Times New Roman" w:eastAsia="Times New Roman" w:hAnsi="Times New Roman" w:cs="Times New Roman"/>
          <w:b/>
          <w:sz w:val="24"/>
          <w:szCs w:val="24"/>
        </w:rPr>
        <w:t>Introduction</w:t>
      </w:r>
    </w:p>
    <w:p w:rsidR="00040A18" w:rsidRPr="00F57579" w:rsidRDefault="00253E04"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253E04">
        <w:rPr>
          <w:rFonts w:ascii="Times New Roman" w:eastAsia="Times New Roman" w:hAnsi="Times New Roman" w:cs="Times New Roman"/>
          <w:sz w:val="24"/>
          <w:szCs w:val="24"/>
        </w:rPr>
        <w:t>The Supplementary Material (SM1–SM4) provides additional methodological details and extended analytical results that support and complement the main findings of this study. Supplementary Figures (S1–S</w:t>
      </w:r>
      <w:r w:rsidR="00C5707D">
        <w:rPr>
          <w:rFonts w:ascii="Times New Roman" w:eastAsia="Times New Roman" w:hAnsi="Times New Roman" w:cs="Times New Roman"/>
          <w:sz w:val="24"/>
          <w:szCs w:val="24"/>
        </w:rPr>
        <w:t>6</w:t>
      </w:r>
      <w:r w:rsidRPr="00253E04">
        <w:rPr>
          <w:rFonts w:ascii="Times New Roman" w:eastAsia="Times New Roman" w:hAnsi="Times New Roman" w:cs="Times New Roman"/>
          <w:sz w:val="24"/>
          <w:szCs w:val="24"/>
        </w:rPr>
        <w:t xml:space="preserve">) and Tables (S1–S2) provide further </w:t>
      </w:r>
      <w:r>
        <w:rPr>
          <w:rFonts w:ascii="Times New Roman" w:eastAsia="Times New Roman" w:hAnsi="Times New Roman" w:cs="Times New Roman"/>
          <w:sz w:val="24"/>
          <w:szCs w:val="24"/>
        </w:rPr>
        <w:t>details of the analyzed results from the study</w:t>
      </w:r>
      <w:r w:rsidRPr="00253E04">
        <w:rPr>
          <w:rFonts w:ascii="Times New Roman" w:eastAsia="Times New Roman" w:hAnsi="Times New Roman" w:cs="Times New Roman"/>
          <w:sz w:val="24"/>
          <w:szCs w:val="24"/>
        </w:rPr>
        <w:t>.</w:t>
      </w:r>
    </w:p>
    <w:p w:rsidR="00F14303" w:rsidRPr="00F57579" w:rsidRDefault="00B70F04" w:rsidP="00C8499F">
      <w:pPr>
        <w:spacing w:before="100" w:beforeAutospacing="1" w:after="100" w:afterAutospacing="1" w:line="360" w:lineRule="auto"/>
        <w:jc w:val="both"/>
        <w:rPr>
          <w:rFonts w:ascii="Times New Roman" w:eastAsia="Times New Roman" w:hAnsi="Times New Roman" w:cs="Times New Roman"/>
          <w:b/>
          <w:sz w:val="24"/>
          <w:szCs w:val="24"/>
        </w:rPr>
      </w:pPr>
      <w:r w:rsidRPr="00F57579">
        <w:rPr>
          <w:rFonts w:ascii="Times New Roman" w:eastAsia="Times New Roman" w:hAnsi="Times New Roman" w:cs="Times New Roman"/>
          <w:b/>
          <w:sz w:val="24"/>
          <w:szCs w:val="24"/>
        </w:rPr>
        <w:t xml:space="preserve">Supplementary </w:t>
      </w:r>
      <w:r w:rsidR="003703F5">
        <w:rPr>
          <w:rFonts w:ascii="Times New Roman" w:eastAsia="Times New Roman" w:hAnsi="Times New Roman" w:cs="Times New Roman"/>
          <w:b/>
          <w:sz w:val="24"/>
          <w:szCs w:val="24"/>
        </w:rPr>
        <w:t xml:space="preserve">Material </w:t>
      </w:r>
      <w:r w:rsidRPr="00F57579">
        <w:rPr>
          <w:rFonts w:ascii="Times New Roman" w:eastAsia="Times New Roman" w:hAnsi="Times New Roman" w:cs="Times New Roman"/>
          <w:b/>
          <w:sz w:val="24"/>
          <w:szCs w:val="24"/>
        </w:rPr>
        <w:t>1</w:t>
      </w:r>
    </w:p>
    <w:p w:rsidR="00F57579" w:rsidRPr="00C6701C" w:rsidRDefault="00F57579" w:rsidP="00C8499F">
      <w:pPr>
        <w:pStyle w:val="Heading2"/>
        <w:jc w:val="left"/>
      </w:pPr>
      <w:r w:rsidRPr="00C6701C">
        <w:t xml:space="preserve">Sampling and measurement of </w:t>
      </w:r>
      <w:r w:rsidR="00916944">
        <w:t>heavy metals in s</w:t>
      </w:r>
      <w:r w:rsidRPr="00C6701C">
        <w:t>urface water and soil</w:t>
      </w:r>
    </w:p>
    <w:p w:rsidR="00C8499F" w:rsidRDefault="00F57579"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F57579">
        <w:rPr>
          <w:rFonts w:ascii="Times New Roman" w:eastAsia="Times New Roman" w:hAnsi="Times New Roman" w:cs="Times New Roman"/>
          <w:sz w:val="24"/>
          <w:szCs w:val="24"/>
        </w:rPr>
        <w:t>This section provides the details of primary data acquisition process</w:t>
      </w:r>
      <w:r w:rsidR="00E44AD8">
        <w:rPr>
          <w:rFonts w:ascii="Times New Roman" w:eastAsia="Times New Roman" w:hAnsi="Times New Roman" w:cs="Times New Roman"/>
          <w:sz w:val="24"/>
          <w:szCs w:val="24"/>
        </w:rPr>
        <w:t>,</w:t>
      </w:r>
      <w:r w:rsidRPr="00F57579">
        <w:rPr>
          <w:rFonts w:ascii="Times New Roman" w:eastAsia="Times New Roman" w:hAnsi="Times New Roman" w:cs="Times New Roman"/>
          <w:sz w:val="24"/>
          <w:szCs w:val="24"/>
        </w:rPr>
        <w:t xml:space="preserve"> </w:t>
      </w:r>
      <w:r w:rsidR="00E44AD8">
        <w:rPr>
          <w:rFonts w:ascii="Times New Roman" w:eastAsia="Times New Roman" w:hAnsi="Times New Roman" w:cs="Times New Roman"/>
          <w:sz w:val="24"/>
          <w:szCs w:val="24"/>
        </w:rPr>
        <w:t xml:space="preserve">including surface water and soil sampling, and laboratory </w:t>
      </w:r>
      <w:r w:rsidRPr="00F57579">
        <w:rPr>
          <w:rFonts w:ascii="Times New Roman" w:eastAsia="Times New Roman" w:hAnsi="Times New Roman" w:cs="Times New Roman"/>
          <w:sz w:val="24"/>
          <w:szCs w:val="24"/>
        </w:rPr>
        <w:t>measurement of heavy metal concentration used in section 2.</w:t>
      </w:r>
      <w:r>
        <w:rPr>
          <w:rFonts w:ascii="Times New Roman" w:eastAsia="Times New Roman" w:hAnsi="Times New Roman" w:cs="Times New Roman"/>
          <w:sz w:val="24"/>
          <w:szCs w:val="24"/>
        </w:rPr>
        <w:t xml:space="preserve"> </w:t>
      </w:r>
      <w:r w:rsidR="00F31E48">
        <w:rPr>
          <w:rFonts w:ascii="Times New Roman" w:eastAsia="Times New Roman" w:hAnsi="Times New Roman" w:cs="Times New Roman"/>
          <w:sz w:val="24"/>
          <w:szCs w:val="24"/>
        </w:rPr>
        <w:t xml:space="preserve"> </w:t>
      </w:r>
    </w:p>
    <w:p w:rsidR="00F57579" w:rsidRPr="00F57579" w:rsidRDefault="00E44AD8"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Prior to the field investigation</w:t>
      </w:r>
      <w:r w:rsidR="00916944">
        <w:rPr>
          <w:rFonts w:ascii="Times New Roman" w:eastAsia="Times New Roman" w:hAnsi="Times New Roman" w:cs="Times New Roman"/>
          <w:sz w:val="24"/>
          <w:szCs w:val="24"/>
        </w:rPr>
        <w:t xml:space="preserve">, </w:t>
      </w:r>
      <w:r w:rsidR="00027515">
        <w:rPr>
          <w:rFonts w:ascii="Times New Roman" w:eastAsia="Times New Roman" w:hAnsi="Times New Roman" w:cs="Times New Roman"/>
          <w:sz w:val="24"/>
          <w:szCs w:val="24"/>
        </w:rPr>
        <w:t>we identified st</w:t>
      </w:r>
      <w:r>
        <w:rPr>
          <w:rFonts w:ascii="Times New Roman" w:eastAsia="Times New Roman" w:hAnsi="Times New Roman" w:cs="Times New Roman"/>
          <w:sz w:val="24"/>
          <w:szCs w:val="24"/>
        </w:rPr>
        <w:t>r</w:t>
      </w:r>
      <w:r w:rsidR="00027515">
        <w:rPr>
          <w:rFonts w:ascii="Times New Roman" w:eastAsia="Times New Roman" w:hAnsi="Times New Roman" w:cs="Times New Roman"/>
          <w:sz w:val="24"/>
          <w:szCs w:val="24"/>
        </w:rPr>
        <w:t>at</w:t>
      </w:r>
      <w:r>
        <w:rPr>
          <w:rFonts w:ascii="Times New Roman" w:eastAsia="Times New Roman" w:hAnsi="Times New Roman" w:cs="Times New Roman"/>
          <w:sz w:val="24"/>
          <w:szCs w:val="24"/>
        </w:rPr>
        <w:t>e</w:t>
      </w:r>
      <w:r w:rsidR="00027515">
        <w:rPr>
          <w:rFonts w:ascii="Times New Roman" w:eastAsia="Times New Roman" w:hAnsi="Times New Roman" w:cs="Times New Roman"/>
          <w:sz w:val="24"/>
          <w:szCs w:val="24"/>
        </w:rPr>
        <w:t>gic location</w:t>
      </w:r>
      <w:r>
        <w:rPr>
          <w:rFonts w:ascii="Times New Roman" w:eastAsia="Times New Roman" w:hAnsi="Times New Roman" w:cs="Times New Roman"/>
          <w:sz w:val="24"/>
          <w:szCs w:val="24"/>
        </w:rPr>
        <w:t>s</w:t>
      </w:r>
      <w:r w:rsidR="00027515">
        <w:rPr>
          <w:rFonts w:ascii="Times New Roman" w:eastAsia="Times New Roman" w:hAnsi="Times New Roman" w:cs="Times New Roman"/>
          <w:sz w:val="24"/>
          <w:szCs w:val="24"/>
        </w:rPr>
        <w:t xml:space="preserve"> through </w:t>
      </w:r>
      <w:r>
        <w:rPr>
          <w:rFonts w:ascii="Times New Roman" w:eastAsia="Times New Roman" w:hAnsi="Times New Roman" w:cs="Times New Roman"/>
          <w:sz w:val="24"/>
          <w:szCs w:val="24"/>
        </w:rPr>
        <w:t xml:space="preserve">a </w:t>
      </w:r>
      <w:r w:rsidR="00027515">
        <w:rPr>
          <w:rFonts w:ascii="Times New Roman" w:eastAsia="Times New Roman" w:hAnsi="Times New Roman" w:cs="Times New Roman"/>
          <w:sz w:val="24"/>
          <w:szCs w:val="24"/>
        </w:rPr>
        <w:t xml:space="preserve">virtual survey using </w:t>
      </w:r>
      <w:r>
        <w:rPr>
          <w:rFonts w:ascii="Times New Roman" w:eastAsia="Times New Roman" w:hAnsi="Times New Roman" w:cs="Times New Roman"/>
          <w:sz w:val="24"/>
          <w:szCs w:val="24"/>
        </w:rPr>
        <w:t>Google</w:t>
      </w:r>
      <w:r w:rsidR="00027515">
        <w:rPr>
          <w:rFonts w:ascii="Times New Roman" w:eastAsia="Times New Roman" w:hAnsi="Times New Roman" w:cs="Times New Roman"/>
          <w:sz w:val="24"/>
          <w:szCs w:val="24"/>
        </w:rPr>
        <w:t xml:space="preserve"> Earth Pro. Across the Hindon River Basin (HRB), 35 sampling </w:t>
      </w:r>
      <w:r>
        <w:rPr>
          <w:rFonts w:ascii="Times New Roman" w:eastAsia="Times New Roman" w:hAnsi="Times New Roman" w:cs="Times New Roman"/>
          <w:sz w:val="24"/>
          <w:szCs w:val="24"/>
        </w:rPr>
        <w:t>locations</w:t>
      </w:r>
      <w:r w:rsidR="00027515">
        <w:rPr>
          <w:rFonts w:ascii="Times New Roman" w:eastAsia="Times New Roman" w:hAnsi="Times New Roman" w:cs="Times New Roman"/>
          <w:sz w:val="24"/>
          <w:szCs w:val="24"/>
        </w:rPr>
        <w:t xml:space="preserve"> covering all delineated sub-basin</w:t>
      </w:r>
      <w:r>
        <w:rPr>
          <w:rFonts w:ascii="Times New Roman" w:eastAsia="Times New Roman" w:hAnsi="Times New Roman" w:cs="Times New Roman"/>
          <w:sz w:val="24"/>
          <w:szCs w:val="24"/>
        </w:rPr>
        <w:t>s</w:t>
      </w:r>
      <w:r w:rsidR="0002751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were</w:t>
      </w:r>
      <w:r w:rsidR="0002751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selected</w:t>
      </w:r>
      <w:r w:rsidR="00027515">
        <w:rPr>
          <w:rFonts w:ascii="Times New Roman" w:eastAsia="Times New Roman" w:hAnsi="Times New Roman" w:cs="Times New Roman"/>
          <w:sz w:val="24"/>
          <w:szCs w:val="24"/>
        </w:rPr>
        <w:t xml:space="preserve"> for site survey.</w:t>
      </w:r>
      <w:r w:rsidR="004F644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 field</w:t>
      </w:r>
      <w:r w:rsidR="004F644A">
        <w:rPr>
          <w:rFonts w:ascii="Times New Roman" w:eastAsia="Times New Roman" w:hAnsi="Times New Roman" w:cs="Times New Roman"/>
          <w:sz w:val="24"/>
          <w:szCs w:val="24"/>
        </w:rPr>
        <w:t xml:space="preserve"> visit </w:t>
      </w:r>
      <w:r>
        <w:rPr>
          <w:rFonts w:ascii="Times New Roman" w:eastAsia="Times New Roman" w:hAnsi="Times New Roman" w:cs="Times New Roman"/>
          <w:sz w:val="24"/>
          <w:szCs w:val="24"/>
        </w:rPr>
        <w:t xml:space="preserve">was conducted during the pre- and post-monsoon season in 2023 </w:t>
      </w:r>
      <w:r w:rsidR="004F644A">
        <w:rPr>
          <w:rFonts w:ascii="Times New Roman" w:eastAsia="Times New Roman" w:hAnsi="Times New Roman" w:cs="Times New Roman"/>
          <w:sz w:val="24"/>
          <w:szCs w:val="24"/>
        </w:rPr>
        <w:t xml:space="preserve">for </w:t>
      </w:r>
      <w:r w:rsidR="004F644A" w:rsidRPr="00F57579">
        <w:rPr>
          <w:rFonts w:ascii="Times New Roman" w:eastAsia="Times New Roman" w:hAnsi="Times New Roman" w:cs="Times New Roman"/>
          <w:sz w:val="24"/>
          <w:szCs w:val="24"/>
        </w:rPr>
        <w:t xml:space="preserve">visual </w:t>
      </w:r>
      <w:r w:rsidR="004F644A">
        <w:rPr>
          <w:rFonts w:ascii="Times New Roman" w:eastAsia="Times New Roman" w:hAnsi="Times New Roman" w:cs="Times New Roman"/>
          <w:sz w:val="24"/>
          <w:szCs w:val="24"/>
        </w:rPr>
        <w:t>observation</w:t>
      </w:r>
      <w:r w:rsidR="004F644A" w:rsidRPr="00F57579">
        <w:rPr>
          <w:rFonts w:ascii="Times New Roman" w:eastAsia="Times New Roman" w:hAnsi="Times New Roman" w:cs="Times New Roman"/>
          <w:sz w:val="24"/>
          <w:szCs w:val="24"/>
        </w:rPr>
        <w:t xml:space="preserve">, stakeholder </w:t>
      </w:r>
      <w:r>
        <w:rPr>
          <w:rFonts w:ascii="Times New Roman" w:eastAsia="Times New Roman" w:hAnsi="Times New Roman" w:cs="Times New Roman"/>
          <w:sz w:val="24"/>
          <w:szCs w:val="24"/>
        </w:rPr>
        <w:t>interaction</w:t>
      </w:r>
      <w:r w:rsidR="004F644A" w:rsidRPr="00F57579">
        <w:rPr>
          <w:rFonts w:ascii="Times New Roman" w:eastAsia="Times New Roman" w:hAnsi="Times New Roman" w:cs="Times New Roman"/>
          <w:sz w:val="24"/>
          <w:szCs w:val="24"/>
        </w:rPr>
        <w:t xml:space="preserve">, and </w:t>
      </w:r>
      <w:r w:rsidR="003E5E5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collection of </w:t>
      </w:r>
      <w:r w:rsidR="004F644A">
        <w:rPr>
          <w:rFonts w:ascii="Times New Roman" w:eastAsia="Times New Roman" w:hAnsi="Times New Roman" w:cs="Times New Roman"/>
          <w:sz w:val="24"/>
          <w:szCs w:val="24"/>
        </w:rPr>
        <w:t xml:space="preserve">soil and </w:t>
      </w:r>
      <w:r>
        <w:rPr>
          <w:rFonts w:ascii="Times New Roman" w:eastAsia="Times New Roman" w:hAnsi="Times New Roman" w:cs="Times New Roman"/>
          <w:sz w:val="24"/>
          <w:szCs w:val="24"/>
        </w:rPr>
        <w:t xml:space="preserve">surface </w:t>
      </w:r>
      <w:r w:rsidR="004F644A">
        <w:rPr>
          <w:rFonts w:ascii="Times New Roman" w:eastAsia="Times New Roman" w:hAnsi="Times New Roman" w:cs="Times New Roman"/>
          <w:sz w:val="24"/>
          <w:szCs w:val="24"/>
        </w:rPr>
        <w:t xml:space="preserve">water </w:t>
      </w:r>
      <w:r>
        <w:rPr>
          <w:rFonts w:ascii="Times New Roman" w:eastAsia="Times New Roman" w:hAnsi="Times New Roman" w:cs="Times New Roman"/>
          <w:sz w:val="24"/>
          <w:szCs w:val="24"/>
        </w:rPr>
        <w:t>samples</w:t>
      </w:r>
      <w:r w:rsidR="004F644A">
        <w:rPr>
          <w:rFonts w:ascii="Times New Roman" w:eastAsia="Times New Roman" w:hAnsi="Times New Roman" w:cs="Times New Roman"/>
          <w:sz w:val="24"/>
          <w:szCs w:val="24"/>
        </w:rPr>
        <w:t>.</w:t>
      </w:r>
      <w:r w:rsidR="004F644A" w:rsidRPr="00F5757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w:t>
      </w:r>
      <w:r w:rsidR="00027515">
        <w:rPr>
          <w:rFonts w:ascii="Times New Roman" w:eastAsia="Times New Roman" w:hAnsi="Times New Roman" w:cs="Times New Roman"/>
          <w:sz w:val="24"/>
          <w:szCs w:val="24"/>
        </w:rPr>
        <w:t xml:space="preserve">urface water samples were collected from </w:t>
      </w:r>
      <w:r>
        <w:rPr>
          <w:rFonts w:ascii="Times New Roman" w:eastAsia="Times New Roman" w:hAnsi="Times New Roman" w:cs="Times New Roman"/>
          <w:sz w:val="24"/>
          <w:szCs w:val="24"/>
        </w:rPr>
        <w:t xml:space="preserve">the </w:t>
      </w:r>
      <w:r w:rsidR="00027515">
        <w:rPr>
          <w:rFonts w:ascii="Times New Roman" w:eastAsia="Times New Roman" w:hAnsi="Times New Roman" w:cs="Times New Roman"/>
          <w:sz w:val="24"/>
          <w:szCs w:val="24"/>
        </w:rPr>
        <w:t>mai</w:t>
      </w:r>
      <w:r>
        <w:rPr>
          <w:rFonts w:ascii="Times New Roman" w:eastAsia="Times New Roman" w:hAnsi="Times New Roman" w:cs="Times New Roman"/>
          <w:sz w:val="24"/>
          <w:szCs w:val="24"/>
        </w:rPr>
        <w:t>n</w:t>
      </w:r>
      <w:r w:rsidR="0002751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Hindon River</w:t>
      </w:r>
      <w:r w:rsidR="00027515">
        <w:rPr>
          <w:rFonts w:ascii="Times New Roman" w:eastAsia="Times New Roman" w:hAnsi="Times New Roman" w:cs="Times New Roman"/>
          <w:sz w:val="24"/>
          <w:szCs w:val="24"/>
        </w:rPr>
        <w:t>, tributaries</w:t>
      </w:r>
      <w:r>
        <w:rPr>
          <w:rFonts w:ascii="Times New Roman" w:eastAsia="Times New Roman" w:hAnsi="Times New Roman" w:cs="Times New Roman"/>
          <w:sz w:val="24"/>
          <w:szCs w:val="24"/>
        </w:rPr>
        <w:t xml:space="preserve"> (Kali and Krishni),</w:t>
      </w:r>
      <w:r w:rsidR="00027515">
        <w:rPr>
          <w:rFonts w:ascii="Times New Roman" w:eastAsia="Times New Roman" w:hAnsi="Times New Roman" w:cs="Times New Roman"/>
          <w:sz w:val="24"/>
          <w:szCs w:val="24"/>
        </w:rPr>
        <w:t xml:space="preserve"> </w:t>
      </w:r>
      <w:r w:rsidR="003E5E50">
        <w:rPr>
          <w:rFonts w:ascii="Times New Roman" w:eastAsia="Times New Roman" w:hAnsi="Times New Roman" w:cs="Times New Roman"/>
          <w:sz w:val="24"/>
          <w:szCs w:val="24"/>
        </w:rPr>
        <w:t xml:space="preserve">wastewater drains, </w:t>
      </w:r>
      <w:r w:rsidR="00027515">
        <w:rPr>
          <w:rFonts w:ascii="Times New Roman" w:eastAsia="Times New Roman" w:hAnsi="Times New Roman" w:cs="Times New Roman"/>
          <w:sz w:val="24"/>
          <w:szCs w:val="24"/>
        </w:rPr>
        <w:t xml:space="preserve">and minor </w:t>
      </w:r>
      <w:r>
        <w:rPr>
          <w:rFonts w:ascii="Times New Roman" w:eastAsia="Times New Roman" w:hAnsi="Times New Roman" w:cs="Times New Roman"/>
          <w:sz w:val="24"/>
          <w:szCs w:val="24"/>
        </w:rPr>
        <w:t>irrigation canals</w:t>
      </w:r>
      <w:r w:rsidR="00027515">
        <w:rPr>
          <w:rFonts w:ascii="Times New Roman" w:eastAsia="Times New Roman" w:hAnsi="Times New Roman" w:cs="Times New Roman"/>
          <w:sz w:val="24"/>
          <w:szCs w:val="24"/>
        </w:rPr>
        <w:t xml:space="preserve"> </w:t>
      </w:r>
      <w:r w:rsidR="003E5E50">
        <w:rPr>
          <w:rFonts w:ascii="Times New Roman" w:eastAsia="Times New Roman" w:hAnsi="Times New Roman" w:cs="Times New Roman"/>
          <w:sz w:val="24"/>
          <w:szCs w:val="24"/>
        </w:rPr>
        <w:t>in accordance with</w:t>
      </w:r>
      <w:r w:rsidR="004F644A" w:rsidRPr="00F57579">
        <w:rPr>
          <w:rFonts w:ascii="Times New Roman" w:eastAsia="Times New Roman" w:hAnsi="Times New Roman" w:cs="Times New Roman"/>
          <w:sz w:val="24"/>
          <w:szCs w:val="24"/>
        </w:rPr>
        <w:t xml:space="preserve"> the APHA (1998) guidelines</w:t>
      </w:r>
      <w:r w:rsidR="0002751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We collected </w:t>
      </w:r>
      <w:r w:rsidR="004F644A">
        <w:rPr>
          <w:rFonts w:ascii="Times New Roman" w:eastAsia="Times New Roman" w:hAnsi="Times New Roman" w:cs="Times New Roman"/>
          <w:sz w:val="24"/>
          <w:szCs w:val="24"/>
        </w:rPr>
        <w:t xml:space="preserve">500 ml </w:t>
      </w:r>
      <w:r w:rsidR="003E5E50">
        <w:rPr>
          <w:rFonts w:ascii="Times New Roman" w:eastAsia="Times New Roman" w:hAnsi="Times New Roman" w:cs="Times New Roman"/>
          <w:sz w:val="24"/>
          <w:szCs w:val="24"/>
        </w:rPr>
        <w:t xml:space="preserve">of </w:t>
      </w:r>
      <w:r w:rsidR="004F644A">
        <w:rPr>
          <w:rFonts w:ascii="Times New Roman" w:eastAsia="Times New Roman" w:hAnsi="Times New Roman" w:cs="Times New Roman"/>
          <w:sz w:val="24"/>
          <w:szCs w:val="24"/>
        </w:rPr>
        <w:t>water from mid</w:t>
      </w:r>
      <w:r>
        <w:rPr>
          <w:rFonts w:ascii="Times New Roman" w:eastAsia="Times New Roman" w:hAnsi="Times New Roman" w:cs="Times New Roman"/>
          <w:sz w:val="24"/>
          <w:szCs w:val="24"/>
        </w:rPr>
        <w:t>stream</w:t>
      </w:r>
      <w:r w:rsidR="004F644A">
        <w:rPr>
          <w:rFonts w:ascii="Times New Roman" w:eastAsia="Times New Roman" w:hAnsi="Times New Roman" w:cs="Times New Roman"/>
          <w:sz w:val="24"/>
          <w:szCs w:val="24"/>
        </w:rPr>
        <w:t xml:space="preserve"> in </w:t>
      </w:r>
      <w:r w:rsidR="004F644A" w:rsidRPr="00F57579">
        <w:rPr>
          <w:rFonts w:ascii="Times New Roman" w:eastAsia="Times New Roman" w:hAnsi="Times New Roman" w:cs="Times New Roman"/>
          <w:sz w:val="24"/>
          <w:szCs w:val="24"/>
        </w:rPr>
        <w:t>sterile low-density polyethylene (LDPE) bottles</w:t>
      </w:r>
      <w:r w:rsidR="004F644A">
        <w:rPr>
          <w:rFonts w:ascii="Times New Roman" w:eastAsia="Times New Roman" w:hAnsi="Times New Roman" w:cs="Times New Roman"/>
          <w:sz w:val="24"/>
          <w:szCs w:val="24"/>
        </w:rPr>
        <w:t xml:space="preserve"> pre-washed with </w:t>
      </w:r>
      <w:r w:rsidR="004F644A" w:rsidRPr="00F57579">
        <w:rPr>
          <w:rFonts w:ascii="Times New Roman" w:eastAsia="Times New Roman" w:hAnsi="Times New Roman" w:cs="Times New Roman"/>
          <w:sz w:val="24"/>
          <w:szCs w:val="24"/>
        </w:rPr>
        <w:t>10% HNO</w:t>
      </w:r>
      <w:r w:rsidR="004F644A" w:rsidRPr="005E50F0">
        <w:rPr>
          <w:rFonts w:ascii="Times New Roman" w:eastAsia="Times New Roman" w:hAnsi="Times New Roman" w:cs="Times New Roman"/>
          <w:sz w:val="24"/>
          <w:szCs w:val="24"/>
          <w:vertAlign w:val="subscript"/>
        </w:rPr>
        <w:t>3</w:t>
      </w:r>
      <w:r w:rsidR="004F644A">
        <w:rPr>
          <w:rFonts w:ascii="Times New Roman" w:eastAsia="Times New Roman" w:hAnsi="Times New Roman" w:cs="Times New Roman"/>
          <w:sz w:val="24"/>
          <w:szCs w:val="24"/>
        </w:rPr>
        <w:t xml:space="preserve"> and </w:t>
      </w:r>
      <w:r w:rsidR="004F644A" w:rsidRPr="00F57579">
        <w:rPr>
          <w:rFonts w:ascii="Times New Roman" w:eastAsia="Times New Roman" w:hAnsi="Times New Roman" w:cs="Times New Roman"/>
          <w:sz w:val="24"/>
          <w:szCs w:val="24"/>
        </w:rPr>
        <w:t>deionized water</w:t>
      </w:r>
      <w:r w:rsidR="004F644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 w</w:t>
      </w:r>
      <w:r w:rsidR="004F644A">
        <w:rPr>
          <w:rFonts w:ascii="Times New Roman" w:eastAsia="Times New Roman" w:hAnsi="Times New Roman" w:cs="Times New Roman"/>
          <w:sz w:val="24"/>
          <w:szCs w:val="24"/>
        </w:rPr>
        <w:t xml:space="preserve">ater sampler tied </w:t>
      </w:r>
      <w:r>
        <w:rPr>
          <w:rFonts w:ascii="Times New Roman" w:eastAsia="Times New Roman" w:hAnsi="Times New Roman" w:cs="Times New Roman"/>
          <w:sz w:val="24"/>
          <w:szCs w:val="24"/>
        </w:rPr>
        <w:t>to a</w:t>
      </w:r>
      <w:r w:rsidR="004F644A">
        <w:rPr>
          <w:rFonts w:ascii="Times New Roman" w:eastAsia="Times New Roman" w:hAnsi="Times New Roman" w:cs="Times New Roman"/>
          <w:sz w:val="24"/>
          <w:szCs w:val="24"/>
        </w:rPr>
        <w:t xml:space="preserve"> rope </w:t>
      </w:r>
      <w:r>
        <w:rPr>
          <w:rFonts w:ascii="Times New Roman" w:eastAsia="Times New Roman" w:hAnsi="Times New Roman" w:cs="Times New Roman"/>
          <w:sz w:val="24"/>
          <w:szCs w:val="24"/>
        </w:rPr>
        <w:t xml:space="preserve">was </w:t>
      </w:r>
      <w:r w:rsidR="004F644A">
        <w:rPr>
          <w:rFonts w:ascii="Times New Roman" w:eastAsia="Times New Roman" w:hAnsi="Times New Roman" w:cs="Times New Roman"/>
          <w:sz w:val="24"/>
          <w:szCs w:val="24"/>
        </w:rPr>
        <w:t xml:space="preserve">used </w:t>
      </w:r>
      <w:r w:rsidR="005E50F0">
        <w:rPr>
          <w:rFonts w:ascii="Times New Roman" w:eastAsia="Times New Roman" w:hAnsi="Times New Roman" w:cs="Times New Roman"/>
          <w:sz w:val="24"/>
          <w:szCs w:val="24"/>
        </w:rPr>
        <w:t>to avoid surface disturbance during sampling</w:t>
      </w:r>
      <w:r w:rsidR="004F644A">
        <w:rPr>
          <w:rFonts w:ascii="Times New Roman" w:eastAsia="Times New Roman" w:hAnsi="Times New Roman" w:cs="Times New Roman"/>
          <w:sz w:val="24"/>
          <w:szCs w:val="24"/>
        </w:rPr>
        <w:t xml:space="preserve">. </w:t>
      </w:r>
      <w:r w:rsidR="005E50F0" w:rsidRPr="005E50F0">
        <w:rPr>
          <w:rFonts w:ascii="Times New Roman" w:eastAsia="Times New Roman" w:hAnsi="Times New Roman" w:cs="Times New Roman"/>
          <w:sz w:val="24"/>
          <w:szCs w:val="24"/>
        </w:rPr>
        <w:t>Soil samples were collected using a hand-operated soil auger up to a depth of 100 cm.</w:t>
      </w:r>
      <w:r w:rsidR="005E50F0">
        <w:rPr>
          <w:rFonts w:ascii="Times New Roman" w:eastAsia="Times New Roman" w:hAnsi="Times New Roman" w:cs="Times New Roman"/>
          <w:sz w:val="24"/>
          <w:szCs w:val="24"/>
        </w:rPr>
        <w:t xml:space="preserve"> We collected 1000 g</w:t>
      </w:r>
      <w:r w:rsidR="004F644A">
        <w:rPr>
          <w:rFonts w:ascii="Times New Roman" w:eastAsia="Times New Roman" w:hAnsi="Times New Roman" w:cs="Times New Roman"/>
          <w:sz w:val="24"/>
          <w:szCs w:val="24"/>
        </w:rPr>
        <w:t xml:space="preserve"> of soil from </w:t>
      </w:r>
      <w:r w:rsidR="002102E2">
        <w:rPr>
          <w:rFonts w:ascii="Times New Roman" w:eastAsia="Times New Roman" w:hAnsi="Times New Roman" w:cs="Times New Roman"/>
          <w:sz w:val="24"/>
          <w:szCs w:val="24"/>
        </w:rPr>
        <w:t>30, 60</w:t>
      </w:r>
      <w:r w:rsidR="005E50F0">
        <w:rPr>
          <w:rFonts w:ascii="Times New Roman" w:eastAsia="Times New Roman" w:hAnsi="Times New Roman" w:cs="Times New Roman"/>
          <w:sz w:val="24"/>
          <w:szCs w:val="24"/>
        </w:rPr>
        <w:t>,</w:t>
      </w:r>
      <w:r w:rsidR="002102E2">
        <w:rPr>
          <w:rFonts w:ascii="Times New Roman" w:eastAsia="Times New Roman" w:hAnsi="Times New Roman" w:cs="Times New Roman"/>
          <w:sz w:val="24"/>
          <w:szCs w:val="24"/>
        </w:rPr>
        <w:t xml:space="preserve"> and 90 cm </w:t>
      </w:r>
      <w:r w:rsidR="004F644A">
        <w:rPr>
          <w:rFonts w:ascii="Times New Roman" w:eastAsia="Times New Roman" w:hAnsi="Times New Roman" w:cs="Times New Roman"/>
          <w:sz w:val="24"/>
          <w:szCs w:val="24"/>
        </w:rPr>
        <w:t>depth</w:t>
      </w:r>
      <w:r w:rsidR="005E50F0">
        <w:rPr>
          <w:rFonts w:ascii="Times New Roman" w:eastAsia="Times New Roman" w:hAnsi="Times New Roman" w:cs="Times New Roman"/>
          <w:sz w:val="24"/>
          <w:szCs w:val="24"/>
        </w:rPr>
        <w:t xml:space="preserve"> and stored it in</w:t>
      </w:r>
      <w:r w:rsidR="004F644A">
        <w:rPr>
          <w:rFonts w:ascii="Times New Roman" w:eastAsia="Times New Roman" w:hAnsi="Times New Roman" w:cs="Times New Roman"/>
          <w:sz w:val="24"/>
          <w:szCs w:val="24"/>
        </w:rPr>
        <w:t xml:space="preserve"> </w:t>
      </w:r>
      <w:r w:rsidR="004F644A" w:rsidRPr="00F57579">
        <w:rPr>
          <w:rFonts w:ascii="Times New Roman" w:eastAsia="Times New Roman" w:hAnsi="Times New Roman" w:cs="Times New Roman"/>
          <w:sz w:val="24"/>
          <w:szCs w:val="24"/>
        </w:rPr>
        <w:t>LDPE</w:t>
      </w:r>
      <w:r w:rsidR="004F644A">
        <w:rPr>
          <w:rFonts w:ascii="Times New Roman" w:eastAsia="Times New Roman" w:hAnsi="Times New Roman" w:cs="Times New Roman"/>
          <w:sz w:val="24"/>
          <w:szCs w:val="24"/>
        </w:rPr>
        <w:t xml:space="preserve"> </w:t>
      </w:r>
      <w:r w:rsidR="005E50F0">
        <w:rPr>
          <w:rFonts w:ascii="Times New Roman" w:eastAsia="Times New Roman" w:hAnsi="Times New Roman" w:cs="Times New Roman"/>
          <w:sz w:val="24"/>
          <w:szCs w:val="24"/>
        </w:rPr>
        <w:t>zip-lock</w:t>
      </w:r>
      <w:r w:rsidR="004F644A">
        <w:rPr>
          <w:rFonts w:ascii="Times New Roman" w:eastAsia="Times New Roman" w:hAnsi="Times New Roman" w:cs="Times New Roman"/>
          <w:sz w:val="24"/>
          <w:szCs w:val="24"/>
        </w:rPr>
        <w:t xml:space="preserve"> bags. All samples were </w:t>
      </w:r>
      <w:r w:rsidR="005E50F0">
        <w:rPr>
          <w:rFonts w:ascii="Times New Roman" w:eastAsia="Times New Roman" w:hAnsi="Times New Roman" w:cs="Times New Roman"/>
          <w:sz w:val="24"/>
          <w:szCs w:val="24"/>
        </w:rPr>
        <w:t>preserved</w:t>
      </w:r>
      <w:r w:rsidR="004F644A" w:rsidRPr="00F57579">
        <w:rPr>
          <w:rFonts w:ascii="Times New Roman" w:eastAsia="Times New Roman" w:hAnsi="Times New Roman" w:cs="Times New Roman"/>
          <w:sz w:val="24"/>
          <w:szCs w:val="24"/>
        </w:rPr>
        <w:t xml:space="preserve"> at 4°C in </w:t>
      </w:r>
      <w:r w:rsidR="005E50F0">
        <w:rPr>
          <w:rFonts w:ascii="Times New Roman" w:eastAsia="Times New Roman" w:hAnsi="Times New Roman" w:cs="Times New Roman"/>
          <w:sz w:val="24"/>
          <w:szCs w:val="24"/>
        </w:rPr>
        <w:t xml:space="preserve">an </w:t>
      </w:r>
      <w:r w:rsidR="004F644A" w:rsidRPr="00F57579">
        <w:rPr>
          <w:rFonts w:ascii="Times New Roman" w:eastAsia="Times New Roman" w:hAnsi="Times New Roman" w:cs="Times New Roman"/>
          <w:sz w:val="24"/>
          <w:szCs w:val="24"/>
        </w:rPr>
        <w:lastRenderedPageBreak/>
        <w:t>airtight</w:t>
      </w:r>
      <w:r w:rsidR="005E50F0">
        <w:rPr>
          <w:rFonts w:ascii="Times New Roman" w:eastAsia="Times New Roman" w:hAnsi="Times New Roman" w:cs="Times New Roman"/>
          <w:sz w:val="24"/>
          <w:szCs w:val="24"/>
        </w:rPr>
        <w:t xml:space="preserve">, </w:t>
      </w:r>
      <w:r w:rsidR="004F644A" w:rsidRPr="00F57579">
        <w:rPr>
          <w:rFonts w:ascii="Times New Roman" w:eastAsia="Times New Roman" w:hAnsi="Times New Roman" w:cs="Times New Roman"/>
          <w:sz w:val="24"/>
          <w:szCs w:val="24"/>
        </w:rPr>
        <w:t xml:space="preserve">insulated </w:t>
      </w:r>
      <w:r w:rsidR="005E50F0">
        <w:rPr>
          <w:rFonts w:ascii="Times New Roman" w:eastAsia="Times New Roman" w:hAnsi="Times New Roman" w:cs="Times New Roman"/>
          <w:sz w:val="24"/>
          <w:szCs w:val="24"/>
        </w:rPr>
        <w:t>container</w:t>
      </w:r>
      <w:r w:rsidR="004F644A" w:rsidRPr="00F57579">
        <w:rPr>
          <w:rFonts w:ascii="Times New Roman" w:eastAsia="Times New Roman" w:hAnsi="Times New Roman" w:cs="Times New Roman"/>
          <w:sz w:val="24"/>
          <w:szCs w:val="24"/>
        </w:rPr>
        <w:t xml:space="preserve"> with ice packs.</w:t>
      </w:r>
      <w:r w:rsidR="004F644A">
        <w:rPr>
          <w:rFonts w:ascii="Times New Roman" w:eastAsia="Times New Roman" w:hAnsi="Times New Roman" w:cs="Times New Roman"/>
          <w:sz w:val="24"/>
          <w:szCs w:val="24"/>
        </w:rPr>
        <w:t xml:space="preserve"> </w:t>
      </w:r>
      <w:r w:rsidR="00F57579" w:rsidRPr="00F57579">
        <w:rPr>
          <w:rFonts w:ascii="Times New Roman" w:eastAsia="Times New Roman" w:hAnsi="Times New Roman" w:cs="Times New Roman"/>
          <w:sz w:val="24"/>
          <w:szCs w:val="24"/>
        </w:rPr>
        <w:t>Each sampl</w:t>
      </w:r>
      <w:r w:rsidR="005E50F0">
        <w:rPr>
          <w:rFonts w:ascii="Times New Roman" w:eastAsia="Times New Roman" w:hAnsi="Times New Roman" w:cs="Times New Roman"/>
          <w:sz w:val="24"/>
          <w:szCs w:val="24"/>
        </w:rPr>
        <w:t>ing location</w:t>
      </w:r>
      <w:r w:rsidR="00F57579" w:rsidRPr="00F57579">
        <w:rPr>
          <w:rFonts w:ascii="Times New Roman" w:eastAsia="Times New Roman" w:hAnsi="Times New Roman" w:cs="Times New Roman"/>
          <w:sz w:val="24"/>
          <w:szCs w:val="24"/>
        </w:rPr>
        <w:t xml:space="preserve"> was geo</w:t>
      </w:r>
      <w:r w:rsidR="005E50F0">
        <w:rPr>
          <w:rFonts w:ascii="Times New Roman" w:eastAsia="Times New Roman" w:hAnsi="Times New Roman" w:cs="Times New Roman"/>
          <w:sz w:val="24"/>
          <w:szCs w:val="24"/>
        </w:rPr>
        <w:t>referenced</w:t>
      </w:r>
      <w:r w:rsidR="00F57579" w:rsidRPr="00F57579">
        <w:rPr>
          <w:rFonts w:ascii="Times New Roman" w:eastAsia="Times New Roman" w:hAnsi="Times New Roman" w:cs="Times New Roman"/>
          <w:sz w:val="24"/>
          <w:szCs w:val="24"/>
        </w:rPr>
        <w:t xml:space="preserve"> using a Garmin Global Positioning System (GPS), and nearby </w:t>
      </w:r>
      <w:r w:rsidR="005E50F0">
        <w:rPr>
          <w:rFonts w:ascii="Times New Roman" w:eastAsia="Times New Roman" w:hAnsi="Times New Roman" w:cs="Times New Roman"/>
          <w:sz w:val="24"/>
          <w:szCs w:val="24"/>
        </w:rPr>
        <w:t>land use</w:t>
      </w:r>
      <w:r w:rsidR="00F57579" w:rsidRPr="00F57579">
        <w:rPr>
          <w:rFonts w:ascii="Times New Roman" w:eastAsia="Times New Roman" w:hAnsi="Times New Roman" w:cs="Times New Roman"/>
          <w:sz w:val="24"/>
          <w:szCs w:val="24"/>
        </w:rPr>
        <w:t xml:space="preserve"> activities </w:t>
      </w:r>
      <w:r w:rsidR="005E50F0">
        <w:rPr>
          <w:rFonts w:ascii="Times New Roman" w:eastAsia="Times New Roman" w:hAnsi="Times New Roman" w:cs="Times New Roman"/>
          <w:sz w:val="24"/>
          <w:szCs w:val="24"/>
        </w:rPr>
        <w:t>and</w:t>
      </w:r>
      <w:r w:rsidR="00F57579" w:rsidRPr="00F57579">
        <w:rPr>
          <w:rFonts w:ascii="Times New Roman" w:eastAsia="Times New Roman" w:hAnsi="Times New Roman" w:cs="Times New Roman"/>
          <w:sz w:val="24"/>
          <w:szCs w:val="24"/>
        </w:rPr>
        <w:t xml:space="preserve"> hydrological </w:t>
      </w:r>
      <w:r w:rsidR="005E50F0">
        <w:rPr>
          <w:rFonts w:ascii="Times New Roman" w:eastAsia="Times New Roman" w:hAnsi="Times New Roman" w:cs="Times New Roman"/>
          <w:sz w:val="24"/>
          <w:szCs w:val="24"/>
        </w:rPr>
        <w:t>conditions</w:t>
      </w:r>
      <w:r w:rsidR="00F57579" w:rsidRPr="00F57579">
        <w:rPr>
          <w:rFonts w:ascii="Times New Roman" w:eastAsia="Times New Roman" w:hAnsi="Times New Roman" w:cs="Times New Roman"/>
          <w:sz w:val="24"/>
          <w:szCs w:val="24"/>
        </w:rPr>
        <w:t xml:space="preserve"> were recorded before transport</w:t>
      </w:r>
      <w:r w:rsidR="005E50F0">
        <w:rPr>
          <w:rFonts w:ascii="Times New Roman" w:eastAsia="Times New Roman" w:hAnsi="Times New Roman" w:cs="Times New Roman"/>
          <w:sz w:val="24"/>
          <w:szCs w:val="24"/>
        </w:rPr>
        <w:t>ing the samples</w:t>
      </w:r>
      <w:r w:rsidR="00F57579" w:rsidRPr="00F57579">
        <w:rPr>
          <w:rFonts w:ascii="Times New Roman" w:eastAsia="Times New Roman" w:hAnsi="Times New Roman" w:cs="Times New Roman"/>
          <w:sz w:val="24"/>
          <w:szCs w:val="24"/>
        </w:rPr>
        <w:t xml:space="preserve"> to the </w:t>
      </w:r>
      <w:r w:rsidR="005E50F0">
        <w:rPr>
          <w:rFonts w:ascii="Times New Roman" w:eastAsia="Times New Roman" w:hAnsi="Times New Roman" w:cs="Times New Roman"/>
          <w:sz w:val="24"/>
          <w:szCs w:val="24"/>
        </w:rPr>
        <w:t>G</w:t>
      </w:r>
      <w:r w:rsidR="00F57579" w:rsidRPr="00F57579">
        <w:rPr>
          <w:rFonts w:ascii="Times New Roman" w:eastAsia="Times New Roman" w:hAnsi="Times New Roman" w:cs="Times New Roman"/>
          <w:sz w:val="24"/>
          <w:szCs w:val="24"/>
        </w:rPr>
        <w:t xml:space="preserve">roundwater </w:t>
      </w:r>
      <w:r w:rsidR="005E50F0">
        <w:rPr>
          <w:rFonts w:ascii="Times New Roman" w:eastAsia="Times New Roman" w:hAnsi="Times New Roman" w:cs="Times New Roman"/>
          <w:sz w:val="24"/>
          <w:szCs w:val="24"/>
        </w:rPr>
        <w:t>L</w:t>
      </w:r>
      <w:r w:rsidR="00F57579" w:rsidRPr="00F57579">
        <w:rPr>
          <w:rFonts w:ascii="Times New Roman" w:eastAsia="Times New Roman" w:hAnsi="Times New Roman" w:cs="Times New Roman"/>
          <w:sz w:val="24"/>
          <w:szCs w:val="24"/>
        </w:rPr>
        <w:t>aboratory at IIT Roorkee for chemical analysis.</w:t>
      </w:r>
    </w:p>
    <w:p w:rsidR="00C6701C" w:rsidRDefault="00F57579"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F57579">
        <w:rPr>
          <w:rFonts w:ascii="Times New Roman" w:eastAsia="Times New Roman" w:hAnsi="Times New Roman" w:cs="Times New Roman"/>
          <w:sz w:val="24"/>
          <w:szCs w:val="24"/>
        </w:rPr>
        <w:t>In the lab</w:t>
      </w:r>
      <w:r w:rsidR="005E50F0">
        <w:rPr>
          <w:rFonts w:ascii="Times New Roman" w:eastAsia="Times New Roman" w:hAnsi="Times New Roman" w:cs="Times New Roman"/>
          <w:sz w:val="24"/>
          <w:szCs w:val="24"/>
        </w:rPr>
        <w:t>oratory</w:t>
      </w:r>
      <w:r w:rsidRPr="00F57579">
        <w:rPr>
          <w:rFonts w:ascii="Times New Roman" w:eastAsia="Times New Roman" w:hAnsi="Times New Roman" w:cs="Times New Roman"/>
          <w:sz w:val="24"/>
          <w:szCs w:val="24"/>
        </w:rPr>
        <w:t xml:space="preserve">, </w:t>
      </w:r>
      <w:r w:rsidR="005E50F0">
        <w:rPr>
          <w:rFonts w:ascii="Times New Roman" w:eastAsia="Times New Roman" w:hAnsi="Times New Roman" w:cs="Times New Roman"/>
          <w:sz w:val="24"/>
          <w:szCs w:val="24"/>
        </w:rPr>
        <w:t>samples stored</w:t>
      </w:r>
      <w:r w:rsidRPr="00F57579">
        <w:rPr>
          <w:rFonts w:ascii="Times New Roman" w:eastAsia="Times New Roman" w:hAnsi="Times New Roman" w:cs="Times New Roman"/>
          <w:sz w:val="24"/>
          <w:szCs w:val="24"/>
        </w:rPr>
        <w:t xml:space="preserve"> at 4°C were brought to room temperature </w:t>
      </w:r>
      <w:r w:rsidR="005E50F0">
        <w:rPr>
          <w:rFonts w:ascii="Times New Roman" w:eastAsia="Times New Roman" w:hAnsi="Times New Roman" w:cs="Times New Roman"/>
          <w:sz w:val="24"/>
          <w:szCs w:val="24"/>
        </w:rPr>
        <w:t>prior to analysis. A</w:t>
      </w:r>
      <w:r w:rsidRPr="00F57579">
        <w:rPr>
          <w:rFonts w:ascii="Times New Roman" w:eastAsia="Times New Roman" w:hAnsi="Times New Roman" w:cs="Times New Roman"/>
          <w:sz w:val="24"/>
          <w:szCs w:val="24"/>
        </w:rPr>
        <w:t xml:space="preserve">cid digestion </w:t>
      </w:r>
      <w:r w:rsidR="005E50F0">
        <w:rPr>
          <w:rFonts w:ascii="Times New Roman" w:eastAsia="Times New Roman" w:hAnsi="Times New Roman" w:cs="Times New Roman"/>
          <w:sz w:val="24"/>
          <w:szCs w:val="24"/>
        </w:rPr>
        <w:t xml:space="preserve">was performed </w:t>
      </w:r>
      <w:r w:rsidRPr="00F57579">
        <w:rPr>
          <w:rFonts w:ascii="Times New Roman" w:eastAsia="Times New Roman" w:hAnsi="Times New Roman" w:cs="Times New Roman"/>
          <w:sz w:val="24"/>
          <w:szCs w:val="24"/>
        </w:rPr>
        <w:t xml:space="preserve">using the Anton Paar Multiwave Go microwave digestion system. </w:t>
      </w:r>
      <w:r w:rsidR="005E50F0">
        <w:rPr>
          <w:rFonts w:ascii="Times New Roman" w:eastAsia="Times New Roman" w:hAnsi="Times New Roman" w:cs="Times New Roman"/>
          <w:sz w:val="24"/>
          <w:szCs w:val="24"/>
        </w:rPr>
        <w:t xml:space="preserve">For surface water samples, </w:t>
      </w:r>
      <w:r w:rsidRPr="00F57579">
        <w:rPr>
          <w:rFonts w:ascii="Times New Roman" w:eastAsia="Times New Roman" w:hAnsi="Times New Roman" w:cs="Times New Roman"/>
          <w:sz w:val="24"/>
          <w:szCs w:val="24"/>
        </w:rPr>
        <w:t>10 ml of water was mixed with 2±0.1 ml of HNO</w:t>
      </w:r>
      <w:r w:rsidRPr="005E50F0">
        <w:rPr>
          <w:rFonts w:ascii="Times New Roman" w:eastAsia="Times New Roman" w:hAnsi="Times New Roman" w:cs="Times New Roman"/>
          <w:sz w:val="24"/>
          <w:szCs w:val="24"/>
          <w:vertAlign w:val="subscript"/>
        </w:rPr>
        <w:t>3</w:t>
      </w:r>
      <w:r w:rsidRPr="00F57579">
        <w:rPr>
          <w:rFonts w:ascii="Times New Roman" w:eastAsia="Times New Roman" w:hAnsi="Times New Roman" w:cs="Times New Roman"/>
          <w:sz w:val="24"/>
          <w:szCs w:val="24"/>
        </w:rPr>
        <w:t xml:space="preserve"> and 3±0.1 ml of HCl, and digested at 180°C. </w:t>
      </w:r>
      <w:r w:rsidR="006B1D1C">
        <w:rPr>
          <w:rFonts w:ascii="Times New Roman" w:eastAsia="Times New Roman" w:hAnsi="Times New Roman" w:cs="Times New Roman"/>
          <w:sz w:val="24"/>
          <w:szCs w:val="24"/>
        </w:rPr>
        <w:t>For soil</w:t>
      </w:r>
      <w:r w:rsidR="005E50F0">
        <w:rPr>
          <w:rFonts w:ascii="Times New Roman" w:eastAsia="Times New Roman" w:hAnsi="Times New Roman" w:cs="Times New Roman"/>
          <w:sz w:val="24"/>
          <w:szCs w:val="24"/>
        </w:rPr>
        <w:t xml:space="preserve"> samples</w:t>
      </w:r>
      <w:r w:rsidR="006B1D1C">
        <w:rPr>
          <w:rFonts w:ascii="Times New Roman" w:eastAsia="Times New Roman" w:hAnsi="Times New Roman" w:cs="Times New Roman"/>
          <w:sz w:val="24"/>
          <w:szCs w:val="24"/>
        </w:rPr>
        <w:t>, 0.25 g</w:t>
      </w:r>
      <w:r w:rsidR="005E50F0">
        <w:rPr>
          <w:rFonts w:ascii="Times New Roman" w:eastAsia="Times New Roman" w:hAnsi="Times New Roman" w:cs="Times New Roman"/>
          <w:sz w:val="24"/>
          <w:szCs w:val="24"/>
        </w:rPr>
        <w:t xml:space="preserve"> of air-dried</w:t>
      </w:r>
      <w:r w:rsidR="006B1D1C">
        <w:rPr>
          <w:rFonts w:ascii="Times New Roman" w:eastAsia="Times New Roman" w:hAnsi="Times New Roman" w:cs="Times New Roman"/>
          <w:sz w:val="24"/>
          <w:szCs w:val="24"/>
        </w:rPr>
        <w:t xml:space="preserve"> soil </w:t>
      </w:r>
      <w:r w:rsidR="005E50F0">
        <w:rPr>
          <w:rFonts w:ascii="Times New Roman" w:eastAsia="Times New Roman" w:hAnsi="Times New Roman" w:cs="Times New Roman"/>
          <w:sz w:val="24"/>
          <w:szCs w:val="24"/>
        </w:rPr>
        <w:t>sieved through</w:t>
      </w:r>
      <w:r w:rsidR="006B1D1C">
        <w:rPr>
          <w:rFonts w:ascii="Times New Roman" w:eastAsia="Times New Roman" w:hAnsi="Times New Roman" w:cs="Times New Roman"/>
          <w:sz w:val="24"/>
          <w:szCs w:val="24"/>
        </w:rPr>
        <w:t xml:space="preserve"> </w:t>
      </w:r>
      <w:r w:rsidR="003E5E50">
        <w:rPr>
          <w:rFonts w:ascii="Times New Roman" w:eastAsia="Times New Roman" w:hAnsi="Times New Roman" w:cs="Times New Roman"/>
          <w:sz w:val="24"/>
          <w:szCs w:val="24"/>
        </w:rPr>
        <w:t xml:space="preserve">a </w:t>
      </w:r>
      <w:r w:rsidR="006B1D1C">
        <w:rPr>
          <w:rFonts w:ascii="Times New Roman" w:eastAsia="Times New Roman" w:hAnsi="Times New Roman" w:cs="Times New Roman"/>
          <w:sz w:val="24"/>
          <w:szCs w:val="24"/>
        </w:rPr>
        <w:t>150</w:t>
      </w:r>
      <w:r w:rsidR="005E50F0">
        <w:rPr>
          <w:rFonts w:ascii="Times New Roman" w:eastAsia="Times New Roman" w:hAnsi="Times New Roman" w:cs="Times New Roman"/>
          <w:sz w:val="24"/>
          <w:szCs w:val="24"/>
        </w:rPr>
        <w:t xml:space="preserve"> </w:t>
      </w:r>
      <w:r w:rsidR="005E50F0" w:rsidRPr="005E50F0">
        <w:rPr>
          <w:rFonts w:ascii="Times New Roman" w:eastAsia="Times New Roman" w:hAnsi="Times New Roman" w:cs="Times New Roman"/>
          <w:sz w:val="24"/>
          <w:szCs w:val="24"/>
        </w:rPr>
        <w:t>µm mesh</w:t>
      </w:r>
      <w:r w:rsidR="006B1D1C">
        <w:rPr>
          <w:rFonts w:ascii="Times New Roman" w:eastAsia="Times New Roman" w:hAnsi="Times New Roman" w:cs="Times New Roman"/>
          <w:sz w:val="24"/>
          <w:szCs w:val="24"/>
        </w:rPr>
        <w:t xml:space="preserve"> was mixed with </w:t>
      </w:r>
      <w:r w:rsidR="002102E2">
        <w:rPr>
          <w:rFonts w:ascii="Times New Roman" w:eastAsia="Times New Roman" w:hAnsi="Times New Roman" w:cs="Times New Roman"/>
          <w:sz w:val="24"/>
          <w:szCs w:val="24"/>
        </w:rPr>
        <w:t>2</w:t>
      </w:r>
      <w:r w:rsidR="006B1D1C">
        <w:rPr>
          <w:rFonts w:ascii="Times New Roman" w:eastAsia="Times New Roman" w:hAnsi="Times New Roman" w:cs="Times New Roman"/>
          <w:sz w:val="24"/>
          <w:szCs w:val="24"/>
        </w:rPr>
        <w:t>.5 ml HNO</w:t>
      </w:r>
      <w:r w:rsidR="006B1D1C" w:rsidRPr="005E50F0">
        <w:rPr>
          <w:rFonts w:ascii="Times New Roman" w:eastAsia="Times New Roman" w:hAnsi="Times New Roman" w:cs="Times New Roman"/>
          <w:sz w:val="24"/>
          <w:szCs w:val="24"/>
          <w:vertAlign w:val="subscript"/>
        </w:rPr>
        <w:t>3</w:t>
      </w:r>
      <w:r w:rsidR="006B1D1C">
        <w:rPr>
          <w:rFonts w:ascii="Times New Roman" w:eastAsia="Times New Roman" w:hAnsi="Times New Roman" w:cs="Times New Roman"/>
          <w:sz w:val="24"/>
          <w:szCs w:val="24"/>
        </w:rPr>
        <w:t xml:space="preserve"> and 0.5 ml H</w:t>
      </w:r>
      <w:r w:rsidR="006B1D1C" w:rsidRPr="005E50F0">
        <w:rPr>
          <w:rFonts w:ascii="Times New Roman" w:eastAsia="Times New Roman" w:hAnsi="Times New Roman" w:cs="Times New Roman"/>
          <w:sz w:val="24"/>
          <w:szCs w:val="24"/>
          <w:vertAlign w:val="subscript"/>
        </w:rPr>
        <w:t>2</w:t>
      </w:r>
      <w:r w:rsidR="006B1D1C">
        <w:rPr>
          <w:rFonts w:ascii="Times New Roman" w:eastAsia="Times New Roman" w:hAnsi="Times New Roman" w:cs="Times New Roman"/>
          <w:sz w:val="24"/>
          <w:szCs w:val="24"/>
        </w:rPr>
        <w:t>O</w:t>
      </w:r>
      <w:r w:rsidR="006B1D1C" w:rsidRPr="005E50F0">
        <w:rPr>
          <w:rFonts w:ascii="Times New Roman" w:eastAsia="Times New Roman" w:hAnsi="Times New Roman" w:cs="Times New Roman"/>
          <w:sz w:val="24"/>
          <w:szCs w:val="24"/>
          <w:vertAlign w:val="subscript"/>
        </w:rPr>
        <w:t>2</w:t>
      </w:r>
      <w:r w:rsidR="006B1D1C">
        <w:rPr>
          <w:rFonts w:ascii="Times New Roman" w:eastAsia="Times New Roman" w:hAnsi="Times New Roman" w:cs="Times New Roman"/>
          <w:sz w:val="24"/>
          <w:szCs w:val="24"/>
        </w:rPr>
        <w:t xml:space="preserve">. </w:t>
      </w:r>
      <w:r w:rsidR="005E50F0">
        <w:rPr>
          <w:rFonts w:ascii="Times New Roman" w:eastAsia="Times New Roman" w:hAnsi="Times New Roman" w:cs="Times New Roman"/>
          <w:sz w:val="24"/>
          <w:szCs w:val="24"/>
        </w:rPr>
        <w:t xml:space="preserve">Following digestion, the samples were </w:t>
      </w:r>
      <w:r w:rsidRPr="00F57579">
        <w:rPr>
          <w:rFonts w:ascii="Times New Roman" w:eastAsia="Times New Roman" w:hAnsi="Times New Roman" w:cs="Times New Roman"/>
          <w:sz w:val="24"/>
          <w:szCs w:val="24"/>
        </w:rPr>
        <w:t xml:space="preserve">filtered </w:t>
      </w:r>
      <w:r w:rsidR="005E50F0">
        <w:rPr>
          <w:rFonts w:ascii="Times New Roman" w:eastAsia="Times New Roman" w:hAnsi="Times New Roman" w:cs="Times New Roman"/>
          <w:sz w:val="24"/>
          <w:szCs w:val="24"/>
        </w:rPr>
        <w:t xml:space="preserve">using </w:t>
      </w:r>
      <w:r w:rsidRPr="00F57579">
        <w:rPr>
          <w:rFonts w:ascii="Times New Roman" w:eastAsia="Times New Roman" w:hAnsi="Times New Roman" w:cs="Times New Roman"/>
          <w:sz w:val="24"/>
          <w:szCs w:val="24"/>
        </w:rPr>
        <w:t>Whatman No. 42</w:t>
      </w:r>
      <w:r w:rsidR="005E50F0">
        <w:rPr>
          <w:rFonts w:ascii="Times New Roman" w:eastAsia="Times New Roman" w:hAnsi="Times New Roman" w:cs="Times New Roman"/>
          <w:sz w:val="24"/>
          <w:szCs w:val="24"/>
        </w:rPr>
        <w:t xml:space="preserve"> filter paper</w:t>
      </w:r>
      <w:r w:rsidRPr="00F57579">
        <w:rPr>
          <w:rFonts w:ascii="Times New Roman" w:eastAsia="Times New Roman" w:hAnsi="Times New Roman" w:cs="Times New Roman"/>
          <w:sz w:val="24"/>
          <w:szCs w:val="24"/>
        </w:rPr>
        <w:t xml:space="preserve">, diluted with deionized water, and acidified with Merck Suprapur nitric acid (pH ≤2) to stabilize the metal ions. </w:t>
      </w:r>
      <w:r w:rsidR="005E50F0">
        <w:rPr>
          <w:rFonts w:ascii="Times New Roman" w:eastAsia="Times New Roman" w:hAnsi="Times New Roman" w:cs="Times New Roman"/>
          <w:sz w:val="24"/>
          <w:szCs w:val="24"/>
        </w:rPr>
        <w:t>Heavy m</w:t>
      </w:r>
      <w:r w:rsidRPr="00F57579">
        <w:rPr>
          <w:rFonts w:ascii="Times New Roman" w:eastAsia="Times New Roman" w:hAnsi="Times New Roman" w:cs="Times New Roman"/>
          <w:sz w:val="24"/>
          <w:szCs w:val="24"/>
        </w:rPr>
        <w:t>etal concentration</w:t>
      </w:r>
      <w:r w:rsidR="00F31E48">
        <w:rPr>
          <w:rFonts w:ascii="Times New Roman" w:eastAsia="Times New Roman" w:hAnsi="Times New Roman" w:cs="Times New Roman"/>
          <w:sz w:val="24"/>
          <w:szCs w:val="24"/>
        </w:rPr>
        <w:t>s</w:t>
      </w:r>
      <w:r w:rsidRPr="00F57579">
        <w:rPr>
          <w:rFonts w:ascii="Times New Roman" w:eastAsia="Times New Roman" w:hAnsi="Times New Roman" w:cs="Times New Roman"/>
          <w:sz w:val="24"/>
          <w:szCs w:val="24"/>
        </w:rPr>
        <w:t xml:space="preserve"> w</w:t>
      </w:r>
      <w:r w:rsidR="00F31E48">
        <w:rPr>
          <w:rFonts w:ascii="Times New Roman" w:eastAsia="Times New Roman" w:hAnsi="Times New Roman" w:cs="Times New Roman"/>
          <w:sz w:val="24"/>
          <w:szCs w:val="24"/>
        </w:rPr>
        <w:t>ere</w:t>
      </w:r>
      <w:r w:rsidRPr="00F57579">
        <w:rPr>
          <w:rFonts w:ascii="Times New Roman" w:eastAsia="Times New Roman" w:hAnsi="Times New Roman" w:cs="Times New Roman"/>
          <w:sz w:val="24"/>
          <w:szCs w:val="24"/>
        </w:rPr>
        <w:t xml:space="preserve"> quantified </w:t>
      </w:r>
      <w:r w:rsidR="00F31E48">
        <w:rPr>
          <w:rFonts w:ascii="Times New Roman" w:eastAsia="Times New Roman" w:hAnsi="Times New Roman" w:cs="Times New Roman"/>
          <w:sz w:val="24"/>
          <w:szCs w:val="24"/>
        </w:rPr>
        <w:t xml:space="preserve">using </w:t>
      </w:r>
      <w:r w:rsidR="00F31E48" w:rsidRPr="00F31E48">
        <w:rPr>
          <w:rFonts w:ascii="Times New Roman" w:eastAsia="Times New Roman" w:hAnsi="Times New Roman" w:cs="Times New Roman"/>
          <w:sz w:val="24"/>
          <w:szCs w:val="24"/>
        </w:rPr>
        <w:t>Inductively Coupled Plasma</w:t>
      </w:r>
      <w:r w:rsidR="00F31E48">
        <w:rPr>
          <w:rFonts w:ascii="Times New Roman" w:eastAsia="Times New Roman" w:hAnsi="Times New Roman" w:cs="Times New Roman"/>
          <w:sz w:val="24"/>
          <w:szCs w:val="24"/>
        </w:rPr>
        <w:t>-</w:t>
      </w:r>
      <w:r w:rsidR="00F31E48" w:rsidRPr="00F31E48">
        <w:rPr>
          <w:rFonts w:ascii="Times New Roman" w:eastAsia="Times New Roman" w:hAnsi="Times New Roman" w:cs="Times New Roman"/>
          <w:sz w:val="24"/>
          <w:szCs w:val="24"/>
        </w:rPr>
        <w:t>Mass Spectrometry (ICP-MS; Agilent Technologies) with a detection limit of 0.001</w:t>
      </w:r>
      <w:r w:rsidR="00F31E48">
        <w:rPr>
          <w:rFonts w:ascii="Times New Roman" w:eastAsia="Times New Roman" w:hAnsi="Times New Roman" w:cs="Times New Roman"/>
          <w:sz w:val="24"/>
          <w:szCs w:val="24"/>
        </w:rPr>
        <w:t xml:space="preserve"> mg/l. A calibration</w:t>
      </w:r>
      <w:r w:rsidRPr="00F57579">
        <w:rPr>
          <w:rFonts w:ascii="Times New Roman" w:eastAsia="Times New Roman" w:hAnsi="Times New Roman" w:cs="Times New Roman"/>
          <w:sz w:val="24"/>
          <w:szCs w:val="24"/>
        </w:rPr>
        <w:t xml:space="preserve"> curve </w:t>
      </w:r>
      <w:r w:rsidR="00F31E48">
        <w:rPr>
          <w:rFonts w:ascii="Times New Roman" w:eastAsia="Times New Roman" w:hAnsi="Times New Roman" w:cs="Times New Roman"/>
          <w:sz w:val="24"/>
          <w:szCs w:val="24"/>
        </w:rPr>
        <w:t xml:space="preserve">was </w:t>
      </w:r>
      <w:r w:rsidRPr="00F57579">
        <w:rPr>
          <w:rFonts w:ascii="Times New Roman" w:eastAsia="Times New Roman" w:hAnsi="Times New Roman" w:cs="Times New Roman"/>
          <w:sz w:val="24"/>
          <w:szCs w:val="24"/>
        </w:rPr>
        <w:t xml:space="preserve">prepared </w:t>
      </w:r>
      <w:r w:rsidR="00F31E48">
        <w:rPr>
          <w:rFonts w:ascii="Times New Roman" w:eastAsia="Times New Roman" w:hAnsi="Times New Roman" w:cs="Times New Roman"/>
          <w:sz w:val="24"/>
          <w:szCs w:val="24"/>
        </w:rPr>
        <w:t xml:space="preserve">using a multi-point standard solution from </w:t>
      </w:r>
      <w:r w:rsidRPr="00F57579">
        <w:rPr>
          <w:rFonts w:ascii="Times New Roman" w:eastAsia="Times New Roman" w:hAnsi="Times New Roman" w:cs="Times New Roman"/>
          <w:sz w:val="24"/>
          <w:szCs w:val="24"/>
        </w:rPr>
        <w:t>Merck India. All samples were tested within 72 hours</w:t>
      </w:r>
      <w:r w:rsidR="00F31E48">
        <w:rPr>
          <w:rFonts w:ascii="Times New Roman" w:eastAsia="Times New Roman" w:hAnsi="Times New Roman" w:cs="Times New Roman"/>
          <w:sz w:val="24"/>
          <w:szCs w:val="24"/>
        </w:rPr>
        <w:t>,</w:t>
      </w:r>
      <w:r w:rsidRPr="00F57579">
        <w:rPr>
          <w:rFonts w:ascii="Times New Roman" w:eastAsia="Times New Roman" w:hAnsi="Times New Roman" w:cs="Times New Roman"/>
          <w:sz w:val="24"/>
          <w:szCs w:val="24"/>
        </w:rPr>
        <w:t xml:space="preserve"> keeping quality checked after every eight samples with a blank and </w:t>
      </w:r>
      <w:r w:rsidR="003E5E50">
        <w:rPr>
          <w:rFonts w:ascii="Times New Roman" w:eastAsia="Times New Roman" w:hAnsi="Times New Roman" w:cs="Times New Roman"/>
          <w:sz w:val="24"/>
          <w:szCs w:val="24"/>
        </w:rPr>
        <w:t xml:space="preserve">a </w:t>
      </w:r>
      <w:r w:rsidRPr="00F57579">
        <w:rPr>
          <w:rFonts w:ascii="Times New Roman" w:eastAsia="Times New Roman" w:hAnsi="Times New Roman" w:cs="Times New Roman"/>
          <w:sz w:val="24"/>
          <w:szCs w:val="24"/>
        </w:rPr>
        <w:t>known standard solution.</w:t>
      </w:r>
      <w:r w:rsidR="002102E2">
        <w:rPr>
          <w:rFonts w:ascii="Times New Roman" w:eastAsia="Times New Roman" w:hAnsi="Times New Roman" w:cs="Times New Roman"/>
          <w:sz w:val="24"/>
          <w:szCs w:val="24"/>
        </w:rPr>
        <w:t xml:space="preserve"> Soil heavy metal </w:t>
      </w:r>
      <w:r w:rsidR="00F31E48">
        <w:rPr>
          <w:rFonts w:ascii="Times New Roman" w:eastAsia="Times New Roman" w:hAnsi="Times New Roman" w:cs="Times New Roman"/>
          <w:sz w:val="24"/>
          <w:szCs w:val="24"/>
        </w:rPr>
        <w:t xml:space="preserve">concentrations </w:t>
      </w:r>
      <w:r w:rsidR="002102E2">
        <w:rPr>
          <w:rFonts w:ascii="Times New Roman" w:eastAsia="Times New Roman" w:hAnsi="Times New Roman" w:cs="Times New Roman"/>
          <w:sz w:val="24"/>
          <w:szCs w:val="24"/>
        </w:rPr>
        <w:t xml:space="preserve">measured at different </w:t>
      </w:r>
      <w:r w:rsidR="00F31E48">
        <w:rPr>
          <w:rFonts w:ascii="Times New Roman" w:eastAsia="Times New Roman" w:hAnsi="Times New Roman" w:cs="Times New Roman"/>
          <w:sz w:val="24"/>
          <w:szCs w:val="24"/>
        </w:rPr>
        <w:t>depths</w:t>
      </w:r>
      <w:r w:rsidR="002102E2">
        <w:rPr>
          <w:rFonts w:ascii="Times New Roman" w:eastAsia="Times New Roman" w:hAnsi="Times New Roman" w:cs="Times New Roman"/>
          <w:sz w:val="24"/>
          <w:szCs w:val="24"/>
        </w:rPr>
        <w:t xml:space="preserve"> were averaged </w:t>
      </w:r>
      <w:r w:rsidR="00F31E48" w:rsidRPr="00F31E48">
        <w:rPr>
          <w:rFonts w:ascii="Times New Roman" w:eastAsia="Times New Roman" w:hAnsi="Times New Roman" w:cs="Times New Roman"/>
          <w:sz w:val="24"/>
          <w:szCs w:val="24"/>
        </w:rPr>
        <w:t>to represent root-zone contamination and subsequently used in the vegetation-based ecological risk assessment</w:t>
      </w:r>
      <w:r w:rsidR="002102E2">
        <w:rPr>
          <w:rFonts w:ascii="Times New Roman" w:eastAsia="Times New Roman" w:hAnsi="Times New Roman" w:cs="Times New Roman"/>
          <w:sz w:val="24"/>
          <w:szCs w:val="24"/>
        </w:rPr>
        <w:t>.</w:t>
      </w:r>
    </w:p>
    <w:p w:rsidR="003703F5" w:rsidRPr="00F57579" w:rsidRDefault="003703F5" w:rsidP="00C8499F">
      <w:pPr>
        <w:spacing w:before="100" w:beforeAutospacing="1" w:after="100" w:afterAutospacing="1" w:line="360" w:lineRule="auto"/>
        <w:jc w:val="both"/>
        <w:rPr>
          <w:rFonts w:ascii="Times New Roman" w:eastAsia="Times New Roman" w:hAnsi="Times New Roman" w:cs="Times New Roman"/>
          <w:b/>
          <w:sz w:val="24"/>
          <w:szCs w:val="24"/>
        </w:rPr>
      </w:pPr>
      <w:r w:rsidRPr="00F57579">
        <w:rPr>
          <w:rFonts w:ascii="Times New Roman" w:eastAsia="Times New Roman" w:hAnsi="Times New Roman" w:cs="Times New Roman"/>
          <w:b/>
          <w:sz w:val="24"/>
          <w:szCs w:val="24"/>
        </w:rPr>
        <w:t xml:space="preserve">Supplementary </w:t>
      </w:r>
      <w:r>
        <w:rPr>
          <w:rFonts w:ascii="Times New Roman" w:eastAsia="Times New Roman" w:hAnsi="Times New Roman" w:cs="Times New Roman"/>
          <w:b/>
          <w:sz w:val="24"/>
          <w:szCs w:val="24"/>
        </w:rPr>
        <w:t>Material 2</w:t>
      </w:r>
    </w:p>
    <w:p w:rsidR="00C6701C" w:rsidRDefault="008B3C09" w:rsidP="00C8499F">
      <w:pPr>
        <w:pStyle w:val="Heading1"/>
        <w:keepLines w:val="0"/>
        <w:spacing w:before="360" w:after="60"/>
        <w:ind w:right="567"/>
        <w:contextualSpacing/>
        <w:jc w:val="left"/>
        <w:rPr>
          <w:sz w:val="24"/>
          <w:szCs w:val="26"/>
        </w:rPr>
      </w:pPr>
      <w:r>
        <w:rPr>
          <w:sz w:val="24"/>
          <w:szCs w:val="26"/>
        </w:rPr>
        <w:t>Environmental p</w:t>
      </w:r>
      <w:r w:rsidR="00C6701C" w:rsidRPr="00C6701C">
        <w:rPr>
          <w:sz w:val="24"/>
          <w:szCs w:val="26"/>
        </w:rPr>
        <w:t>arameter</w:t>
      </w:r>
      <w:r>
        <w:rPr>
          <w:sz w:val="24"/>
          <w:szCs w:val="26"/>
        </w:rPr>
        <w:t>s</w:t>
      </w:r>
      <w:r w:rsidR="00C6701C" w:rsidRPr="00C6701C">
        <w:rPr>
          <w:sz w:val="24"/>
          <w:szCs w:val="26"/>
        </w:rPr>
        <w:t xml:space="preserve"> grouping</w:t>
      </w:r>
      <w:r w:rsidR="00C6701C">
        <w:rPr>
          <w:sz w:val="24"/>
          <w:szCs w:val="26"/>
        </w:rPr>
        <w:t xml:space="preserve"> using m</w:t>
      </w:r>
      <w:r w:rsidR="00C6701C" w:rsidRPr="00C6701C">
        <w:rPr>
          <w:sz w:val="24"/>
          <w:szCs w:val="26"/>
        </w:rPr>
        <w:t>ultivariate</w:t>
      </w:r>
      <w:r w:rsidR="00C6701C">
        <w:rPr>
          <w:sz w:val="24"/>
          <w:szCs w:val="26"/>
        </w:rPr>
        <w:t xml:space="preserve"> analysis</w:t>
      </w:r>
    </w:p>
    <w:p w:rsidR="008B3C09" w:rsidRDefault="005B6C60"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bookmarkStart w:id="3" w:name="_Hlk220623572"/>
      <w:r w:rsidRPr="005B6C60">
        <w:rPr>
          <w:rFonts w:ascii="Times New Roman" w:eastAsia="Times New Roman" w:hAnsi="Times New Roman" w:cs="Times New Roman"/>
          <w:sz w:val="24"/>
          <w:szCs w:val="24"/>
        </w:rPr>
        <w:t>This section describes the grouping of environmental parameters into the SCI, EPI, and VRV components as defined in Section 2.2.</w:t>
      </w:r>
      <w:r w:rsidR="008B3C09">
        <w:rPr>
          <w:rFonts w:ascii="Times New Roman" w:eastAsia="Times New Roman" w:hAnsi="Times New Roman" w:cs="Times New Roman"/>
          <w:sz w:val="24"/>
          <w:szCs w:val="24"/>
        </w:rPr>
        <w:t xml:space="preserve"> </w:t>
      </w:r>
    </w:p>
    <w:bookmarkEnd w:id="3"/>
    <w:p w:rsidR="00C6701C" w:rsidRPr="00C6701C" w:rsidRDefault="00C6701C" w:rsidP="00FE281C">
      <w:pPr>
        <w:spacing w:before="100" w:beforeAutospacing="1" w:after="100" w:afterAutospacing="1" w:line="360" w:lineRule="auto"/>
        <w:ind w:firstLine="360"/>
        <w:jc w:val="both"/>
        <w:rPr>
          <w:rFonts w:ascii="Times New Roman" w:eastAsia="Times New Roman" w:hAnsi="Times New Roman" w:cs="Times New Roman"/>
          <w:sz w:val="24"/>
          <w:szCs w:val="24"/>
        </w:rPr>
      </w:pPr>
      <w:r w:rsidRPr="00FA3A4E">
        <w:rPr>
          <w:rFonts w:ascii="Times New Roman" w:eastAsia="Times New Roman" w:hAnsi="Times New Roman" w:cs="Times New Roman"/>
          <w:sz w:val="24"/>
          <w:szCs w:val="24"/>
        </w:rPr>
        <w:t xml:space="preserve">To objectively group environmental parameters into the SCI, EPI, and VRV components, principal component analysis (PCA) was applied to the normalized datasets. Parameter grouping was </w:t>
      </w:r>
      <w:r>
        <w:rPr>
          <w:rFonts w:ascii="Times New Roman" w:eastAsia="Times New Roman" w:hAnsi="Times New Roman" w:cs="Times New Roman"/>
          <w:sz w:val="24"/>
          <w:szCs w:val="24"/>
        </w:rPr>
        <w:t xml:space="preserve">performed </w:t>
      </w:r>
      <w:r w:rsidRPr="00FA3A4E">
        <w:rPr>
          <w:rFonts w:ascii="Times New Roman" w:eastAsia="Times New Roman" w:hAnsi="Times New Roman" w:cs="Times New Roman"/>
          <w:sz w:val="24"/>
          <w:szCs w:val="24"/>
        </w:rPr>
        <w:t xml:space="preserve">based on dominant </w:t>
      </w:r>
      <w:r>
        <w:rPr>
          <w:rFonts w:ascii="Times New Roman" w:eastAsia="Times New Roman" w:hAnsi="Times New Roman" w:cs="Times New Roman"/>
          <w:sz w:val="24"/>
          <w:szCs w:val="24"/>
        </w:rPr>
        <w:t xml:space="preserve">component </w:t>
      </w:r>
      <w:r w:rsidRPr="00FA3A4E">
        <w:rPr>
          <w:rFonts w:ascii="Times New Roman" w:eastAsia="Times New Roman" w:hAnsi="Times New Roman" w:cs="Times New Roman"/>
          <w:sz w:val="24"/>
          <w:szCs w:val="24"/>
        </w:rPr>
        <w:t>loading and ecological relevance</w:t>
      </w:r>
      <w:r>
        <w:rPr>
          <w:rFonts w:ascii="Times New Roman" w:eastAsia="Times New Roman" w:hAnsi="Times New Roman" w:cs="Times New Roman"/>
          <w:sz w:val="24"/>
          <w:szCs w:val="24"/>
        </w:rPr>
        <w:t xml:space="preserve"> within the source-pathway-receptor framework</w:t>
      </w:r>
      <w:r w:rsidRPr="00FA3A4E">
        <w:rPr>
          <w:rFonts w:ascii="Times New Roman" w:eastAsia="Times New Roman" w:hAnsi="Times New Roman" w:cs="Times New Roman"/>
          <w:sz w:val="24"/>
          <w:szCs w:val="24"/>
        </w:rPr>
        <w:t>. The extracted component scores</w:t>
      </w:r>
      <w:r>
        <w:rPr>
          <w:rFonts w:ascii="Times New Roman" w:eastAsia="Times New Roman" w:hAnsi="Times New Roman" w:cs="Times New Roman"/>
          <w:sz w:val="24"/>
          <w:szCs w:val="24"/>
        </w:rPr>
        <w:t xml:space="preserve"> </w:t>
      </w:r>
      <w:r w:rsidRPr="00FA3A4E">
        <w:rPr>
          <w:rFonts w:ascii="Times New Roman" w:eastAsia="Times New Roman" w:hAnsi="Times New Roman" w:cs="Times New Roman"/>
          <w:sz w:val="24"/>
          <w:szCs w:val="24"/>
        </w:rPr>
        <w:t xml:space="preserve">were subsequently weighted using the entropy weighting method to quantify </w:t>
      </w:r>
      <w:r>
        <w:rPr>
          <w:rFonts w:ascii="Times New Roman" w:eastAsia="Times New Roman" w:hAnsi="Times New Roman" w:cs="Times New Roman"/>
          <w:sz w:val="24"/>
          <w:szCs w:val="24"/>
        </w:rPr>
        <w:t>the</w:t>
      </w:r>
      <w:r w:rsidRPr="00FA3A4E">
        <w:rPr>
          <w:rFonts w:ascii="Times New Roman" w:eastAsia="Times New Roman" w:hAnsi="Times New Roman" w:cs="Times New Roman"/>
          <w:sz w:val="24"/>
          <w:szCs w:val="24"/>
        </w:rPr>
        <w:t xml:space="preserve"> relative contribution</w:t>
      </w:r>
      <w:r>
        <w:rPr>
          <w:rFonts w:ascii="Times New Roman" w:eastAsia="Times New Roman" w:hAnsi="Times New Roman" w:cs="Times New Roman"/>
          <w:sz w:val="24"/>
          <w:szCs w:val="24"/>
        </w:rPr>
        <w:t xml:space="preserve"> of each indicator</w:t>
      </w:r>
      <w:r w:rsidRPr="00FA3A4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Spatial clustering of CSI, EPI, and VRV was </w:t>
      </w:r>
      <w:r w:rsidRPr="00CB5C57">
        <w:rPr>
          <w:rFonts w:ascii="Times New Roman" w:eastAsia="Times New Roman" w:hAnsi="Times New Roman" w:cs="Times New Roman"/>
          <w:sz w:val="24"/>
          <w:szCs w:val="24"/>
        </w:rPr>
        <w:t>further examined using Moran’s I spatial autocorrelation analysis</w:t>
      </w:r>
      <w:r w:rsidRPr="00FA3A4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C6701C">
        <w:rPr>
          <w:rFonts w:ascii="Times New Roman" w:eastAsia="Times New Roman" w:hAnsi="Times New Roman" w:cs="Times New Roman"/>
          <w:sz w:val="24"/>
          <w:szCs w:val="24"/>
        </w:rPr>
        <w:t>Fig</w:t>
      </w:r>
      <w:r w:rsidR="00FE281C">
        <w:rPr>
          <w:rFonts w:ascii="Times New Roman" w:eastAsia="Times New Roman" w:hAnsi="Times New Roman" w:cs="Times New Roman"/>
          <w:sz w:val="24"/>
          <w:szCs w:val="24"/>
        </w:rPr>
        <w:t>. S1 (a)</w:t>
      </w:r>
      <w:r w:rsidRPr="00C6701C">
        <w:rPr>
          <w:rFonts w:ascii="Times New Roman" w:eastAsia="Times New Roman" w:hAnsi="Times New Roman" w:cs="Times New Roman"/>
          <w:sz w:val="24"/>
          <w:szCs w:val="24"/>
        </w:rPr>
        <w:t xml:space="preserve"> </w:t>
      </w:r>
      <w:r w:rsidR="005B6C60">
        <w:rPr>
          <w:rFonts w:ascii="Times New Roman" w:eastAsia="Times New Roman" w:hAnsi="Times New Roman" w:cs="Times New Roman"/>
          <w:sz w:val="24"/>
          <w:szCs w:val="24"/>
        </w:rPr>
        <w:t>presents the</w:t>
      </w:r>
      <w:r w:rsidRPr="00C6701C">
        <w:rPr>
          <w:rFonts w:ascii="Times New Roman" w:eastAsia="Times New Roman" w:hAnsi="Times New Roman" w:cs="Times New Roman"/>
          <w:sz w:val="24"/>
          <w:szCs w:val="24"/>
        </w:rPr>
        <w:t xml:space="preserve"> </w:t>
      </w:r>
      <w:r w:rsidR="00066B2C">
        <w:rPr>
          <w:rFonts w:ascii="Times New Roman" w:eastAsia="Times New Roman" w:hAnsi="Times New Roman" w:cs="Times New Roman"/>
          <w:sz w:val="24"/>
          <w:szCs w:val="24"/>
        </w:rPr>
        <w:t>PCA result</w:t>
      </w:r>
      <w:r w:rsidR="00EA1154">
        <w:rPr>
          <w:rFonts w:ascii="Times New Roman" w:eastAsia="Times New Roman" w:hAnsi="Times New Roman" w:cs="Times New Roman"/>
          <w:sz w:val="24"/>
          <w:szCs w:val="24"/>
        </w:rPr>
        <w:t>, where</w:t>
      </w:r>
      <w:r w:rsidR="00066B2C">
        <w:rPr>
          <w:rFonts w:ascii="Times New Roman" w:eastAsia="Times New Roman" w:hAnsi="Times New Roman" w:cs="Times New Roman"/>
          <w:sz w:val="24"/>
          <w:szCs w:val="24"/>
        </w:rPr>
        <w:t xml:space="preserve"> </w:t>
      </w:r>
      <w:r w:rsidR="003E5E50">
        <w:rPr>
          <w:rFonts w:ascii="Times New Roman" w:eastAsia="Times New Roman" w:hAnsi="Times New Roman" w:cs="Times New Roman"/>
          <w:sz w:val="24"/>
          <w:szCs w:val="24"/>
        </w:rPr>
        <w:t xml:space="preserve">the </w:t>
      </w:r>
      <w:r w:rsidRPr="00C6701C">
        <w:rPr>
          <w:rFonts w:ascii="Times New Roman" w:eastAsia="Times New Roman" w:hAnsi="Times New Roman" w:cs="Times New Roman"/>
          <w:sz w:val="24"/>
          <w:szCs w:val="24"/>
        </w:rPr>
        <w:t>first two components explain 25.38%</w:t>
      </w:r>
      <w:r w:rsidR="00C8499F">
        <w:rPr>
          <w:rFonts w:ascii="Times New Roman" w:eastAsia="Times New Roman" w:hAnsi="Times New Roman" w:cs="Times New Roman"/>
          <w:sz w:val="24"/>
          <w:szCs w:val="24"/>
        </w:rPr>
        <w:t xml:space="preserve"> and </w:t>
      </w:r>
      <w:r w:rsidRPr="00C6701C">
        <w:rPr>
          <w:rFonts w:ascii="Times New Roman" w:eastAsia="Times New Roman" w:hAnsi="Times New Roman" w:cs="Times New Roman"/>
          <w:sz w:val="24"/>
          <w:szCs w:val="24"/>
        </w:rPr>
        <w:lastRenderedPageBreak/>
        <w:t>17.49%</w:t>
      </w:r>
      <w:r w:rsidR="00C8499F">
        <w:rPr>
          <w:rFonts w:ascii="Times New Roman" w:eastAsia="Times New Roman" w:hAnsi="Times New Roman" w:cs="Times New Roman"/>
          <w:sz w:val="24"/>
          <w:szCs w:val="24"/>
        </w:rPr>
        <w:t xml:space="preserve"> </w:t>
      </w:r>
      <w:r w:rsidR="00C8499F" w:rsidRPr="00C6701C">
        <w:rPr>
          <w:rFonts w:ascii="Times New Roman" w:eastAsia="Times New Roman" w:hAnsi="Times New Roman" w:cs="Times New Roman"/>
          <w:sz w:val="24"/>
          <w:szCs w:val="24"/>
        </w:rPr>
        <w:t xml:space="preserve">of </w:t>
      </w:r>
      <w:r w:rsidR="00C8499F">
        <w:rPr>
          <w:rFonts w:ascii="Times New Roman" w:eastAsia="Times New Roman" w:hAnsi="Times New Roman" w:cs="Times New Roman"/>
          <w:sz w:val="24"/>
          <w:szCs w:val="24"/>
        </w:rPr>
        <w:t xml:space="preserve">the </w:t>
      </w:r>
      <w:r w:rsidR="00C8499F" w:rsidRPr="00C6701C">
        <w:rPr>
          <w:rFonts w:ascii="Times New Roman" w:eastAsia="Times New Roman" w:hAnsi="Times New Roman" w:cs="Times New Roman"/>
          <w:sz w:val="24"/>
          <w:szCs w:val="24"/>
        </w:rPr>
        <w:t>total variance</w:t>
      </w:r>
      <w:r w:rsidR="00066B2C">
        <w:rPr>
          <w:rFonts w:ascii="Times New Roman" w:eastAsia="Times New Roman" w:hAnsi="Times New Roman" w:cs="Times New Roman"/>
          <w:sz w:val="24"/>
          <w:szCs w:val="24"/>
        </w:rPr>
        <w:t xml:space="preserve">. </w:t>
      </w:r>
      <w:r w:rsidR="00EA1154" w:rsidRPr="00EA1154">
        <w:rPr>
          <w:rFonts w:ascii="Times New Roman" w:eastAsia="Times New Roman" w:hAnsi="Times New Roman" w:cs="Times New Roman"/>
          <w:sz w:val="24"/>
          <w:szCs w:val="24"/>
        </w:rPr>
        <w:t>This level of explained variance is considered acceptable for high-dimensional environmental datasets (Jin et al., 2019). Parameters representing surface contamination (Cr, Ni, As, Cd, Hg, Pb, BU, WL, WB, IndDen, and DistIndus) showed strong positive loadings on PC1 (Fig. S</w:t>
      </w:r>
      <w:r w:rsidR="003E5E50">
        <w:rPr>
          <w:rFonts w:ascii="Times New Roman" w:eastAsia="Times New Roman" w:hAnsi="Times New Roman" w:cs="Times New Roman"/>
          <w:sz w:val="24"/>
          <w:szCs w:val="24"/>
        </w:rPr>
        <w:t>1</w:t>
      </w:r>
      <w:r w:rsidR="00EA1154" w:rsidRPr="00EA1154">
        <w:rPr>
          <w:rFonts w:ascii="Times New Roman" w:eastAsia="Times New Roman" w:hAnsi="Times New Roman" w:cs="Times New Roman"/>
          <w:sz w:val="24"/>
          <w:szCs w:val="24"/>
        </w:rPr>
        <w:t>b). These variables collectively represent contamination derived from anthropogenic activities and were therefore classified as Surface Hazard (SH</w:t>
      </w:r>
      <w:r w:rsidR="008B74E5">
        <w:rPr>
          <w:rFonts w:ascii="Times New Roman" w:eastAsia="Times New Roman" w:hAnsi="Times New Roman" w:cs="Times New Roman"/>
          <w:sz w:val="24"/>
          <w:szCs w:val="24"/>
        </w:rPr>
        <w:t xml:space="preserve">). </w:t>
      </w:r>
      <w:r w:rsidR="00EA1154" w:rsidRPr="00EA1154">
        <w:rPr>
          <w:rFonts w:ascii="Times New Roman" w:eastAsia="Times New Roman" w:hAnsi="Times New Roman" w:cs="Times New Roman"/>
          <w:sz w:val="24"/>
          <w:szCs w:val="24"/>
        </w:rPr>
        <w:t xml:space="preserve">Heavy metals in soil exhibited moderate contributions to both PC1 and PC2, whereas soil texture variables displayed the strongest absolute loadings on PC2. This pattern delineates the Subsurface Hazard (SSH) </w:t>
      </w:r>
      <w:r w:rsidR="00EA1154">
        <w:rPr>
          <w:rFonts w:ascii="Times New Roman" w:eastAsia="Times New Roman" w:hAnsi="Times New Roman" w:cs="Times New Roman"/>
          <w:sz w:val="24"/>
          <w:szCs w:val="24"/>
        </w:rPr>
        <w:t>indicator</w:t>
      </w:r>
      <w:r w:rsidR="00C8499F">
        <w:rPr>
          <w:rFonts w:ascii="Times New Roman" w:eastAsia="Times New Roman" w:hAnsi="Times New Roman" w:cs="Times New Roman"/>
          <w:sz w:val="24"/>
          <w:szCs w:val="24"/>
        </w:rPr>
        <w:t>.</w:t>
      </w:r>
      <w:r w:rsidRPr="00C6701C">
        <w:rPr>
          <w:rFonts w:ascii="Times New Roman" w:eastAsia="Times New Roman" w:hAnsi="Times New Roman" w:cs="Times New Roman"/>
          <w:sz w:val="24"/>
          <w:szCs w:val="24"/>
        </w:rPr>
        <w:t xml:space="preserve"> </w:t>
      </w:r>
      <w:r w:rsidR="008B74E5" w:rsidRPr="008B74E5">
        <w:rPr>
          <w:rFonts w:ascii="Times New Roman" w:eastAsia="Times New Roman" w:hAnsi="Times New Roman" w:cs="Times New Roman"/>
          <w:sz w:val="24"/>
          <w:szCs w:val="24"/>
        </w:rPr>
        <w:t>Flow-related parameters, including terrain slope, ET, SURQ, and irrigation intensity, were predominantly aligned with PC2, supporting their classification as Surface Hydrological Forcing (SHF). Similarly, subsurface hydrological variables such as ET, PERC, and WYLD loaded mainly on PC2 and were assigned to Subsurface Hydrological Forcing (SSHF)</w:t>
      </w:r>
      <w:r w:rsidRPr="00C6701C">
        <w:rPr>
          <w:rFonts w:ascii="Times New Roman" w:eastAsia="Times New Roman" w:hAnsi="Times New Roman" w:cs="Times New Roman"/>
          <w:sz w:val="24"/>
          <w:szCs w:val="24"/>
        </w:rPr>
        <w:t xml:space="preserve">. </w:t>
      </w:r>
      <w:r w:rsidR="008B74E5" w:rsidRPr="008B74E5">
        <w:rPr>
          <w:rFonts w:ascii="Times New Roman" w:eastAsia="Times New Roman" w:hAnsi="Times New Roman" w:cs="Times New Roman"/>
          <w:sz w:val="24"/>
          <w:szCs w:val="24"/>
        </w:rPr>
        <w:t>Vegetation variables (Fig. S</w:t>
      </w:r>
      <w:r w:rsidR="003E5E50">
        <w:rPr>
          <w:rFonts w:ascii="Times New Roman" w:eastAsia="Times New Roman" w:hAnsi="Times New Roman" w:cs="Times New Roman"/>
          <w:sz w:val="24"/>
          <w:szCs w:val="24"/>
        </w:rPr>
        <w:t>1</w:t>
      </w:r>
      <w:r w:rsidR="008B74E5" w:rsidRPr="008B74E5">
        <w:rPr>
          <w:rFonts w:ascii="Times New Roman" w:eastAsia="Times New Roman" w:hAnsi="Times New Roman" w:cs="Times New Roman"/>
          <w:sz w:val="24"/>
          <w:szCs w:val="24"/>
        </w:rPr>
        <w:t>c) were distributed according to seasonal and root-specific characteristics. Seasonal vegetation indicators (Kharif, Rabi, Zaid, and double/triple cropping) exhibited loadings ranging from −0.069 to 0.242 on PC1 and 0.029 to 0.234 on PC2. In contrast, perennial vegetation types (forest, grassland, and plantation) showed loadings between 0.0497</w:t>
      </w:r>
      <w:r w:rsidR="008B74E5">
        <w:rPr>
          <w:rFonts w:ascii="Times New Roman" w:eastAsia="Times New Roman" w:hAnsi="Times New Roman" w:cs="Times New Roman"/>
          <w:sz w:val="24"/>
          <w:szCs w:val="24"/>
        </w:rPr>
        <w:t>-</w:t>
      </w:r>
      <w:r w:rsidR="008B74E5" w:rsidRPr="008B74E5">
        <w:rPr>
          <w:rFonts w:ascii="Times New Roman" w:eastAsia="Times New Roman" w:hAnsi="Times New Roman" w:cs="Times New Roman"/>
          <w:sz w:val="24"/>
          <w:szCs w:val="24"/>
        </w:rPr>
        <w:t>0.2343 on PC1 and 0.1485</w:t>
      </w:r>
      <w:r w:rsidR="008B74E5">
        <w:rPr>
          <w:rFonts w:ascii="Times New Roman" w:eastAsia="Times New Roman" w:hAnsi="Times New Roman" w:cs="Times New Roman"/>
          <w:sz w:val="24"/>
          <w:szCs w:val="24"/>
        </w:rPr>
        <w:t>-</w:t>
      </w:r>
      <w:r w:rsidR="008B74E5" w:rsidRPr="008B74E5">
        <w:rPr>
          <w:rFonts w:ascii="Times New Roman" w:eastAsia="Times New Roman" w:hAnsi="Times New Roman" w:cs="Times New Roman"/>
          <w:sz w:val="24"/>
          <w:szCs w:val="24"/>
        </w:rPr>
        <w:t>0.1723 on PC2. These loading patterns supported the classification of vegetation into seasonal and root-specific vegetation groups</w:t>
      </w:r>
      <w:r w:rsidRPr="00C6701C">
        <w:rPr>
          <w:rFonts w:ascii="Times New Roman" w:eastAsia="Times New Roman" w:hAnsi="Times New Roman" w:cs="Times New Roman"/>
          <w:sz w:val="24"/>
          <w:szCs w:val="24"/>
        </w:rPr>
        <w:t>.</w:t>
      </w:r>
    </w:p>
    <w:p w:rsidR="00C6701C" w:rsidRPr="003703F5" w:rsidRDefault="00505A53"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groped parameters obtained</w:t>
      </w:r>
      <w:r w:rsidRPr="00C6701C">
        <w:rPr>
          <w:rFonts w:ascii="Times New Roman" w:eastAsia="Times New Roman" w:hAnsi="Times New Roman" w:cs="Times New Roman"/>
          <w:sz w:val="24"/>
          <w:szCs w:val="24"/>
        </w:rPr>
        <w:t xml:space="preserve"> from PC1 and PC2 </w:t>
      </w:r>
      <w:r w:rsidR="008B74E5" w:rsidRPr="008B74E5">
        <w:rPr>
          <w:rFonts w:ascii="Times New Roman" w:eastAsia="Times New Roman" w:hAnsi="Times New Roman" w:cs="Times New Roman"/>
          <w:sz w:val="24"/>
          <w:szCs w:val="24"/>
        </w:rPr>
        <w:t>were subsequently evaluated using Global Moran’s I to assess spatial clustering across the 35 sub-basins of the HRB. Fig</w:t>
      </w:r>
      <w:r w:rsidR="003E5E50">
        <w:rPr>
          <w:rFonts w:ascii="Times New Roman" w:eastAsia="Times New Roman" w:hAnsi="Times New Roman" w:cs="Times New Roman"/>
          <w:sz w:val="24"/>
          <w:szCs w:val="24"/>
        </w:rPr>
        <w:t>s.</w:t>
      </w:r>
      <w:r w:rsidR="008B74E5" w:rsidRPr="008B74E5">
        <w:rPr>
          <w:rFonts w:ascii="Times New Roman" w:eastAsia="Times New Roman" w:hAnsi="Times New Roman" w:cs="Times New Roman"/>
          <w:sz w:val="24"/>
          <w:szCs w:val="24"/>
        </w:rPr>
        <w:t xml:space="preserve"> S</w:t>
      </w:r>
      <w:r w:rsidR="003E5E50">
        <w:rPr>
          <w:rFonts w:ascii="Times New Roman" w:eastAsia="Times New Roman" w:hAnsi="Times New Roman" w:cs="Times New Roman"/>
          <w:sz w:val="24"/>
          <w:szCs w:val="24"/>
        </w:rPr>
        <w:t>2</w:t>
      </w:r>
      <w:r w:rsidR="008B74E5" w:rsidRPr="008B74E5">
        <w:rPr>
          <w:rFonts w:ascii="Times New Roman" w:eastAsia="Times New Roman" w:hAnsi="Times New Roman" w:cs="Times New Roman"/>
          <w:sz w:val="24"/>
          <w:szCs w:val="24"/>
        </w:rPr>
        <w:t xml:space="preserve">(a,b) </w:t>
      </w:r>
      <w:r w:rsidR="003E5E50">
        <w:rPr>
          <w:rFonts w:ascii="Times New Roman" w:eastAsia="Times New Roman" w:hAnsi="Times New Roman" w:cs="Times New Roman"/>
          <w:sz w:val="24"/>
          <w:szCs w:val="24"/>
        </w:rPr>
        <w:t>illustrates</w:t>
      </w:r>
      <w:r w:rsidR="008B74E5" w:rsidRPr="008B74E5">
        <w:rPr>
          <w:rFonts w:ascii="Times New Roman" w:eastAsia="Times New Roman" w:hAnsi="Times New Roman" w:cs="Times New Roman"/>
          <w:sz w:val="24"/>
          <w:szCs w:val="24"/>
        </w:rPr>
        <w:t xml:space="preserve"> the spatial autocorrelation patterns for surface hazard (SH) and subsurface hazard (SSH)</w:t>
      </w:r>
      <w:r w:rsidR="00C6701C" w:rsidRPr="00C6701C">
        <w:rPr>
          <w:rFonts w:ascii="Times New Roman" w:eastAsia="Times New Roman" w:hAnsi="Times New Roman" w:cs="Times New Roman"/>
          <w:sz w:val="24"/>
          <w:szCs w:val="24"/>
        </w:rPr>
        <w:t>.</w:t>
      </w:r>
      <w:r w:rsidR="007077D9">
        <w:rPr>
          <w:rFonts w:ascii="Times New Roman" w:eastAsia="Times New Roman" w:hAnsi="Times New Roman" w:cs="Times New Roman"/>
          <w:sz w:val="24"/>
          <w:szCs w:val="24"/>
        </w:rPr>
        <w:t xml:space="preserve"> High </w:t>
      </w:r>
      <w:r w:rsidR="007077D9" w:rsidRPr="00C6701C">
        <w:rPr>
          <w:rFonts w:ascii="Times New Roman" w:eastAsia="Times New Roman" w:hAnsi="Times New Roman" w:cs="Times New Roman"/>
          <w:sz w:val="24"/>
          <w:szCs w:val="24"/>
        </w:rPr>
        <w:t xml:space="preserve">positive spatial autocorrelation </w:t>
      </w:r>
      <w:r w:rsidR="008B74E5">
        <w:rPr>
          <w:rFonts w:ascii="Times New Roman" w:eastAsia="Times New Roman" w:hAnsi="Times New Roman" w:cs="Times New Roman"/>
          <w:sz w:val="24"/>
          <w:szCs w:val="24"/>
        </w:rPr>
        <w:t>was observed during</w:t>
      </w:r>
      <w:r w:rsidR="007077D9" w:rsidRPr="00C6701C">
        <w:rPr>
          <w:rFonts w:ascii="Times New Roman" w:eastAsia="Times New Roman" w:hAnsi="Times New Roman" w:cs="Times New Roman"/>
          <w:sz w:val="24"/>
          <w:szCs w:val="24"/>
        </w:rPr>
        <w:t xml:space="preserve"> both seasons (pre</w:t>
      </w:r>
      <w:r w:rsidR="007077D9">
        <w:rPr>
          <w:rFonts w:ascii="Times New Roman" w:eastAsia="Times New Roman" w:hAnsi="Times New Roman" w:cs="Times New Roman"/>
          <w:sz w:val="24"/>
          <w:szCs w:val="24"/>
        </w:rPr>
        <w:t>-</w:t>
      </w:r>
      <w:r w:rsidR="007077D9" w:rsidRPr="00C6701C">
        <w:rPr>
          <w:rFonts w:ascii="Times New Roman" w:eastAsia="Times New Roman" w:hAnsi="Times New Roman" w:cs="Times New Roman"/>
          <w:sz w:val="24"/>
          <w:szCs w:val="24"/>
        </w:rPr>
        <w:t xml:space="preserve">monsoon: I = 0.245, z = 3.30, p &lt; 0.001; </w:t>
      </w:r>
      <w:r w:rsidR="007077D9">
        <w:rPr>
          <w:rFonts w:ascii="Times New Roman" w:eastAsia="Times New Roman" w:hAnsi="Times New Roman" w:cs="Times New Roman"/>
          <w:sz w:val="24"/>
          <w:szCs w:val="24"/>
        </w:rPr>
        <w:t>post-monsoon</w:t>
      </w:r>
      <w:r w:rsidR="007077D9" w:rsidRPr="00C6701C">
        <w:rPr>
          <w:rFonts w:ascii="Times New Roman" w:eastAsia="Times New Roman" w:hAnsi="Times New Roman" w:cs="Times New Roman"/>
          <w:sz w:val="24"/>
          <w:szCs w:val="24"/>
        </w:rPr>
        <w:t>: I = 0.181, z = 2.86, p = 0.004)</w:t>
      </w:r>
      <w:r w:rsidR="008B74E5">
        <w:rPr>
          <w:rFonts w:ascii="Times New Roman" w:eastAsia="Times New Roman" w:hAnsi="Times New Roman" w:cs="Times New Roman"/>
          <w:sz w:val="24"/>
          <w:szCs w:val="24"/>
        </w:rPr>
        <w:t>. This</w:t>
      </w:r>
      <w:r w:rsidR="007077D9">
        <w:rPr>
          <w:rFonts w:ascii="Times New Roman" w:eastAsia="Times New Roman" w:hAnsi="Times New Roman" w:cs="Times New Roman"/>
          <w:sz w:val="24"/>
          <w:szCs w:val="24"/>
        </w:rPr>
        <w:t xml:space="preserve"> </w:t>
      </w:r>
      <w:r w:rsidR="008B74E5">
        <w:rPr>
          <w:rFonts w:ascii="Times New Roman" w:eastAsia="Times New Roman" w:hAnsi="Times New Roman" w:cs="Times New Roman"/>
          <w:sz w:val="24"/>
          <w:szCs w:val="24"/>
        </w:rPr>
        <w:t>indicates</w:t>
      </w:r>
      <w:r>
        <w:rPr>
          <w:rFonts w:ascii="Times New Roman" w:eastAsia="Times New Roman" w:hAnsi="Times New Roman" w:cs="Times New Roman"/>
          <w:sz w:val="24"/>
          <w:szCs w:val="24"/>
        </w:rPr>
        <w:t xml:space="preserve"> </w:t>
      </w:r>
      <w:r w:rsidR="008B74E5">
        <w:rPr>
          <w:rFonts w:ascii="Times New Roman" w:eastAsia="Times New Roman" w:hAnsi="Times New Roman" w:cs="Times New Roman"/>
          <w:sz w:val="24"/>
          <w:szCs w:val="24"/>
        </w:rPr>
        <w:t>geographically</w:t>
      </w:r>
      <w:r w:rsidR="007077D9" w:rsidRPr="00C6701C">
        <w:rPr>
          <w:rFonts w:ascii="Times New Roman" w:eastAsia="Times New Roman" w:hAnsi="Times New Roman" w:cs="Times New Roman"/>
          <w:sz w:val="24"/>
          <w:szCs w:val="24"/>
        </w:rPr>
        <w:t xml:space="preserve"> contiguous sub</w:t>
      </w:r>
      <w:r w:rsidR="007077D9">
        <w:rPr>
          <w:rFonts w:ascii="Times New Roman" w:eastAsia="Times New Roman" w:hAnsi="Times New Roman" w:cs="Times New Roman"/>
          <w:sz w:val="24"/>
          <w:szCs w:val="24"/>
        </w:rPr>
        <w:t>-</w:t>
      </w:r>
      <w:r w:rsidR="007077D9" w:rsidRPr="00C6701C">
        <w:rPr>
          <w:rFonts w:ascii="Times New Roman" w:eastAsia="Times New Roman" w:hAnsi="Times New Roman" w:cs="Times New Roman"/>
          <w:sz w:val="24"/>
          <w:szCs w:val="24"/>
        </w:rPr>
        <w:t>basins</w:t>
      </w:r>
      <w:r w:rsidR="007077D9">
        <w:rPr>
          <w:rFonts w:ascii="Times New Roman" w:eastAsia="Times New Roman" w:hAnsi="Times New Roman" w:cs="Times New Roman"/>
          <w:sz w:val="24"/>
          <w:szCs w:val="24"/>
        </w:rPr>
        <w:t xml:space="preserve"> </w:t>
      </w:r>
      <w:r w:rsidR="00033762">
        <w:rPr>
          <w:rFonts w:ascii="Times New Roman" w:eastAsia="Times New Roman" w:hAnsi="Times New Roman" w:cs="Times New Roman"/>
          <w:sz w:val="24"/>
          <w:szCs w:val="24"/>
        </w:rPr>
        <w:t>with</w:t>
      </w:r>
      <w:r w:rsidR="007077D9">
        <w:rPr>
          <w:rFonts w:ascii="Times New Roman" w:eastAsia="Times New Roman" w:hAnsi="Times New Roman" w:cs="Times New Roman"/>
          <w:sz w:val="24"/>
          <w:szCs w:val="24"/>
        </w:rPr>
        <w:t xml:space="preserve"> </w:t>
      </w:r>
      <w:r w:rsidRPr="00C6701C">
        <w:rPr>
          <w:rFonts w:ascii="Times New Roman" w:eastAsia="Times New Roman" w:hAnsi="Times New Roman" w:cs="Times New Roman"/>
          <w:sz w:val="24"/>
          <w:szCs w:val="24"/>
        </w:rPr>
        <w:t>elevated contamination levels</w:t>
      </w:r>
      <w:r w:rsidR="007077D9">
        <w:rPr>
          <w:rFonts w:ascii="Times New Roman" w:eastAsia="Times New Roman" w:hAnsi="Times New Roman" w:cs="Times New Roman"/>
          <w:sz w:val="24"/>
          <w:szCs w:val="24"/>
        </w:rPr>
        <w:t xml:space="preserve">. </w:t>
      </w:r>
      <w:r w:rsidR="00033762" w:rsidRPr="00033762">
        <w:rPr>
          <w:rFonts w:ascii="Times New Roman" w:eastAsia="Times New Roman" w:hAnsi="Times New Roman" w:cs="Times New Roman"/>
          <w:sz w:val="24"/>
          <w:szCs w:val="24"/>
        </w:rPr>
        <w:t>Among all indicators,</w:t>
      </w:r>
      <w:r>
        <w:rPr>
          <w:rFonts w:ascii="Times New Roman" w:eastAsia="Times New Roman" w:hAnsi="Times New Roman" w:cs="Times New Roman"/>
          <w:sz w:val="24"/>
          <w:szCs w:val="24"/>
        </w:rPr>
        <w:t xml:space="preserve"> </w:t>
      </w:r>
      <w:r w:rsidR="007077D9">
        <w:rPr>
          <w:rFonts w:ascii="Times New Roman" w:eastAsia="Times New Roman" w:hAnsi="Times New Roman" w:cs="Times New Roman"/>
          <w:sz w:val="24"/>
          <w:szCs w:val="24"/>
        </w:rPr>
        <w:t>SSH</w:t>
      </w:r>
      <w:r w:rsidR="00C6701C" w:rsidRPr="00C6701C">
        <w:rPr>
          <w:rFonts w:ascii="Times New Roman" w:eastAsia="Times New Roman" w:hAnsi="Times New Roman" w:cs="Times New Roman"/>
          <w:sz w:val="24"/>
          <w:szCs w:val="24"/>
        </w:rPr>
        <w:t xml:space="preserve"> exhibited the strongest clustering among all </w:t>
      </w:r>
      <w:r w:rsidR="007077D9">
        <w:rPr>
          <w:rFonts w:ascii="Times New Roman" w:eastAsia="Times New Roman" w:hAnsi="Times New Roman" w:cs="Times New Roman"/>
          <w:sz w:val="24"/>
          <w:szCs w:val="24"/>
        </w:rPr>
        <w:t>indicators</w:t>
      </w:r>
      <w:r w:rsidR="00C6701C" w:rsidRPr="00C6701C">
        <w:rPr>
          <w:rFonts w:ascii="Times New Roman" w:eastAsia="Times New Roman" w:hAnsi="Times New Roman" w:cs="Times New Roman"/>
          <w:sz w:val="24"/>
          <w:szCs w:val="24"/>
        </w:rPr>
        <w:t xml:space="preserve"> (pre</w:t>
      </w:r>
      <w:r>
        <w:rPr>
          <w:rFonts w:ascii="Times New Roman" w:eastAsia="Times New Roman" w:hAnsi="Times New Roman" w:cs="Times New Roman"/>
          <w:sz w:val="24"/>
          <w:szCs w:val="24"/>
        </w:rPr>
        <w:t>-</w:t>
      </w:r>
      <w:r w:rsidR="00C6701C" w:rsidRPr="00C6701C">
        <w:rPr>
          <w:rFonts w:ascii="Times New Roman" w:eastAsia="Times New Roman" w:hAnsi="Times New Roman" w:cs="Times New Roman"/>
          <w:sz w:val="24"/>
          <w:szCs w:val="24"/>
        </w:rPr>
        <w:t>monsoon: I = 0.525, z = 5.37, p &lt; 0.001; post</w:t>
      </w:r>
      <w:r>
        <w:rPr>
          <w:rFonts w:ascii="Times New Roman" w:eastAsia="Times New Roman" w:hAnsi="Times New Roman" w:cs="Times New Roman"/>
          <w:sz w:val="24"/>
          <w:szCs w:val="24"/>
        </w:rPr>
        <w:t>-</w:t>
      </w:r>
      <w:r w:rsidR="00C6701C" w:rsidRPr="00C6701C">
        <w:rPr>
          <w:rFonts w:ascii="Times New Roman" w:eastAsia="Times New Roman" w:hAnsi="Times New Roman" w:cs="Times New Roman"/>
          <w:sz w:val="24"/>
          <w:szCs w:val="24"/>
        </w:rPr>
        <w:t>monsoon: I = 0.494, z = 5.07, p &lt; 0.001)</w:t>
      </w:r>
      <w:r w:rsidR="00033762">
        <w:rPr>
          <w:rFonts w:ascii="Times New Roman" w:eastAsia="Times New Roman" w:hAnsi="Times New Roman" w:cs="Times New Roman"/>
          <w:sz w:val="24"/>
          <w:szCs w:val="24"/>
        </w:rPr>
        <w:t xml:space="preserve">, </w:t>
      </w:r>
      <w:r w:rsidR="00C6701C" w:rsidRPr="00C6701C">
        <w:rPr>
          <w:rFonts w:ascii="Times New Roman" w:eastAsia="Times New Roman" w:hAnsi="Times New Roman" w:cs="Times New Roman"/>
          <w:sz w:val="24"/>
          <w:szCs w:val="24"/>
        </w:rPr>
        <w:t>consistent with soil-bound metal accumulation patterns identified in PCA.</w:t>
      </w:r>
      <w:r w:rsidR="007077D9">
        <w:rPr>
          <w:rFonts w:ascii="Times New Roman" w:eastAsia="Times New Roman" w:hAnsi="Times New Roman" w:cs="Times New Roman"/>
          <w:sz w:val="24"/>
          <w:szCs w:val="24"/>
        </w:rPr>
        <w:t xml:space="preserve"> </w:t>
      </w:r>
      <w:r w:rsidR="00033762" w:rsidRPr="00033762">
        <w:rPr>
          <w:rFonts w:ascii="Times New Roman" w:eastAsia="Times New Roman" w:hAnsi="Times New Roman" w:cs="Times New Roman"/>
          <w:sz w:val="24"/>
          <w:szCs w:val="24"/>
        </w:rPr>
        <w:t>Hydrological forcing indicators (Fig</w:t>
      </w:r>
      <w:r w:rsidR="003E5E50">
        <w:rPr>
          <w:rFonts w:ascii="Times New Roman" w:eastAsia="Times New Roman" w:hAnsi="Times New Roman" w:cs="Times New Roman"/>
          <w:sz w:val="24"/>
          <w:szCs w:val="24"/>
        </w:rPr>
        <w:t>s</w:t>
      </w:r>
      <w:r w:rsidR="00033762" w:rsidRPr="00033762">
        <w:rPr>
          <w:rFonts w:ascii="Times New Roman" w:eastAsia="Times New Roman" w:hAnsi="Times New Roman" w:cs="Times New Roman"/>
          <w:sz w:val="24"/>
          <w:szCs w:val="24"/>
        </w:rPr>
        <w:t>. S</w:t>
      </w:r>
      <w:r w:rsidR="003E5E50">
        <w:rPr>
          <w:rFonts w:ascii="Times New Roman" w:eastAsia="Times New Roman" w:hAnsi="Times New Roman" w:cs="Times New Roman"/>
          <w:sz w:val="24"/>
          <w:szCs w:val="24"/>
        </w:rPr>
        <w:t>2</w:t>
      </w:r>
      <w:r w:rsidR="00033762" w:rsidRPr="00033762">
        <w:rPr>
          <w:rFonts w:ascii="Times New Roman" w:eastAsia="Times New Roman" w:hAnsi="Times New Roman" w:cs="Times New Roman"/>
          <w:sz w:val="24"/>
          <w:szCs w:val="24"/>
        </w:rPr>
        <w:t xml:space="preserve">c,d) also demonstrated strong spatial clustering for both surface (pre-monsoon: I = 0.420, z = 4.44; post-monsoon: I = 0.403, z = 4.30; p &lt; 0.001) and subsurface components (pre-monsoon: I = 0.362, z = 3.73, p &lt; 0.001; post-monsoon: I = 0.231, z = 2.56, p = 0.010). These results reflect the spatial persistence of hydrological gradients influencing contaminant transport and mobilization. Vegetation sensitivity </w:t>
      </w:r>
      <w:r w:rsidR="00033762" w:rsidRPr="00033762">
        <w:rPr>
          <w:rFonts w:ascii="Times New Roman" w:eastAsia="Times New Roman" w:hAnsi="Times New Roman" w:cs="Times New Roman"/>
          <w:sz w:val="24"/>
          <w:szCs w:val="24"/>
        </w:rPr>
        <w:lastRenderedPageBreak/>
        <w:t>exhibited significant but comparatively weaker clustering in seasonal composites (pre-monsoon: I = 0.235, z = 2.77, p = 0.0057; post-monsoon: I = 0.090, z = 3.23, p = 0.0012). In contrast, individual vegetation groups (seasonal, shallow-root, and deep-root) showed weak or non-significant spatial autocorrelation (p &gt; 0.09), indicating greater spatial heterogeneity in vegetation distribution</w:t>
      </w:r>
      <w:r w:rsidR="00C6701C" w:rsidRPr="00C6701C">
        <w:rPr>
          <w:rFonts w:ascii="Times New Roman" w:eastAsia="Times New Roman" w:hAnsi="Times New Roman" w:cs="Times New Roman"/>
          <w:sz w:val="24"/>
          <w:szCs w:val="24"/>
        </w:rPr>
        <w:t>.</w:t>
      </w:r>
    </w:p>
    <w:p w:rsidR="003703F5" w:rsidRPr="00F57579" w:rsidRDefault="003703F5" w:rsidP="00C8499F">
      <w:pPr>
        <w:spacing w:before="100" w:beforeAutospacing="1" w:after="100" w:afterAutospacing="1" w:line="360" w:lineRule="auto"/>
        <w:jc w:val="both"/>
        <w:rPr>
          <w:rFonts w:ascii="Times New Roman" w:eastAsia="Times New Roman" w:hAnsi="Times New Roman" w:cs="Times New Roman"/>
          <w:b/>
          <w:sz w:val="24"/>
          <w:szCs w:val="24"/>
        </w:rPr>
      </w:pPr>
      <w:r w:rsidRPr="00F57579">
        <w:rPr>
          <w:rFonts w:ascii="Times New Roman" w:eastAsia="Times New Roman" w:hAnsi="Times New Roman" w:cs="Times New Roman"/>
          <w:b/>
          <w:sz w:val="24"/>
          <w:szCs w:val="24"/>
        </w:rPr>
        <w:t xml:space="preserve">Supplementary </w:t>
      </w:r>
      <w:r>
        <w:rPr>
          <w:rFonts w:ascii="Times New Roman" w:eastAsia="Times New Roman" w:hAnsi="Times New Roman" w:cs="Times New Roman"/>
          <w:b/>
          <w:sz w:val="24"/>
          <w:szCs w:val="24"/>
        </w:rPr>
        <w:t>Material 3</w:t>
      </w:r>
    </w:p>
    <w:p w:rsidR="005068FC" w:rsidRPr="008B3C09" w:rsidRDefault="00157B3E" w:rsidP="00C8499F">
      <w:pPr>
        <w:spacing w:before="100" w:beforeAutospacing="1" w:after="100" w:afterAutospacing="1" w:line="360" w:lineRule="auto"/>
        <w:jc w:val="both"/>
        <w:rPr>
          <w:rFonts w:ascii="Times New Roman" w:eastAsia="Times New Roman" w:hAnsi="Times New Roman" w:cs="Times New Roman"/>
          <w:b/>
          <w:sz w:val="24"/>
          <w:szCs w:val="24"/>
        </w:rPr>
      </w:pPr>
      <w:r w:rsidRPr="008B3C09">
        <w:rPr>
          <w:rFonts w:ascii="Times New Roman" w:eastAsia="Times New Roman" w:hAnsi="Times New Roman" w:cs="Times New Roman"/>
          <w:b/>
          <w:sz w:val="24"/>
          <w:szCs w:val="24"/>
        </w:rPr>
        <w:t>Entropy</w:t>
      </w:r>
      <w:r w:rsidR="00C8499F">
        <w:rPr>
          <w:rFonts w:ascii="Times New Roman" w:eastAsia="Times New Roman" w:hAnsi="Times New Roman" w:cs="Times New Roman"/>
          <w:b/>
          <w:sz w:val="24"/>
          <w:szCs w:val="24"/>
        </w:rPr>
        <w:t xml:space="preserve"> </w:t>
      </w:r>
      <w:r w:rsidRPr="008B3C09">
        <w:rPr>
          <w:rFonts w:ascii="Times New Roman" w:eastAsia="Times New Roman" w:hAnsi="Times New Roman" w:cs="Times New Roman"/>
          <w:b/>
          <w:sz w:val="24"/>
          <w:szCs w:val="24"/>
        </w:rPr>
        <w:t xml:space="preserve">weighting </w:t>
      </w:r>
      <w:r w:rsidR="00C8499F">
        <w:rPr>
          <w:rFonts w:ascii="Times New Roman" w:eastAsia="Times New Roman" w:hAnsi="Times New Roman" w:cs="Times New Roman"/>
          <w:b/>
          <w:sz w:val="24"/>
          <w:szCs w:val="24"/>
        </w:rPr>
        <w:t xml:space="preserve">method </w:t>
      </w:r>
    </w:p>
    <w:p w:rsidR="00157B3E" w:rsidRPr="008B3C09" w:rsidRDefault="008B3C09"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F57579">
        <w:rPr>
          <w:rFonts w:ascii="Times New Roman" w:eastAsia="Times New Roman" w:hAnsi="Times New Roman" w:cs="Times New Roman"/>
          <w:sz w:val="24"/>
          <w:szCs w:val="24"/>
        </w:rPr>
        <w:t xml:space="preserve">This section provides the details of </w:t>
      </w:r>
      <w:r>
        <w:rPr>
          <w:rFonts w:ascii="Times New Roman" w:eastAsia="Times New Roman" w:hAnsi="Times New Roman" w:cs="Times New Roman"/>
          <w:sz w:val="24"/>
          <w:szCs w:val="24"/>
        </w:rPr>
        <w:t xml:space="preserve">the entropy weighting method (EWM) used </w:t>
      </w:r>
      <w:r w:rsidRPr="00F57579">
        <w:rPr>
          <w:rFonts w:ascii="Times New Roman" w:eastAsia="Times New Roman" w:hAnsi="Times New Roman" w:cs="Times New Roman"/>
          <w:sz w:val="24"/>
          <w:szCs w:val="24"/>
        </w:rPr>
        <w:t>in section 2</w:t>
      </w:r>
      <w:r>
        <w:rPr>
          <w:rFonts w:ascii="Times New Roman" w:eastAsia="Times New Roman" w:hAnsi="Times New Roman" w:cs="Times New Roman"/>
          <w:sz w:val="24"/>
          <w:szCs w:val="24"/>
        </w:rPr>
        <w:t>.3</w:t>
      </w:r>
      <w:r w:rsidRPr="00F57579">
        <w:rPr>
          <w:rFonts w:ascii="Times New Roman" w:eastAsia="Times New Roman" w:hAnsi="Times New Roman" w:cs="Times New Roman"/>
          <w:sz w:val="24"/>
          <w:szCs w:val="24"/>
        </w:rPr>
        <w:t>.</w:t>
      </w:r>
      <w:r w:rsidR="00C8499F">
        <w:rPr>
          <w:rFonts w:ascii="Times New Roman" w:eastAsia="Times New Roman" w:hAnsi="Times New Roman" w:cs="Times New Roman"/>
          <w:sz w:val="24"/>
          <w:szCs w:val="24"/>
        </w:rPr>
        <w:t xml:space="preserve"> </w:t>
      </w:r>
      <w:r w:rsidR="00157B3E" w:rsidRPr="008B3C09">
        <w:rPr>
          <w:rFonts w:ascii="Times New Roman" w:eastAsia="Times New Roman" w:hAnsi="Times New Roman" w:cs="Times New Roman"/>
          <w:sz w:val="24"/>
          <w:szCs w:val="24"/>
        </w:rPr>
        <w:t>The EWM was applied to objectively quantify the relative contribution of environmental parameters to the overall contamination pressure across the basin</w:t>
      </w:r>
      <w:r w:rsidR="00B600BB">
        <w:rPr>
          <w:rFonts w:ascii="Times New Roman" w:eastAsia="Times New Roman" w:hAnsi="Times New Roman" w:cs="Times New Roman"/>
          <w:sz w:val="24"/>
          <w:szCs w:val="24"/>
        </w:rPr>
        <w:t xml:space="preserve"> (Chen et al., 2023)</w:t>
      </w:r>
      <w:r w:rsidR="00157B3E" w:rsidRPr="008B3C09">
        <w:rPr>
          <w:rFonts w:ascii="Times New Roman" w:eastAsia="Times New Roman" w:hAnsi="Times New Roman" w:cs="Times New Roman"/>
          <w:sz w:val="24"/>
          <w:szCs w:val="24"/>
        </w:rPr>
        <w:t xml:space="preserve">. This method minimizes subjectivity by assigning weights based on the intrinsic variability and information content of each parameter. First, all selected measured values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x</m:t>
            </m:r>
          </m:e>
          <m:sub>
            <m:r>
              <w:rPr>
                <w:rFonts w:ascii="Cambria Math" w:eastAsia="Times New Roman" w:hAnsi="Cambria Math" w:cs="Times New Roman"/>
                <w:sz w:val="24"/>
                <w:szCs w:val="24"/>
              </w:rPr>
              <m:t>ij</m:t>
            </m:r>
          </m:sub>
        </m:sSub>
      </m:oMath>
      <w:r w:rsidR="00157B3E" w:rsidRPr="008B3C09">
        <w:rPr>
          <w:rFonts w:ascii="Times New Roman" w:eastAsia="Times New Roman" w:hAnsi="Times New Roman" w:cs="Times New Roman"/>
          <w:sz w:val="24"/>
          <w:szCs w:val="24"/>
        </w:rPr>
        <w:t xml:space="preserve"> of  </w:t>
      </w:r>
      <m:oMath>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J</m:t>
            </m:r>
          </m:e>
          <m:sup>
            <m:r>
              <w:rPr>
                <w:rFonts w:ascii="Cambria Math" w:eastAsia="Times New Roman" w:hAnsi="Cambria Math" w:cs="Times New Roman"/>
                <w:sz w:val="24"/>
                <w:szCs w:val="24"/>
              </w:rPr>
              <m:t>th</m:t>
            </m:r>
          </m:sup>
        </m:sSup>
      </m:oMath>
      <w:r w:rsidR="00157B3E" w:rsidRPr="008B3C09">
        <w:rPr>
          <w:rFonts w:ascii="Times New Roman" w:eastAsia="Times New Roman" w:hAnsi="Times New Roman" w:cs="Times New Roman"/>
          <w:sz w:val="24"/>
          <w:szCs w:val="24"/>
        </w:rPr>
        <w:t xml:space="preserve"> parameters in the </w:t>
      </w:r>
      <m:oMath>
        <m:sSup>
          <m:sSupPr>
            <m:ctrlPr>
              <w:rPr>
                <w:rFonts w:ascii="Cambria Math" w:eastAsia="Times New Roman" w:hAnsi="Cambria Math" w:cs="Times New Roman"/>
                <w:sz w:val="24"/>
                <w:szCs w:val="24"/>
              </w:rPr>
            </m:ctrlPr>
          </m:sSupPr>
          <m:e>
            <m:r>
              <w:rPr>
                <w:rFonts w:ascii="Cambria Math" w:eastAsia="Times New Roman" w:hAnsi="Cambria Math" w:cs="Times New Roman"/>
                <w:sz w:val="24"/>
                <w:szCs w:val="24"/>
              </w:rPr>
              <m:t>i</m:t>
            </m:r>
          </m:e>
          <m:sup>
            <m:r>
              <w:rPr>
                <w:rFonts w:ascii="Cambria Math" w:eastAsia="Times New Roman" w:hAnsi="Cambria Math" w:cs="Times New Roman"/>
                <w:sz w:val="24"/>
                <w:szCs w:val="24"/>
              </w:rPr>
              <m:t>th</m:t>
            </m:r>
          </m:sup>
        </m:sSup>
      </m:oMath>
      <w:r w:rsidR="00157B3E" w:rsidRPr="008B3C09">
        <w:rPr>
          <w:rFonts w:ascii="Times New Roman" w:eastAsia="Times New Roman" w:hAnsi="Times New Roman" w:cs="Times New Roman"/>
          <w:sz w:val="24"/>
          <w:szCs w:val="24"/>
        </w:rPr>
        <w:t xml:space="preserve"> sub-basin were normalized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r</m:t>
            </m:r>
          </m:e>
          <m:sub>
            <m:r>
              <w:rPr>
                <w:rFonts w:ascii="Cambria Math" w:eastAsia="Times New Roman" w:hAnsi="Cambria Math" w:cs="Times New Roman"/>
                <w:sz w:val="24"/>
                <w:szCs w:val="24"/>
              </w:rPr>
              <m:t>ij</m:t>
            </m:r>
          </m:sub>
        </m:sSub>
      </m:oMath>
      <w:r w:rsidR="00157B3E" w:rsidRPr="008B3C09">
        <w:rPr>
          <w:rFonts w:ascii="Times New Roman" w:eastAsia="Times New Roman" w:hAnsi="Times New Roman" w:cs="Times New Roman"/>
          <w:sz w:val="24"/>
          <w:szCs w:val="24"/>
        </w:rPr>
        <w:t>​ to a nondimensional scale (0-1) to eliminate the effect of differing units and magnitudes (Eq.</w:t>
      </w:r>
      <w:r w:rsidR="00C8499F">
        <w:rPr>
          <w:rFonts w:ascii="Times New Roman" w:eastAsia="Times New Roman" w:hAnsi="Times New Roman" w:cs="Times New Roman"/>
          <w:sz w:val="24"/>
          <w:szCs w:val="24"/>
        </w:rPr>
        <w:t xml:space="preserve"> </w:t>
      </w:r>
      <w:r w:rsidR="00157B3E" w:rsidRPr="008B3C09">
        <w:rPr>
          <w:rFonts w:ascii="Times New Roman" w:eastAsia="Times New Roman" w:hAnsi="Times New Roman" w:cs="Times New Roman"/>
          <w:sz w:val="24"/>
          <w:szCs w:val="24"/>
        </w:rPr>
        <w:t xml:space="preserve">1). The normalized values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r</m:t>
            </m:r>
          </m:e>
          <m:sub>
            <m:r>
              <w:rPr>
                <w:rFonts w:ascii="Cambria Math" w:eastAsia="Times New Roman" w:hAnsi="Cambria Math" w:cs="Times New Roman"/>
                <w:sz w:val="24"/>
                <w:szCs w:val="24"/>
              </w:rPr>
              <m:t>ij</m:t>
            </m:r>
          </m:sub>
        </m:sSub>
      </m:oMath>
      <w:r w:rsidR="00157B3E" w:rsidRPr="008B3C09">
        <w:rPr>
          <w:rFonts w:ascii="Times New Roman" w:eastAsia="Times New Roman" w:hAnsi="Times New Roman" w:cs="Times New Roman"/>
          <w:sz w:val="24"/>
          <w:szCs w:val="24"/>
        </w:rPr>
        <w:t xml:space="preserve"> were converted to proportional values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ij</m:t>
            </m:r>
          </m:sub>
        </m:sSub>
      </m:oMath>
      <w:r w:rsidR="00157B3E" w:rsidRPr="008B3C09">
        <w:rPr>
          <w:rFonts w:ascii="Times New Roman" w:eastAsia="Times New Roman" w:hAnsi="Times New Roman" w:cs="Times New Roman"/>
          <w:sz w:val="24"/>
          <w:szCs w:val="24"/>
        </w:rPr>
        <w:t xml:space="preserve">  (Eq.</w:t>
      </w:r>
      <w:r w:rsidR="00C8499F">
        <w:rPr>
          <w:rFonts w:ascii="Times New Roman" w:eastAsia="Times New Roman" w:hAnsi="Times New Roman" w:cs="Times New Roman"/>
          <w:sz w:val="24"/>
          <w:szCs w:val="24"/>
        </w:rPr>
        <w:t xml:space="preserve"> </w:t>
      </w:r>
      <w:r w:rsidR="00157B3E" w:rsidRPr="008B3C09">
        <w:rPr>
          <w:rFonts w:ascii="Times New Roman" w:eastAsia="Times New Roman" w:hAnsi="Times New Roman" w:cs="Times New Roman"/>
          <w:sz w:val="24"/>
          <w:szCs w:val="24"/>
        </w:rPr>
        <w:t xml:space="preserve">1), which form the basis for calculating the entropy value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j</m:t>
            </m:r>
          </m:sub>
        </m:sSub>
      </m:oMath>
      <w:r w:rsidR="00157B3E" w:rsidRPr="008B3C09">
        <w:rPr>
          <w:rFonts w:ascii="Times New Roman" w:eastAsia="Times New Roman" w:hAnsi="Times New Roman" w:cs="Times New Roman"/>
          <w:sz w:val="24"/>
          <w:szCs w:val="24"/>
        </w:rPr>
        <w:t xml:space="preserve"> for each parameter (Eq.</w:t>
      </w:r>
      <w:r w:rsidR="00C8499F">
        <w:rPr>
          <w:rFonts w:ascii="Times New Roman" w:eastAsia="Times New Roman" w:hAnsi="Times New Roman" w:cs="Times New Roman"/>
          <w:sz w:val="24"/>
          <w:szCs w:val="24"/>
        </w:rPr>
        <w:t xml:space="preserve"> </w:t>
      </w:r>
      <w:r w:rsidR="00157B3E" w:rsidRPr="008B3C09">
        <w:rPr>
          <w:rFonts w:ascii="Times New Roman" w:eastAsia="Times New Roman" w:hAnsi="Times New Roman" w:cs="Times New Roman"/>
          <w:sz w:val="24"/>
          <w:szCs w:val="24"/>
        </w:rPr>
        <w:t xml:space="preserve">2). The entropy measures the degree of spatial dispersion of a parameter across all sub-basins. Parameters with higher variability (lower entropy) contribute more information to the system and therefore receive higher weights. </w:t>
      </w:r>
      <w:r w:rsidR="00C8499F">
        <w:rPr>
          <w:rFonts w:ascii="Times New Roman" w:eastAsia="Times New Roman" w:hAnsi="Times New Roman" w:cs="Times New Roman"/>
          <w:sz w:val="24"/>
          <w:szCs w:val="24"/>
        </w:rPr>
        <w:t xml:space="preserve"> </w:t>
      </w:r>
      <w:r w:rsidR="00157B3E" w:rsidRPr="008B3C09">
        <w:rPr>
          <w:rFonts w:ascii="Times New Roman" w:eastAsia="Times New Roman" w:hAnsi="Times New Roman" w:cs="Times New Roman"/>
          <w:sz w:val="24"/>
          <w:szCs w:val="24"/>
        </w:rPr>
        <w:t xml:space="preserve">The degree of diversification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j</m:t>
            </m:r>
          </m:sub>
        </m:sSub>
        <m:r>
          <m:rPr>
            <m:sty m:val="p"/>
          </m:rPr>
          <w:rPr>
            <w:rFonts w:ascii="Cambria Math" w:eastAsia="Times New Roman" w:hAnsi="Cambria Math" w:cs="Times New Roman"/>
            <w:sz w:val="24"/>
            <w:szCs w:val="24"/>
          </w:rPr>
          <m:t xml:space="preserve"> </m:t>
        </m:r>
      </m:oMath>
      <w:r w:rsidR="00157B3E" w:rsidRPr="008B3C09">
        <w:rPr>
          <w:rFonts w:ascii="Times New Roman" w:eastAsia="Times New Roman" w:hAnsi="Times New Roman" w:cs="Times New Roman"/>
          <w:sz w:val="24"/>
          <w:szCs w:val="24"/>
        </w:rPr>
        <w:t xml:space="preserve">from Eq. (3) represents the information utility of each parameter, and the corresponding entropy weight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W</m:t>
            </m:r>
          </m:e>
          <m:sub>
            <m:r>
              <w:rPr>
                <w:rFonts w:ascii="Cambria Math" w:eastAsia="Times New Roman" w:hAnsi="Cambria Math" w:cs="Times New Roman"/>
                <w:sz w:val="24"/>
                <w:szCs w:val="24"/>
              </w:rPr>
              <m:t>j</m:t>
            </m:r>
          </m:sub>
        </m:sSub>
      </m:oMath>
      <w:r w:rsidR="00157B3E" w:rsidRPr="008B3C09">
        <w:rPr>
          <w:rFonts w:ascii="Times New Roman" w:eastAsia="Times New Roman" w:hAnsi="Times New Roman" w:cs="Times New Roman"/>
          <w:sz w:val="24"/>
          <w:szCs w:val="24"/>
        </w:rPr>
        <w:t xml:space="preserve"> is derived using Eq. (4). These weights were then aggregated with the normalized parameter values to compute a composite score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R</m:t>
            </m:r>
          </m:e>
          <m:sub>
            <m:r>
              <w:rPr>
                <w:rFonts w:ascii="Cambria Math" w:eastAsia="Times New Roman" w:hAnsi="Cambria Math" w:cs="Times New Roman"/>
                <w:sz w:val="24"/>
                <w:szCs w:val="24"/>
              </w:rPr>
              <m:t>i</m:t>
            </m:r>
          </m:sub>
        </m:sSub>
      </m:oMath>
      <w:r w:rsidR="00157B3E" w:rsidRPr="008B3C09">
        <w:rPr>
          <w:rFonts w:ascii="Times New Roman" w:eastAsia="Times New Roman" w:hAnsi="Times New Roman" w:cs="Times New Roman"/>
          <w:sz w:val="24"/>
          <w:szCs w:val="24"/>
        </w:rPr>
        <w:t xml:space="preserve"> for each sub-basin (Eq.</w:t>
      </w:r>
      <w:r w:rsidR="00C8499F">
        <w:rPr>
          <w:rFonts w:ascii="Times New Roman" w:eastAsia="Times New Roman" w:hAnsi="Times New Roman" w:cs="Times New Roman"/>
          <w:sz w:val="24"/>
          <w:szCs w:val="24"/>
        </w:rPr>
        <w:t xml:space="preserve"> </w:t>
      </w:r>
      <w:r w:rsidR="00157B3E" w:rsidRPr="008B3C09">
        <w:rPr>
          <w:rFonts w:ascii="Times New Roman" w:eastAsia="Times New Roman" w:hAnsi="Times New Roman" w:cs="Times New Roman"/>
          <w:sz w:val="24"/>
          <w:szCs w:val="24"/>
        </w:rPr>
        <w:t>4). This represent the weighted contamination pressure contributed by surface hazard, subsurface hazard, hydrological forcing, and vegetation vulnerability score. Parameters yielding higher deviations were identified as dominant contributors to contamination dynamics.</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3690"/>
        <w:gridCol w:w="1345"/>
      </w:tblGrid>
      <w:tr w:rsidR="00157B3E" w:rsidRPr="008B3C09" w:rsidTr="008B3C09">
        <w:trPr>
          <w:trHeight w:val="887"/>
        </w:trPr>
        <w:tc>
          <w:tcPr>
            <w:tcW w:w="4315" w:type="dxa"/>
            <w:vAlign w:val="center"/>
          </w:tcPr>
          <w:p w:rsidR="00157B3E" w:rsidRPr="008B3C09" w:rsidRDefault="008D6FA3"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m:oMathPara>
              <m:oMathParaPr>
                <m:jc m:val="left"/>
              </m:oMathPara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r</m:t>
                    </m:r>
                  </m:e>
                  <m:sub>
                    <m:r>
                      <w:rPr>
                        <w:rFonts w:ascii="Cambria Math" w:eastAsia="Times New Roman" w:hAnsi="Cambria Math" w:cs="Times New Roman"/>
                        <w:sz w:val="24"/>
                        <w:szCs w:val="24"/>
                      </w:rPr>
                      <m:t>ij</m:t>
                    </m:r>
                  </m:sub>
                </m:sSub>
                <m:r>
                  <m:rPr>
                    <m:sty m:val="p"/>
                  </m:rPr>
                  <w:rPr>
                    <w:rFonts w:ascii="Cambria Math" w:eastAsia="Times New Roman" w:hAnsi="Cambria Math" w:cs="Times New Roman"/>
                    <w:sz w:val="24"/>
                    <w:szCs w:val="24"/>
                  </w:rPr>
                  <m:t xml:space="preserve">= </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x</m:t>
                        </m:r>
                      </m:e>
                      <m:sub>
                        <m:r>
                          <w:rPr>
                            <w:rFonts w:ascii="Cambria Math" w:eastAsia="Times New Roman" w:hAnsi="Cambria Math" w:cs="Times New Roman"/>
                            <w:sz w:val="24"/>
                            <w:szCs w:val="24"/>
                          </w:rPr>
                          <m:t>ij</m:t>
                        </m:r>
                      </m:sub>
                    </m:sSub>
                  </m:num>
                  <m:den>
                    <m:r>
                      <w:rPr>
                        <w:rFonts w:ascii="Cambria Math" w:eastAsia="Times New Roman" w:hAnsi="Cambria Math" w:cs="Times New Roman"/>
                        <w:sz w:val="24"/>
                        <w:szCs w:val="24"/>
                      </w:rPr>
                      <m:t>max</m:t>
                    </m:r>
                    <m:r>
                      <m:rPr>
                        <m:sty m:val="p"/>
                      </m:rPr>
                      <w:rPr>
                        <w:rFonts w:ascii="Cambria Math" w:eastAsia="Times New Roman"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x</m:t>
                        </m:r>
                      </m:e>
                      <m:sub>
                        <m:r>
                          <w:rPr>
                            <w:rFonts w:ascii="Cambria Math" w:eastAsia="Times New Roman" w:hAnsi="Cambria Math" w:cs="Times New Roman"/>
                            <w:sz w:val="24"/>
                            <w:szCs w:val="24"/>
                          </w:rPr>
                          <m:t>j</m:t>
                        </m:r>
                      </m:sub>
                    </m:sSub>
                    <m:r>
                      <m:rPr>
                        <m:sty m:val="p"/>
                      </m:rPr>
                      <w:rPr>
                        <w:rFonts w:ascii="Cambria Math" w:eastAsia="Times New Roman" w:hAnsi="Cambria Math" w:cs="Times New Roman"/>
                        <w:sz w:val="24"/>
                        <w:szCs w:val="24"/>
                      </w:rPr>
                      <m:t>)</m:t>
                    </m:r>
                  </m:den>
                </m:f>
              </m:oMath>
            </m:oMathPara>
          </w:p>
        </w:tc>
        <w:tc>
          <w:tcPr>
            <w:tcW w:w="3690" w:type="dxa"/>
            <w:vAlign w:val="center"/>
          </w:tcPr>
          <w:p w:rsidR="00157B3E" w:rsidRPr="008B3C09" w:rsidRDefault="008D6FA3" w:rsidP="00C8499F">
            <w:pPr>
              <w:spacing w:before="100" w:beforeAutospacing="1" w:after="100" w:afterAutospacing="1" w:line="360" w:lineRule="auto"/>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ij</m:t>
                  </m:r>
                </m:sub>
              </m:sSub>
              <m:r>
                <m:rPr>
                  <m:sty m:val="p"/>
                </m:rPr>
                <w:rPr>
                  <w:rFonts w:ascii="Cambria Math" w:eastAsia="Times New Roman" w:hAnsi="Cambria Math" w:cs="Times New Roman"/>
                  <w:sz w:val="24"/>
                  <w:szCs w:val="24"/>
                </w:rPr>
                <m:t xml:space="preserve">= </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r</m:t>
                      </m:r>
                    </m:e>
                    <m:sub>
                      <m:r>
                        <w:rPr>
                          <w:rFonts w:ascii="Cambria Math" w:eastAsia="Times New Roman" w:hAnsi="Cambria Math" w:cs="Times New Roman"/>
                          <w:sz w:val="24"/>
                          <w:szCs w:val="24"/>
                        </w:rPr>
                        <m:t>ij</m:t>
                      </m:r>
                    </m:sub>
                  </m:sSub>
                </m:num>
                <m:den>
                  <m:nary>
                    <m:naryPr>
                      <m:chr m:val="∑"/>
                      <m:limLoc m:val="undOvr"/>
                      <m:ctrlPr>
                        <w:rPr>
                          <w:rFonts w:ascii="Cambria Math" w:eastAsia="Times New Roman" w:hAnsi="Cambria Math" w:cs="Times New Roman"/>
                          <w:sz w:val="24"/>
                          <w:szCs w:val="24"/>
                        </w:rPr>
                      </m:ctrlPr>
                    </m:naryPr>
                    <m:sub>
                      <m:r>
                        <w:rPr>
                          <w:rFonts w:ascii="Cambria Math" w:eastAsia="Times New Roman" w:hAnsi="Cambria Math" w:cs="Times New Roman"/>
                          <w:sz w:val="24"/>
                          <w:szCs w:val="24"/>
                        </w:rPr>
                        <m:t>i</m:t>
                      </m:r>
                      <m:r>
                        <m:rPr>
                          <m:sty m:val="p"/>
                        </m:rPr>
                        <w:rPr>
                          <w:rFonts w:ascii="Cambria Math" w:eastAsia="Times New Roman" w:hAnsi="Cambria Math" w:cs="Times New Roman"/>
                          <w:sz w:val="24"/>
                          <w:szCs w:val="24"/>
                        </w:rPr>
                        <m:t>=1</m:t>
                      </m:r>
                    </m:sub>
                    <m:sup>
                      <m:r>
                        <w:rPr>
                          <w:rFonts w:ascii="Cambria Math" w:eastAsia="Times New Roman" w:hAnsi="Cambria Math" w:cs="Times New Roman"/>
                          <w:sz w:val="24"/>
                          <w:szCs w:val="24"/>
                        </w:rPr>
                        <m:t>m</m:t>
                      </m:r>
                    </m:sup>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r</m:t>
                          </m:r>
                        </m:e>
                        <m:sub>
                          <m:r>
                            <w:rPr>
                              <w:rFonts w:ascii="Cambria Math" w:eastAsia="Times New Roman" w:hAnsi="Cambria Math" w:cs="Times New Roman"/>
                              <w:sz w:val="24"/>
                              <w:szCs w:val="24"/>
                            </w:rPr>
                            <m:t>ij</m:t>
                          </m:r>
                        </m:sub>
                      </m:sSub>
                    </m:e>
                  </m:nary>
                </m:den>
              </m:f>
            </m:oMath>
            <w:r w:rsidR="00157B3E" w:rsidRPr="008B3C09">
              <w:rPr>
                <w:rFonts w:ascii="Times New Roman" w:eastAsia="Times New Roman" w:hAnsi="Times New Roman" w:cs="Times New Roman"/>
                <w:sz w:val="24"/>
                <w:szCs w:val="24"/>
              </w:rPr>
              <w:t xml:space="preserve">   </w:t>
            </w:r>
          </w:p>
        </w:tc>
        <w:tc>
          <w:tcPr>
            <w:tcW w:w="1345" w:type="dxa"/>
            <w:vAlign w:val="center"/>
          </w:tcPr>
          <w:p w:rsidR="00157B3E" w:rsidRPr="008B3C09" w:rsidRDefault="00157B3E"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8B3C09">
              <w:rPr>
                <w:rFonts w:ascii="Times New Roman" w:eastAsia="Times New Roman" w:hAnsi="Times New Roman" w:cs="Times New Roman"/>
                <w:sz w:val="24"/>
                <w:szCs w:val="24"/>
              </w:rPr>
              <w:t>(1)</w:t>
            </w:r>
          </w:p>
        </w:tc>
      </w:tr>
      <w:tr w:rsidR="00157B3E" w:rsidRPr="008B3C09" w:rsidTr="008B3C09">
        <w:trPr>
          <w:trHeight w:val="788"/>
        </w:trPr>
        <w:tc>
          <w:tcPr>
            <w:tcW w:w="4315" w:type="dxa"/>
            <w:vAlign w:val="center"/>
          </w:tcPr>
          <w:p w:rsidR="00157B3E" w:rsidRPr="008B3C09" w:rsidRDefault="008D6FA3" w:rsidP="00C8499F">
            <w:pPr>
              <w:spacing w:before="100" w:beforeAutospacing="1" w:after="100" w:afterAutospacing="1" w:line="36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j</m:t>
                  </m:r>
                </m:sub>
              </m:sSub>
              <m:r>
                <m:rPr>
                  <m:sty m:val="p"/>
                </m:rPr>
                <w:rPr>
                  <w:rFonts w:ascii="Cambria Math" w:eastAsia="Times New Roman" w:hAnsi="Cambria Math" w:cs="Times New Roman"/>
                  <w:sz w:val="24"/>
                  <w:szCs w:val="24"/>
                </w:rPr>
                <m:t>= -</m:t>
              </m:r>
              <m:r>
                <w:rPr>
                  <w:rFonts w:ascii="Cambria Math" w:eastAsia="Times New Roman" w:hAnsi="Cambria Math" w:cs="Times New Roman"/>
                  <w:sz w:val="24"/>
                  <w:szCs w:val="24"/>
                </w:rPr>
                <m:t>k</m:t>
              </m:r>
              <m:nary>
                <m:naryPr>
                  <m:chr m:val="∑"/>
                  <m:limLoc m:val="undOvr"/>
                  <m:ctrlPr>
                    <w:rPr>
                      <w:rFonts w:ascii="Cambria Math" w:eastAsia="Times New Roman" w:hAnsi="Cambria Math" w:cs="Times New Roman"/>
                      <w:sz w:val="24"/>
                      <w:szCs w:val="24"/>
                    </w:rPr>
                  </m:ctrlPr>
                </m:naryPr>
                <m:sub>
                  <m:r>
                    <w:rPr>
                      <w:rFonts w:ascii="Cambria Math" w:eastAsia="Times New Roman" w:hAnsi="Cambria Math" w:cs="Times New Roman"/>
                      <w:sz w:val="24"/>
                      <w:szCs w:val="24"/>
                    </w:rPr>
                    <m:t>i</m:t>
                  </m:r>
                  <m:r>
                    <m:rPr>
                      <m:sty m:val="p"/>
                    </m:rPr>
                    <w:rPr>
                      <w:rFonts w:ascii="Cambria Math" w:eastAsia="Times New Roman" w:hAnsi="Cambria Math" w:cs="Times New Roman"/>
                      <w:sz w:val="24"/>
                      <w:szCs w:val="24"/>
                    </w:rPr>
                    <m:t>-1</m:t>
                  </m:r>
                </m:sub>
                <m:sup>
                  <m:r>
                    <w:rPr>
                      <w:rFonts w:ascii="Cambria Math" w:eastAsia="Times New Roman" w:hAnsi="Cambria Math" w:cs="Times New Roman"/>
                      <w:sz w:val="24"/>
                      <w:szCs w:val="24"/>
                    </w:rPr>
                    <m:t>m</m:t>
                  </m:r>
                </m:sup>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ij</m:t>
                      </m:r>
                    </m:sub>
                  </m:sSub>
                </m:e>
              </m:nary>
              <m:r>
                <m:rPr>
                  <m:sty m:val="p"/>
                </m:rPr>
                <w:rPr>
                  <w:rFonts w:ascii="Cambria Math" w:eastAsia="Times New Roman" w:hAnsi="Cambria Math" w:cs="Times New Roman"/>
                  <w:sz w:val="24"/>
                  <w:szCs w:val="24"/>
                </w:rPr>
                <m:t>.</m:t>
              </m:r>
              <m:func>
                <m:funcPr>
                  <m:ctrlPr>
                    <w:rPr>
                      <w:rFonts w:ascii="Cambria Math" w:eastAsia="Times New Roman" w:hAnsi="Cambria Math" w:cs="Times New Roman"/>
                      <w:sz w:val="24"/>
                      <w:szCs w:val="24"/>
                    </w:rPr>
                  </m:ctrlPr>
                </m:funcPr>
                <m:fName>
                  <m:r>
                    <w:rPr>
                      <w:rFonts w:ascii="Cambria Math" w:eastAsia="Times New Roman" w:hAnsi="Cambria Math" w:cs="Times New Roman"/>
                      <w:sz w:val="24"/>
                      <w:szCs w:val="24"/>
                    </w:rPr>
                    <m:t>ln</m:t>
                  </m:r>
                </m:fName>
                <m:e>
                  <m:d>
                    <m:dPr>
                      <m:ctrlPr>
                        <w:rPr>
                          <w:rFonts w:ascii="Cambria Math" w:eastAsia="Times New Roman" w:hAnsi="Cambria Math" w:cs="Times New Roman"/>
                          <w:sz w:val="24"/>
                          <w:szCs w:val="24"/>
                        </w:rPr>
                      </m:ctrlPr>
                    </m:dPr>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ij</m:t>
                          </m:r>
                        </m:sub>
                      </m:sSub>
                    </m:e>
                  </m:d>
                </m:e>
              </m:func>
            </m:oMath>
            <w:r w:rsidR="00157B3E" w:rsidRPr="008B3C09">
              <w:rPr>
                <w:rFonts w:ascii="Times New Roman" w:eastAsia="Times New Roman" w:hAnsi="Times New Roman" w:cs="Times New Roman"/>
                <w:sz w:val="24"/>
                <w:szCs w:val="24"/>
              </w:rPr>
              <w:t xml:space="preserve">  </w:t>
            </w:r>
          </w:p>
        </w:tc>
        <w:tc>
          <w:tcPr>
            <w:tcW w:w="3690" w:type="dxa"/>
            <w:vAlign w:val="center"/>
          </w:tcPr>
          <w:p w:rsidR="00157B3E" w:rsidRPr="008B3C09" w:rsidRDefault="00B70F04" w:rsidP="00C8499F">
            <w:pPr>
              <w:spacing w:before="100" w:beforeAutospacing="1" w:after="100" w:afterAutospacing="1" w:line="360" w:lineRule="auto"/>
              <w:jc w:val="both"/>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k</m:t>
                </m:r>
                <m:r>
                  <m:rPr>
                    <m:sty m:val="p"/>
                  </m:rPr>
                  <w:rPr>
                    <w:rFonts w:ascii="Cambria Math" w:eastAsia="Times New Roman" w:hAnsi="Cambria Math" w:cs="Times New Roman"/>
                    <w:sz w:val="24"/>
                    <w:szCs w:val="24"/>
                  </w:rPr>
                  <m:t xml:space="preserve">= </m:t>
                </m:r>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1</m:t>
                    </m:r>
                  </m:num>
                  <m:den>
                    <m:r>
                      <w:rPr>
                        <w:rFonts w:ascii="Cambria Math" w:eastAsia="Times New Roman" w:hAnsi="Cambria Math" w:cs="Times New Roman"/>
                        <w:sz w:val="24"/>
                        <w:szCs w:val="24"/>
                      </w:rPr>
                      <m:t>ln</m:t>
                    </m:r>
                    <m:r>
                      <m:rPr>
                        <m:sty m:val="p"/>
                      </m:rPr>
                      <w:rPr>
                        <w:rFonts w:ascii="Cambria Math" w:eastAsia="Times New Roman" w:hAnsi="Cambria Math" w:cs="Times New Roman"/>
                        <w:sz w:val="24"/>
                        <w:szCs w:val="24"/>
                      </w:rPr>
                      <m:t>⁡(</m:t>
                    </m:r>
                    <m:r>
                      <w:rPr>
                        <w:rFonts w:ascii="Cambria Math" w:eastAsia="Times New Roman" w:hAnsi="Cambria Math" w:cs="Times New Roman"/>
                        <w:sz w:val="24"/>
                        <w:szCs w:val="24"/>
                      </w:rPr>
                      <m:t>m</m:t>
                    </m:r>
                    <m:r>
                      <m:rPr>
                        <m:sty m:val="p"/>
                      </m:rPr>
                      <w:rPr>
                        <w:rFonts w:ascii="Cambria Math" w:eastAsia="Times New Roman" w:hAnsi="Cambria Math" w:cs="Times New Roman"/>
                        <w:sz w:val="24"/>
                        <w:szCs w:val="24"/>
                      </w:rPr>
                      <m:t>)</m:t>
                    </m:r>
                  </m:den>
                </m:f>
              </m:oMath>
            </m:oMathPara>
          </w:p>
        </w:tc>
        <w:tc>
          <w:tcPr>
            <w:tcW w:w="1345" w:type="dxa"/>
            <w:vAlign w:val="center"/>
          </w:tcPr>
          <w:p w:rsidR="00157B3E" w:rsidRPr="008B3C09" w:rsidRDefault="00157B3E"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8B3C09">
              <w:rPr>
                <w:rFonts w:ascii="Times New Roman" w:eastAsia="Times New Roman" w:hAnsi="Times New Roman" w:cs="Times New Roman"/>
                <w:sz w:val="24"/>
                <w:szCs w:val="24"/>
              </w:rPr>
              <w:t>(2)</w:t>
            </w:r>
          </w:p>
        </w:tc>
      </w:tr>
      <w:tr w:rsidR="00157B3E" w:rsidRPr="008B3C09" w:rsidTr="008B3C09">
        <w:trPr>
          <w:trHeight w:val="617"/>
        </w:trPr>
        <w:tc>
          <w:tcPr>
            <w:tcW w:w="8005" w:type="dxa"/>
            <w:gridSpan w:val="2"/>
            <w:vAlign w:val="center"/>
          </w:tcPr>
          <w:p w:rsidR="00157B3E" w:rsidRPr="008B3C09" w:rsidRDefault="008D6FA3" w:rsidP="00C8499F">
            <w:pPr>
              <w:spacing w:before="100" w:beforeAutospacing="1" w:after="100" w:afterAutospacing="1" w:line="36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j</m:t>
                  </m:r>
                </m:sub>
              </m:sSub>
              <m:r>
                <m:rPr>
                  <m:sty m:val="p"/>
                </m:rPr>
                <w:rPr>
                  <w:rFonts w:ascii="Cambria Math" w:eastAsia="Times New Roman" w:hAnsi="Cambria Math" w:cs="Times New Roman"/>
                  <w:sz w:val="24"/>
                  <w:szCs w:val="24"/>
                </w:rPr>
                <m:t>=1-</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E</m:t>
                  </m:r>
                </m:e>
                <m:sub>
                  <m:r>
                    <w:rPr>
                      <w:rFonts w:ascii="Cambria Math" w:eastAsia="Times New Roman" w:hAnsi="Cambria Math" w:cs="Times New Roman"/>
                      <w:sz w:val="24"/>
                      <w:szCs w:val="24"/>
                    </w:rPr>
                    <m:t>j</m:t>
                  </m:r>
                </m:sub>
              </m:sSub>
            </m:oMath>
            <w:r w:rsidR="00157B3E" w:rsidRPr="008B3C09">
              <w:rPr>
                <w:rFonts w:ascii="Times New Roman" w:eastAsia="Times New Roman" w:hAnsi="Times New Roman" w:cs="Times New Roman"/>
                <w:sz w:val="24"/>
                <w:szCs w:val="24"/>
              </w:rPr>
              <w:t xml:space="preserve">     </w:t>
            </w:r>
          </w:p>
        </w:tc>
        <w:tc>
          <w:tcPr>
            <w:tcW w:w="1345" w:type="dxa"/>
            <w:vAlign w:val="center"/>
          </w:tcPr>
          <w:p w:rsidR="00157B3E" w:rsidRPr="008B3C09" w:rsidRDefault="00157B3E"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8B3C09">
              <w:rPr>
                <w:rFonts w:ascii="Times New Roman" w:eastAsia="Times New Roman" w:hAnsi="Times New Roman" w:cs="Times New Roman"/>
                <w:sz w:val="24"/>
                <w:szCs w:val="24"/>
              </w:rPr>
              <w:t>(3)</w:t>
            </w:r>
          </w:p>
        </w:tc>
      </w:tr>
      <w:tr w:rsidR="00157B3E" w:rsidRPr="008B3C09" w:rsidTr="008B3C09">
        <w:trPr>
          <w:trHeight w:val="752"/>
        </w:trPr>
        <w:tc>
          <w:tcPr>
            <w:tcW w:w="4315" w:type="dxa"/>
            <w:vAlign w:val="center"/>
          </w:tcPr>
          <w:p w:rsidR="00157B3E" w:rsidRPr="008B3C09" w:rsidRDefault="008D6FA3"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m:oMathPara>
              <m:oMathParaPr>
                <m:jc m:val="left"/>
              </m:oMathPara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R</m:t>
                    </m:r>
                  </m:e>
                  <m:sub>
                    <m:r>
                      <w:rPr>
                        <w:rFonts w:ascii="Cambria Math" w:eastAsia="Times New Roman" w:hAnsi="Cambria Math" w:cs="Times New Roman"/>
                        <w:sz w:val="24"/>
                        <w:szCs w:val="24"/>
                      </w:rPr>
                      <m:t>i</m:t>
                    </m:r>
                  </m:sub>
                </m:sSub>
                <m:r>
                  <m:rPr>
                    <m:sty m:val="p"/>
                  </m:rPr>
                  <w:rPr>
                    <w:rFonts w:ascii="Cambria Math" w:eastAsia="Times New Roman" w:hAnsi="Cambria Math" w:cs="Times New Roman"/>
                    <w:sz w:val="24"/>
                    <w:szCs w:val="24"/>
                  </w:rPr>
                  <m:t xml:space="preserve">= </m:t>
                </m:r>
                <m:nary>
                  <m:naryPr>
                    <m:chr m:val="∑"/>
                    <m:limLoc m:val="undOvr"/>
                    <m:ctrlPr>
                      <w:rPr>
                        <w:rFonts w:ascii="Cambria Math" w:eastAsia="Times New Roman" w:hAnsi="Cambria Math" w:cs="Times New Roman"/>
                        <w:sz w:val="24"/>
                        <w:szCs w:val="24"/>
                      </w:rPr>
                    </m:ctrlPr>
                  </m:naryPr>
                  <m:sub>
                    <m:r>
                      <w:rPr>
                        <w:rFonts w:ascii="Cambria Math" w:eastAsia="Times New Roman" w:hAnsi="Cambria Math" w:cs="Times New Roman"/>
                        <w:sz w:val="24"/>
                        <w:szCs w:val="24"/>
                      </w:rPr>
                      <m:t>j</m:t>
                    </m:r>
                    <m:r>
                      <m:rPr>
                        <m:sty m:val="p"/>
                      </m:rPr>
                      <w:rPr>
                        <w:rFonts w:ascii="Cambria Math" w:eastAsia="Times New Roman" w:hAnsi="Cambria Math" w:cs="Times New Roman"/>
                        <w:sz w:val="24"/>
                        <w:szCs w:val="24"/>
                      </w:rPr>
                      <m:t>=1</m:t>
                    </m:r>
                  </m:sub>
                  <m:sup>
                    <m:r>
                      <w:rPr>
                        <w:rFonts w:ascii="Cambria Math" w:eastAsia="Times New Roman" w:hAnsi="Cambria Math" w:cs="Times New Roman"/>
                        <w:sz w:val="24"/>
                        <w:szCs w:val="24"/>
                      </w:rPr>
                      <m:t>m</m:t>
                    </m:r>
                  </m:sup>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ij</m:t>
                        </m:r>
                      </m:sub>
                    </m:sSub>
                  </m:e>
                </m:nary>
                <m:r>
                  <m:rPr>
                    <m:sty m:val="p"/>
                  </m:rPr>
                  <w:rPr>
                    <w:rFonts w:ascii="Cambria Math" w:eastAsia="Times New Roman" w:hAnsi="Cambria Math" w:cs="Times New Roman"/>
                    <w:sz w:val="24"/>
                    <w:szCs w:val="24"/>
                  </w:rPr>
                  <m:t xml:space="preserve">. </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W</m:t>
                    </m:r>
                  </m:e>
                  <m:sub>
                    <m:r>
                      <w:rPr>
                        <w:rFonts w:ascii="Cambria Math" w:eastAsia="Times New Roman" w:hAnsi="Cambria Math" w:cs="Times New Roman"/>
                        <w:sz w:val="24"/>
                        <w:szCs w:val="24"/>
                      </w:rPr>
                      <m:t>j</m:t>
                    </m:r>
                  </m:sub>
                </m:sSub>
              </m:oMath>
            </m:oMathPara>
          </w:p>
        </w:tc>
        <w:tc>
          <w:tcPr>
            <w:tcW w:w="3690" w:type="dxa"/>
            <w:vAlign w:val="center"/>
          </w:tcPr>
          <w:p w:rsidR="00157B3E" w:rsidRPr="008B3C09" w:rsidRDefault="008D6FA3" w:rsidP="00C8499F">
            <w:pPr>
              <w:spacing w:before="100" w:beforeAutospacing="1" w:after="100" w:afterAutospacing="1" w:line="360" w:lineRule="auto"/>
              <w:jc w:val="both"/>
              <w:rPr>
                <w:rFonts w:ascii="Times New Roman" w:eastAsia="Times New Roman" w:hAnsi="Times New Roman" w:cs="Times New Roman"/>
                <w:sz w:val="24"/>
                <w:szCs w:val="24"/>
              </w:rPr>
            </w:pPr>
            <m:oMathPara>
              <m:oMathParaPr>
                <m:jc m:val="left"/>
              </m:oMathPara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W</m:t>
                    </m:r>
                  </m:e>
                  <m:sub>
                    <m:r>
                      <w:rPr>
                        <w:rFonts w:ascii="Cambria Math" w:eastAsia="Times New Roman" w:hAnsi="Cambria Math" w:cs="Times New Roman"/>
                        <w:sz w:val="24"/>
                        <w:szCs w:val="24"/>
                      </w:rPr>
                      <m:t>j</m:t>
                    </m:r>
                  </m:sub>
                </m:sSub>
                <m:r>
                  <m:rPr>
                    <m:sty m:val="p"/>
                  </m:rPr>
                  <w:rPr>
                    <w:rFonts w:ascii="Cambria Math" w:eastAsia="Times New Roman" w:hAnsi="Cambria Math" w:cs="Times New Roman"/>
                    <w:sz w:val="24"/>
                    <w:szCs w:val="24"/>
                  </w:rPr>
                  <m:t xml:space="preserve">= </m:t>
                </m:r>
                <m:f>
                  <m:fPr>
                    <m:ctrlPr>
                      <w:rPr>
                        <w:rFonts w:ascii="Cambria Math" w:eastAsia="Times New Roman" w:hAnsi="Cambria Math" w:cs="Times New Roman"/>
                        <w:sz w:val="24"/>
                        <w:szCs w:val="24"/>
                      </w:rPr>
                    </m:ctrlPr>
                  </m:fPr>
                  <m:num>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j</m:t>
                        </m:r>
                      </m:sub>
                    </m:sSub>
                  </m:num>
                  <m:den>
                    <m:nary>
                      <m:naryPr>
                        <m:chr m:val="∑"/>
                        <m:limLoc m:val="undOvr"/>
                        <m:ctrlPr>
                          <w:rPr>
                            <w:rFonts w:ascii="Cambria Math" w:eastAsia="Times New Roman" w:hAnsi="Cambria Math" w:cs="Times New Roman"/>
                            <w:sz w:val="24"/>
                            <w:szCs w:val="24"/>
                          </w:rPr>
                        </m:ctrlPr>
                      </m:naryPr>
                      <m:sub>
                        <m:r>
                          <w:rPr>
                            <w:rFonts w:ascii="Cambria Math" w:eastAsia="Times New Roman" w:hAnsi="Cambria Math" w:cs="Times New Roman"/>
                            <w:sz w:val="24"/>
                            <w:szCs w:val="24"/>
                          </w:rPr>
                          <m:t>j</m:t>
                        </m:r>
                        <m:r>
                          <m:rPr>
                            <m:sty m:val="p"/>
                          </m:rPr>
                          <w:rPr>
                            <w:rFonts w:ascii="Cambria Math" w:eastAsia="Times New Roman" w:hAnsi="Cambria Math" w:cs="Times New Roman"/>
                            <w:sz w:val="24"/>
                            <w:szCs w:val="24"/>
                          </w:rPr>
                          <m:t>=1</m:t>
                        </m:r>
                      </m:sub>
                      <m:sup>
                        <m:r>
                          <w:rPr>
                            <w:rFonts w:ascii="Cambria Math" w:eastAsia="Times New Roman" w:hAnsi="Cambria Math" w:cs="Times New Roman"/>
                            <w:sz w:val="24"/>
                            <w:szCs w:val="24"/>
                          </w:rPr>
                          <m:t>n</m:t>
                        </m:r>
                      </m:sup>
                      <m:e>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j</m:t>
                            </m:r>
                          </m:sub>
                        </m:sSub>
                      </m:e>
                    </m:nary>
                  </m:den>
                </m:f>
              </m:oMath>
            </m:oMathPara>
          </w:p>
        </w:tc>
        <w:tc>
          <w:tcPr>
            <w:tcW w:w="1345" w:type="dxa"/>
            <w:vAlign w:val="center"/>
          </w:tcPr>
          <w:p w:rsidR="00157B3E" w:rsidRPr="008B3C09" w:rsidRDefault="00157B3E"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8B3C09">
              <w:rPr>
                <w:rFonts w:ascii="Times New Roman" w:eastAsia="Times New Roman" w:hAnsi="Times New Roman" w:cs="Times New Roman"/>
                <w:sz w:val="24"/>
                <w:szCs w:val="24"/>
              </w:rPr>
              <w:t>(4)</w:t>
            </w:r>
          </w:p>
        </w:tc>
      </w:tr>
    </w:tbl>
    <w:p w:rsidR="00B70F04" w:rsidRDefault="00157B3E"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8B3C09">
        <w:rPr>
          <w:rFonts w:ascii="Times New Roman" w:eastAsia="Times New Roman" w:hAnsi="Times New Roman" w:cs="Times New Roman"/>
          <w:sz w:val="24"/>
          <w:szCs w:val="24"/>
        </w:rPr>
        <w:t>Lower entropy values indicate parameters with higher spatial variability and stronger discriminatory power, and thus greater influence on the composite score. The final weighted parameter sets were used to compute all subsequent hazard, forcing, and receptor vulnerability scores in the ecological vegetation risk framework.</w:t>
      </w:r>
    </w:p>
    <w:p w:rsidR="003703F5" w:rsidRPr="00F57579" w:rsidRDefault="003703F5" w:rsidP="00C8499F">
      <w:pPr>
        <w:spacing w:before="100" w:beforeAutospacing="1" w:after="100" w:afterAutospacing="1" w:line="360" w:lineRule="auto"/>
        <w:jc w:val="both"/>
        <w:rPr>
          <w:rFonts w:ascii="Times New Roman" w:eastAsia="Times New Roman" w:hAnsi="Times New Roman" w:cs="Times New Roman"/>
          <w:b/>
          <w:sz w:val="24"/>
          <w:szCs w:val="24"/>
        </w:rPr>
      </w:pPr>
      <w:r w:rsidRPr="00F57579">
        <w:rPr>
          <w:rFonts w:ascii="Times New Roman" w:eastAsia="Times New Roman" w:hAnsi="Times New Roman" w:cs="Times New Roman"/>
          <w:b/>
          <w:sz w:val="24"/>
          <w:szCs w:val="24"/>
        </w:rPr>
        <w:t xml:space="preserve">Supplementary </w:t>
      </w:r>
      <w:r>
        <w:rPr>
          <w:rFonts w:ascii="Times New Roman" w:eastAsia="Times New Roman" w:hAnsi="Times New Roman" w:cs="Times New Roman"/>
          <w:b/>
          <w:sz w:val="24"/>
          <w:szCs w:val="24"/>
        </w:rPr>
        <w:t>Material 4</w:t>
      </w:r>
    </w:p>
    <w:p w:rsidR="005D3309" w:rsidRPr="005B34E5" w:rsidRDefault="005D3309" w:rsidP="00C8499F">
      <w:pPr>
        <w:pStyle w:val="Heading2"/>
        <w:jc w:val="left"/>
      </w:pPr>
      <w:r w:rsidRPr="005B34E5">
        <w:t>Statistical characterization of environmental parameters</w:t>
      </w:r>
    </w:p>
    <w:p w:rsidR="00C8499F" w:rsidRDefault="00423FB8" w:rsidP="00C8499F">
      <w:pPr>
        <w:spacing w:before="100" w:beforeAutospacing="1" w:after="100" w:afterAutospacing="1" w:line="360" w:lineRule="auto"/>
        <w:ind w:firstLine="360"/>
        <w:jc w:val="both"/>
        <w:rPr>
          <w:rFonts w:ascii="Times New Roman" w:eastAsia="Times New Roman" w:hAnsi="Times New Roman" w:cs="Times New Roman"/>
          <w:sz w:val="24"/>
          <w:szCs w:val="24"/>
        </w:rPr>
      </w:pPr>
      <w:r w:rsidRPr="00423FB8">
        <w:rPr>
          <w:rFonts w:ascii="Times New Roman" w:eastAsia="Times New Roman" w:hAnsi="Times New Roman" w:cs="Times New Roman"/>
          <w:sz w:val="24"/>
          <w:szCs w:val="24"/>
        </w:rPr>
        <w:t xml:space="preserve">This section presents an extended analysis of the results in </w:t>
      </w:r>
      <w:r w:rsidR="006F4DE5">
        <w:rPr>
          <w:rFonts w:ascii="Times New Roman" w:eastAsia="Times New Roman" w:hAnsi="Times New Roman" w:cs="Times New Roman"/>
          <w:sz w:val="24"/>
          <w:szCs w:val="24"/>
        </w:rPr>
        <w:t>s</w:t>
      </w:r>
      <w:r w:rsidRPr="00423FB8">
        <w:rPr>
          <w:rFonts w:ascii="Times New Roman" w:eastAsia="Times New Roman" w:hAnsi="Times New Roman" w:cs="Times New Roman"/>
          <w:sz w:val="24"/>
          <w:szCs w:val="24"/>
        </w:rPr>
        <w:t>ection 4.1, providing additional details on the spatial heterogeneity of heavy metals in surface water and soil. It also describes the distribution of environmental parameters that contribute to this spatial variability in heavy metal concentrations.</w:t>
      </w:r>
      <w:r w:rsidR="00C8499F">
        <w:rPr>
          <w:rFonts w:ascii="Times New Roman" w:eastAsia="Times New Roman" w:hAnsi="Times New Roman" w:cs="Times New Roman"/>
          <w:sz w:val="24"/>
          <w:szCs w:val="24"/>
        </w:rPr>
        <w:t xml:space="preserve"> </w:t>
      </w:r>
    </w:p>
    <w:p w:rsidR="00423FB8" w:rsidRDefault="00FE281C" w:rsidP="00FE281C">
      <w:pPr>
        <w:spacing w:before="100" w:beforeAutospacing="1" w:after="100" w:afterAutospacing="1"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 S3 (a) reveals </w:t>
      </w:r>
      <w:r w:rsidRPr="006F4DE5">
        <w:rPr>
          <w:rFonts w:ascii="Times New Roman" w:eastAsia="Times New Roman" w:hAnsi="Times New Roman" w:cs="Times New Roman"/>
          <w:sz w:val="24"/>
          <w:szCs w:val="24"/>
        </w:rPr>
        <w:t xml:space="preserve">pronounced spatial contrasts </w:t>
      </w:r>
      <w:r>
        <w:rPr>
          <w:rFonts w:ascii="Times New Roman" w:eastAsia="Times New Roman" w:hAnsi="Times New Roman" w:cs="Times New Roman"/>
          <w:sz w:val="24"/>
          <w:szCs w:val="24"/>
        </w:rPr>
        <w:t>of heavy metal variability in surface water across different regions of HRB</w:t>
      </w:r>
      <w:r w:rsidR="00423FB8" w:rsidRPr="006F4DE5">
        <w:rPr>
          <w:rFonts w:ascii="Times New Roman" w:eastAsia="Times New Roman" w:hAnsi="Times New Roman" w:cs="Times New Roman"/>
          <w:sz w:val="24"/>
          <w:szCs w:val="24"/>
        </w:rPr>
        <w:t>. In the UHB, pre-monsoon concentrations of Cr, Ni, Cd, and Pb affected 50% of sub-basins, whereas Hg and As impacted 33.33% and 8.33%, respectively. Conversely, post-monsoon concentrations of Ni, Cd, and Hg exhibited residual impacts in 25% of sub-basins. In the MHB, pre-monsoon concentrations of Cr and Hg affected 69.23% and 61.54% of sub-basins, respectively, while persistent Cd contamination was observed in 23.08% of sub-basins. The LHB exhibited the highest pre-monsoon contamination intensity, with 100% of sub-basins classified as unsafe for Cr, Cd, and Pb, and 90% affected by Hg. Despite notable post-monsoon improvements, Cd contamination remained relatively high, affecting 60% of sub-basins, while Hg and Ni impacted 20% and 10%, respectively.</w:t>
      </w:r>
      <w:r>
        <w:rPr>
          <w:rFonts w:ascii="Times New Roman" w:eastAsia="Times New Roman" w:hAnsi="Times New Roman" w:cs="Times New Roman"/>
          <w:sz w:val="24"/>
          <w:szCs w:val="24"/>
        </w:rPr>
        <w:t xml:space="preserve"> </w:t>
      </w:r>
      <w:r w:rsidR="00423FB8">
        <w:rPr>
          <w:rFonts w:ascii="Times New Roman" w:eastAsia="Times New Roman" w:hAnsi="Times New Roman" w:cs="Times New Roman"/>
          <w:sz w:val="24"/>
          <w:szCs w:val="24"/>
        </w:rPr>
        <w:t xml:space="preserve">In soil, </w:t>
      </w:r>
      <w:r w:rsidR="006F4DE5" w:rsidRPr="006F4DE5">
        <w:rPr>
          <w:rFonts w:ascii="Times New Roman" w:eastAsia="Times New Roman" w:hAnsi="Times New Roman" w:cs="Times New Roman"/>
          <w:sz w:val="24"/>
          <w:szCs w:val="24"/>
        </w:rPr>
        <w:t>the regional</w:t>
      </w:r>
      <w:r w:rsidR="00423FB8" w:rsidRPr="006F4DE5">
        <w:rPr>
          <w:rFonts w:ascii="Times New Roman" w:eastAsia="Times New Roman" w:hAnsi="Times New Roman" w:cs="Times New Roman"/>
          <w:sz w:val="24"/>
          <w:szCs w:val="24"/>
        </w:rPr>
        <w:t xml:space="preserve"> assessment </w:t>
      </w:r>
      <w:r>
        <w:rPr>
          <w:rFonts w:ascii="Times New Roman" w:eastAsia="Times New Roman" w:hAnsi="Times New Roman" w:cs="Times New Roman"/>
          <w:sz w:val="24"/>
          <w:szCs w:val="24"/>
        </w:rPr>
        <w:t>shown in Fig</w:t>
      </w:r>
      <w:r w:rsidR="003E5E5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S3 (b) </w:t>
      </w:r>
      <w:r w:rsidR="00423FB8" w:rsidRPr="006F4DE5">
        <w:rPr>
          <w:rFonts w:ascii="Times New Roman" w:eastAsia="Times New Roman" w:hAnsi="Times New Roman" w:cs="Times New Roman"/>
          <w:sz w:val="24"/>
          <w:szCs w:val="24"/>
        </w:rPr>
        <w:t>revealed uniform pre-monsoon contamination of Cr, Ni, Cd, and Pb across UHB, MHB, and LHB, with 100% of sub-basins affected. This spatial uniformity persisted during the post-monsoon season as a result of limited seasonal variability. Among the regions, the MHB exhibited the largest contaminated area across most metals, followed by the LHB and UHB, where comparatively lower spatial coverage was observed for As and Hg.</w:t>
      </w:r>
      <w:r w:rsidR="00423FB8">
        <w:rPr>
          <w:rFonts w:ascii="Times New Roman" w:eastAsia="Times New Roman" w:hAnsi="Times New Roman" w:cs="Times New Roman"/>
          <w:sz w:val="24"/>
          <w:szCs w:val="24"/>
        </w:rPr>
        <w:t xml:space="preserve"> </w:t>
      </w:r>
    </w:p>
    <w:p w:rsidR="00423FB8" w:rsidRPr="003703F5" w:rsidRDefault="00423FB8" w:rsidP="00FE281C">
      <w:pPr>
        <w:spacing w:before="100" w:beforeAutospacing="1" w:after="100" w:afterAutospacing="1"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To assess the </w:t>
      </w:r>
      <w:r w:rsidR="006F4DE5">
        <w:rPr>
          <w:rFonts w:ascii="Times New Roman" w:eastAsia="Times New Roman" w:hAnsi="Times New Roman" w:cs="Times New Roman"/>
          <w:sz w:val="24"/>
          <w:szCs w:val="24"/>
        </w:rPr>
        <w:t>contribution</w:t>
      </w:r>
      <w:r w:rsidR="006F4DE5" w:rsidRPr="00F04CBE">
        <w:rPr>
          <w:rFonts w:ascii="Times New Roman" w:eastAsia="Times New Roman" w:hAnsi="Times New Roman" w:cs="Times New Roman"/>
          <w:sz w:val="24"/>
          <w:szCs w:val="24"/>
        </w:rPr>
        <w:t xml:space="preserve"> of environmental </w:t>
      </w:r>
      <w:r w:rsidR="006F4DE5">
        <w:rPr>
          <w:rFonts w:ascii="Times New Roman" w:eastAsia="Times New Roman" w:hAnsi="Times New Roman" w:cs="Times New Roman"/>
          <w:sz w:val="24"/>
          <w:szCs w:val="24"/>
        </w:rPr>
        <w:t>parameters</w:t>
      </w:r>
      <w:r w:rsidR="006F4DE5" w:rsidRPr="00F04CBE">
        <w:rPr>
          <w:rFonts w:ascii="Times New Roman" w:eastAsia="Times New Roman" w:hAnsi="Times New Roman" w:cs="Times New Roman"/>
          <w:sz w:val="24"/>
          <w:szCs w:val="24"/>
        </w:rPr>
        <w:t xml:space="preserve"> </w:t>
      </w:r>
      <w:r w:rsidR="006F4DE5">
        <w:rPr>
          <w:rFonts w:ascii="Times New Roman" w:eastAsia="Times New Roman" w:hAnsi="Times New Roman" w:cs="Times New Roman"/>
          <w:sz w:val="24"/>
          <w:szCs w:val="24"/>
        </w:rPr>
        <w:t xml:space="preserve">in the </w:t>
      </w:r>
      <w:r w:rsidRPr="00F45209">
        <w:rPr>
          <w:rFonts w:ascii="Times New Roman" w:eastAsia="Times New Roman" w:hAnsi="Times New Roman" w:cs="Times New Roman"/>
          <w:sz w:val="24"/>
          <w:szCs w:val="24"/>
        </w:rPr>
        <w:t xml:space="preserve">spatial heterogeneity </w:t>
      </w:r>
      <w:r w:rsidR="006F4DE5">
        <w:rPr>
          <w:rFonts w:ascii="Times New Roman" w:eastAsia="Times New Roman" w:hAnsi="Times New Roman" w:cs="Times New Roman"/>
          <w:sz w:val="24"/>
          <w:szCs w:val="24"/>
        </w:rPr>
        <w:t>of</w:t>
      </w:r>
      <w:r w:rsidRPr="00F45209">
        <w:rPr>
          <w:rFonts w:ascii="Times New Roman" w:eastAsia="Times New Roman" w:hAnsi="Times New Roman" w:cs="Times New Roman"/>
          <w:sz w:val="24"/>
          <w:szCs w:val="24"/>
        </w:rPr>
        <w:t xml:space="preserve"> heavy metal concentrations in surface water and soil</w:t>
      </w:r>
      <w:r>
        <w:rPr>
          <w:rFonts w:ascii="Times New Roman" w:eastAsia="Times New Roman" w:hAnsi="Times New Roman" w:cs="Times New Roman"/>
          <w:sz w:val="24"/>
          <w:szCs w:val="24"/>
        </w:rPr>
        <w:t xml:space="preserve">, </w:t>
      </w:r>
      <w:r w:rsidRPr="00F45209">
        <w:rPr>
          <w:rFonts w:ascii="Times New Roman" w:eastAsia="Times New Roman" w:hAnsi="Times New Roman" w:cs="Times New Roman"/>
          <w:sz w:val="24"/>
          <w:szCs w:val="24"/>
        </w:rPr>
        <w:t>environmental parameters</w:t>
      </w:r>
      <w:r>
        <w:rPr>
          <w:rFonts w:ascii="Times New Roman" w:eastAsia="Times New Roman" w:hAnsi="Times New Roman" w:cs="Times New Roman"/>
          <w:sz w:val="24"/>
          <w:szCs w:val="24"/>
        </w:rPr>
        <w:t xml:space="preserve"> representing </w:t>
      </w:r>
      <w:r w:rsidRPr="00F45209">
        <w:rPr>
          <w:rFonts w:ascii="Times New Roman" w:eastAsia="Times New Roman" w:hAnsi="Times New Roman" w:cs="Times New Roman"/>
          <w:sz w:val="24"/>
          <w:szCs w:val="24"/>
        </w:rPr>
        <w:t xml:space="preserve">landscape and terrain characteristics, hydrological </w:t>
      </w:r>
      <w:r>
        <w:rPr>
          <w:rFonts w:ascii="Times New Roman" w:eastAsia="Times New Roman" w:hAnsi="Times New Roman" w:cs="Times New Roman"/>
          <w:sz w:val="24"/>
          <w:szCs w:val="24"/>
        </w:rPr>
        <w:t>variables</w:t>
      </w:r>
      <w:r w:rsidRPr="00F45209">
        <w:rPr>
          <w:rFonts w:ascii="Times New Roman" w:eastAsia="Times New Roman" w:hAnsi="Times New Roman" w:cs="Times New Roman"/>
          <w:sz w:val="24"/>
          <w:szCs w:val="24"/>
        </w:rPr>
        <w:t>, and anthropogenic pressure indicators</w:t>
      </w:r>
      <w:r>
        <w:rPr>
          <w:rFonts w:ascii="Times New Roman" w:eastAsia="Times New Roman" w:hAnsi="Times New Roman" w:cs="Times New Roman"/>
          <w:sz w:val="24"/>
          <w:szCs w:val="24"/>
        </w:rPr>
        <w:t xml:space="preserve"> were analyzed. </w:t>
      </w:r>
      <w:r w:rsidRPr="00E95819">
        <w:rPr>
          <w:rFonts w:ascii="Times New Roman" w:eastAsia="Times New Roman" w:hAnsi="Times New Roman" w:cs="Times New Roman"/>
          <w:sz w:val="24"/>
          <w:szCs w:val="24"/>
        </w:rPr>
        <w:t xml:space="preserve">During the analysis of land-use patterns across the HRB, we observed dominant agricultural practices involving seasonally </w:t>
      </w:r>
      <w:r>
        <w:rPr>
          <w:rFonts w:ascii="Times New Roman" w:eastAsia="Times New Roman" w:hAnsi="Times New Roman" w:cs="Times New Roman"/>
          <w:sz w:val="24"/>
          <w:szCs w:val="24"/>
        </w:rPr>
        <w:t>changing</w:t>
      </w:r>
      <w:r w:rsidRPr="00E95819">
        <w:rPr>
          <w:rFonts w:ascii="Times New Roman" w:eastAsia="Times New Roman" w:hAnsi="Times New Roman" w:cs="Times New Roman"/>
          <w:sz w:val="24"/>
          <w:szCs w:val="24"/>
        </w:rPr>
        <w:t xml:space="preserve"> vegetation</w:t>
      </w:r>
      <w:r>
        <w:rPr>
          <w:rFonts w:ascii="Times New Roman" w:eastAsia="Times New Roman" w:hAnsi="Times New Roman" w:cs="Times New Roman"/>
          <w:sz w:val="24"/>
          <w:szCs w:val="24"/>
        </w:rPr>
        <w:t xml:space="preserve">. </w:t>
      </w:r>
      <w:r w:rsidRPr="00CB55D7">
        <w:rPr>
          <w:rFonts w:ascii="Times New Roman" w:eastAsia="Times New Roman" w:hAnsi="Times New Roman" w:cs="Times New Roman"/>
          <w:sz w:val="24"/>
          <w:szCs w:val="24"/>
        </w:rPr>
        <w:t>Double and triple</w:t>
      </w:r>
      <w:r>
        <w:rPr>
          <w:rFonts w:ascii="Times New Roman" w:eastAsia="Times New Roman" w:hAnsi="Times New Roman" w:cs="Times New Roman"/>
          <w:sz w:val="24"/>
          <w:szCs w:val="24"/>
        </w:rPr>
        <w:t xml:space="preserve"> </w:t>
      </w:r>
      <w:r w:rsidRPr="00CB55D7">
        <w:rPr>
          <w:rFonts w:ascii="Times New Roman" w:eastAsia="Times New Roman" w:hAnsi="Times New Roman" w:cs="Times New Roman"/>
          <w:sz w:val="24"/>
          <w:szCs w:val="24"/>
        </w:rPr>
        <w:t>cropping practices cover</w:t>
      </w:r>
      <w:r>
        <w:rPr>
          <w:rFonts w:ascii="Times New Roman" w:eastAsia="Times New Roman" w:hAnsi="Times New Roman" w:cs="Times New Roman"/>
          <w:sz w:val="24"/>
          <w:szCs w:val="24"/>
        </w:rPr>
        <w:t>ed</w:t>
      </w:r>
      <w:r w:rsidRPr="00CB55D7">
        <w:rPr>
          <w:rFonts w:ascii="Times New Roman" w:eastAsia="Times New Roman" w:hAnsi="Times New Roman" w:cs="Times New Roman"/>
          <w:sz w:val="24"/>
          <w:szCs w:val="24"/>
        </w:rPr>
        <w:t xml:space="preserve"> 48.30% (2810.22 km²) of the basin, followed by Kharif crops (26.32%; 1531.22 km²), Rabi crops (1.46%; 85.16 km²), and Zaid crops (~0.3 km²).</w:t>
      </w:r>
      <w:r>
        <w:rPr>
          <w:rFonts w:ascii="Times New Roman" w:eastAsia="Times New Roman" w:hAnsi="Times New Roman" w:cs="Times New Roman"/>
          <w:sz w:val="24"/>
          <w:szCs w:val="24"/>
        </w:rPr>
        <w:t xml:space="preserve"> </w:t>
      </w:r>
      <w:r w:rsidRPr="00CB55D7">
        <w:rPr>
          <w:rFonts w:ascii="Times New Roman" w:eastAsia="Times New Roman" w:hAnsi="Times New Roman" w:cs="Times New Roman"/>
          <w:sz w:val="24"/>
          <w:szCs w:val="24"/>
        </w:rPr>
        <w:t xml:space="preserve">The prevalence of seasonal </w:t>
      </w:r>
      <w:r>
        <w:rPr>
          <w:rFonts w:ascii="Times New Roman" w:eastAsia="Times New Roman" w:hAnsi="Times New Roman" w:cs="Times New Roman"/>
          <w:sz w:val="24"/>
          <w:szCs w:val="24"/>
        </w:rPr>
        <w:t>vegetation</w:t>
      </w:r>
      <w:r w:rsidRPr="00CB55D7">
        <w:rPr>
          <w:rFonts w:ascii="Times New Roman" w:eastAsia="Times New Roman" w:hAnsi="Times New Roman" w:cs="Times New Roman"/>
          <w:sz w:val="24"/>
          <w:szCs w:val="24"/>
        </w:rPr>
        <w:t>, particularly within the UHB and MHB, is associated with enhanced irrigation demand.</w:t>
      </w:r>
      <w:r>
        <w:rPr>
          <w:rFonts w:ascii="Times New Roman" w:eastAsia="Times New Roman" w:hAnsi="Times New Roman" w:cs="Times New Roman"/>
          <w:sz w:val="24"/>
          <w:szCs w:val="24"/>
        </w:rPr>
        <w:t xml:space="preserve"> </w:t>
      </w:r>
      <w:r w:rsidRPr="00CB55D7">
        <w:rPr>
          <w:rFonts w:ascii="Times New Roman" w:eastAsia="Times New Roman" w:hAnsi="Times New Roman" w:cs="Times New Roman"/>
          <w:sz w:val="24"/>
          <w:szCs w:val="24"/>
        </w:rPr>
        <w:t>Consistent with this pattern, irrigation intensity increased substantially during the post-monsoon season (IrriInt = 0.66) compared to the pre-monsoon period (IrriInt = 0.19)</w:t>
      </w:r>
      <w:r>
        <w:rPr>
          <w:rFonts w:ascii="Times New Roman" w:eastAsia="Times New Roman" w:hAnsi="Times New Roman" w:cs="Times New Roman"/>
          <w:sz w:val="24"/>
          <w:szCs w:val="24"/>
        </w:rPr>
        <w:t xml:space="preserve">. </w:t>
      </w:r>
      <w:r w:rsidRPr="00CB55D7">
        <w:rPr>
          <w:rFonts w:ascii="Times New Roman" w:eastAsia="Times New Roman" w:hAnsi="Times New Roman" w:cs="Times New Roman"/>
          <w:sz w:val="24"/>
          <w:szCs w:val="24"/>
        </w:rPr>
        <w:t>In contrast</w:t>
      </w:r>
      <w:r>
        <w:rPr>
          <w:rFonts w:ascii="Times New Roman" w:eastAsia="Times New Roman" w:hAnsi="Times New Roman" w:cs="Times New Roman"/>
          <w:sz w:val="24"/>
          <w:szCs w:val="24"/>
        </w:rPr>
        <w:t xml:space="preserve"> to agricultural vegetation, </w:t>
      </w:r>
      <w:r w:rsidRPr="00312955">
        <w:rPr>
          <w:rFonts w:ascii="Times New Roman" w:eastAsia="Times New Roman" w:hAnsi="Times New Roman" w:cs="Times New Roman"/>
          <w:sz w:val="24"/>
          <w:szCs w:val="24"/>
        </w:rPr>
        <w:t xml:space="preserve">naturally occurring vegetation such as plantations and forest cover occupied </w:t>
      </w:r>
      <w:r>
        <w:rPr>
          <w:rFonts w:ascii="Times New Roman" w:eastAsia="Times New Roman" w:hAnsi="Times New Roman" w:cs="Times New Roman"/>
          <w:sz w:val="24"/>
          <w:szCs w:val="24"/>
        </w:rPr>
        <w:t xml:space="preserve">a </w:t>
      </w:r>
      <w:r w:rsidRPr="00312955">
        <w:rPr>
          <w:rFonts w:ascii="Times New Roman" w:eastAsia="Times New Roman" w:hAnsi="Times New Roman" w:cs="Times New Roman"/>
          <w:sz w:val="24"/>
          <w:szCs w:val="24"/>
        </w:rPr>
        <w:t>relatively limited area</w:t>
      </w:r>
      <w:r>
        <w:rPr>
          <w:rFonts w:ascii="Times New Roman" w:eastAsia="Times New Roman" w:hAnsi="Times New Roman" w:cs="Times New Roman"/>
          <w:sz w:val="24"/>
          <w:szCs w:val="24"/>
        </w:rPr>
        <w:t xml:space="preserve"> of </w:t>
      </w:r>
      <w:r w:rsidRPr="00312955">
        <w:rPr>
          <w:rFonts w:ascii="Times New Roman" w:eastAsia="Times New Roman" w:hAnsi="Times New Roman" w:cs="Times New Roman"/>
          <w:sz w:val="24"/>
          <w:szCs w:val="24"/>
        </w:rPr>
        <w:t>369.05 km² and 40.14 km², while grassland and wasteland together constituted only a minor proportion of the basin area.</w:t>
      </w:r>
      <w:r>
        <w:rPr>
          <w:rFonts w:ascii="Times New Roman" w:eastAsia="Times New Roman" w:hAnsi="Times New Roman" w:cs="Times New Roman"/>
          <w:sz w:val="24"/>
          <w:szCs w:val="24"/>
        </w:rPr>
        <w:t xml:space="preserve"> </w:t>
      </w:r>
      <w:r w:rsidRPr="00312955">
        <w:rPr>
          <w:rFonts w:ascii="Times New Roman" w:eastAsia="Times New Roman" w:hAnsi="Times New Roman" w:cs="Times New Roman"/>
          <w:sz w:val="24"/>
          <w:szCs w:val="24"/>
        </w:rPr>
        <w:t xml:space="preserve">In parallel with agricultural </w:t>
      </w:r>
      <w:r>
        <w:rPr>
          <w:rFonts w:ascii="Times New Roman" w:eastAsia="Times New Roman" w:hAnsi="Times New Roman" w:cs="Times New Roman"/>
          <w:sz w:val="24"/>
          <w:szCs w:val="24"/>
        </w:rPr>
        <w:t>practices</w:t>
      </w:r>
      <w:r w:rsidRPr="00312955">
        <w:rPr>
          <w:rFonts w:ascii="Times New Roman" w:eastAsia="Times New Roman" w:hAnsi="Times New Roman" w:cs="Times New Roman"/>
          <w:sz w:val="24"/>
          <w:szCs w:val="24"/>
        </w:rPr>
        <w:t xml:space="preserve">, built-up land accounted </w:t>
      </w:r>
      <w:r>
        <w:rPr>
          <w:rFonts w:ascii="Times New Roman" w:eastAsia="Times New Roman" w:hAnsi="Times New Roman" w:cs="Times New Roman"/>
          <w:sz w:val="24"/>
          <w:szCs w:val="24"/>
        </w:rPr>
        <w:t xml:space="preserve">for </w:t>
      </w:r>
      <w:r w:rsidRPr="00312955">
        <w:rPr>
          <w:rFonts w:ascii="Times New Roman" w:eastAsia="Times New Roman" w:hAnsi="Times New Roman" w:cs="Times New Roman"/>
          <w:sz w:val="24"/>
          <w:szCs w:val="24"/>
        </w:rPr>
        <w:t xml:space="preserve">14.45% (840.96 km²) of the HRB, with a </w:t>
      </w:r>
      <w:r>
        <w:rPr>
          <w:rFonts w:ascii="Times New Roman" w:eastAsia="Times New Roman" w:hAnsi="Times New Roman" w:cs="Times New Roman"/>
          <w:sz w:val="24"/>
          <w:szCs w:val="24"/>
        </w:rPr>
        <w:t>major portion lying within</w:t>
      </w:r>
      <w:r w:rsidRPr="00312955">
        <w:rPr>
          <w:rFonts w:ascii="Times New Roman" w:eastAsia="Times New Roman" w:hAnsi="Times New Roman" w:cs="Times New Roman"/>
          <w:sz w:val="24"/>
          <w:szCs w:val="24"/>
        </w:rPr>
        <w:t xml:space="preserve"> the LHB. These built-up areas </w:t>
      </w:r>
      <w:r>
        <w:rPr>
          <w:rFonts w:ascii="Times New Roman" w:eastAsia="Times New Roman" w:hAnsi="Times New Roman" w:cs="Times New Roman"/>
          <w:sz w:val="24"/>
          <w:szCs w:val="24"/>
        </w:rPr>
        <w:t>support</w:t>
      </w:r>
      <w:r w:rsidRPr="00312955">
        <w:rPr>
          <w:rFonts w:ascii="Times New Roman" w:eastAsia="Times New Roman" w:hAnsi="Times New Roman" w:cs="Times New Roman"/>
          <w:sz w:val="24"/>
          <w:szCs w:val="24"/>
        </w:rPr>
        <w:t xml:space="preserve"> urban and industrial activities, with industrial density notably higher in the MHB (IndDen = 0.03) and LHB (IndDen = 0.08) compared to the UHB </w:t>
      </w:r>
      <w:r w:rsidRPr="00125049">
        <w:rPr>
          <w:rFonts w:ascii="Times New Roman" w:eastAsia="Times New Roman" w:hAnsi="Times New Roman" w:cs="Times New Roman"/>
          <w:sz w:val="24"/>
          <w:szCs w:val="24"/>
        </w:rPr>
        <w:t>(Table S1)</w:t>
      </w:r>
      <w:r w:rsidRPr="00312955">
        <w:rPr>
          <w:rFonts w:ascii="Times New Roman" w:eastAsia="Times New Roman" w:hAnsi="Times New Roman" w:cs="Times New Roman"/>
          <w:sz w:val="24"/>
          <w:szCs w:val="24"/>
        </w:rPr>
        <w:t>.</w:t>
      </w:r>
      <w:r w:rsidR="00FE281C">
        <w:rPr>
          <w:rFonts w:ascii="Times New Roman" w:eastAsia="Times New Roman" w:hAnsi="Times New Roman" w:cs="Times New Roman"/>
          <w:sz w:val="24"/>
          <w:szCs w:val="24"/>
        </w:rPr>
        <w:t xml:space="preserve"> </w:t>
      </w:r>
      <w:r w:rsidRPr="00312955">
        <w:rPr>
          <w:rFonts w:ascii="Times New Roman" w:eastAsia="Times New Roman" w:hAnsi="Times New Roman" w:cs="Times New Roman"/>
          <w:sz w:val="24"/>
          <w:szCs w:val="24"/>
        </w:rPr>
        <w:t>Terrain characteristics further contribute to the observed spatial variability in contamination. Slope analysis indicates that 40.20% of the HRB, primarily distributed across the UHB and MHB, falls within the 2</w:t>
      </w:r>
      <w:r>
        <w:rPr>
          <w:rFonts w:ascii="Times New Roman" w:eastAsia="Times New Roman" w:hAnsi="Times New Roman" w:cs="Times New Roman"/>
          <w:sz w:val="24"/>
          <w:szCs w:val="24"/>
        </w:rPr>
        <w:t>-</w:t>
      </w:r>
      <w:r w:rsidRPr="00312955">
        <w:rPr>
          <w:rFonts w:ascii="Times New Roman" w:eastAsia="Times New Roman" w:hAnsi="Times New Roman" w:cs="Times New Roman"/>
          <w:sz w:val="24"/>
          <w:szCs w:val="24"/>
        </w:rPr>
        <w:t>4% slope category, followed by 29.83% under 0</w:t>
      </w:r>
      <w:r>
        <w:rPr>
          <w:rFonts w:ascii="Times New Roman" w:eastAsia="Times New Roman" w:hAnsi="Times New Roman" w:cs="Times New Roman"/>
          <w:sz w:val="24"/>
          <w:szCs w:val="24"/>
        </w:rPr>
        <w:t>-</w:t>
      </w:r>
      <w:r w:rsidRPr="00312955">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Pr="00312955">
        <w:rPr>
          <w:rFonts w:ascii="Times New Roman" w:eastAsia="Times New Roman" w:hAnsi="Times New Roman" w:cs="Times New Roman"/>
          <w:sz w:val="24"/>
          <w:szCs w:val="24"/>
        </w:rPr>
        <w:t>slopes. Steeper slopes (&gt;4%) account</w:t>
      </w:r>
      <w:r>
        <w:rPr>
          <w:rFonts w:ascii="Times New Roman" w:eastAsia="Times New Roman" w:hAnsi="Times New Roman" w:cs="Times New Roman"/>
          <w:sz w:val="24"/>
          <w:szCs w:val="24"/>
        </w:rPr>
        <w:t>ed</w:t>
      </w:r>
      <w:r w:rsidRPr="00312955">
        <w:rPr>
          <w:rFonts w:ascii="Times New Roman" w:eastAsia="Times New Roman" w:hAnsi="Times New Roman" w:cs="Times New Roman"/>
          <w:sz w:val="24"/>
          <w:szCs w:val="24"/>
        </w:rPr>
        <w:t xml:space="preserve"> 29.47% of the basin area and are predominantly concentrated in the LHB. Soil texture analysis</w:t>
      </w:r>
      <w:r>
        <w:rPr>
          <w:rFonts w:ascii="Times New Roman" w:eastAsia="Times New Roman" w:hAnsi="Times New Roman" w:cs="Times New Roman"/>
          <w:sz w:val="24"/>
          <w:szCs w:val="24"/>
        </w:rPr>
        <w:t xml:space="preserve"> across HRB</w:t>
      </w:r>
      <w:r w:rsidRPr="00312955">
        <w:rPr>
          <w:rFonts w:ascii="Times New Roman" w:eastAsia="Times New Roman" w:hAnsi="Times New Roman" w:cs="Times New Roman"/>
          <w:sz w:val="24"/>
          <w:szCs w:val="24"/>
        </w:rPr>
        <w:t xml:space="preserve"> reveals </w:t>
      </w:r>
      <w:r>
        <w:rPr>
          <w:rFonts w:ascii="Times New Roman" w:eastAsia="Times New Roman" w:hAnsi="Times New Roman" w:cs="Times New Roman"/>
          <w:sz w:val="24"/>
          <w:szCs w:val="24"/>
        </w:rPr>
        <w:t>the</w:t>
      </w:r>
      <w:r w:rsidRPr="00312955">
        <w:rPr>
          <w:rFonts w:ascii="Times New Roman" w:eastAsia="Times New Roman" w:hAnsi="Times New Roman" w:cs="Times New Roman"/>
          <w:sz w:val="24"/>
          <w:szCs w:val="24"/>
        </w:rPr>
        <w:t xml:space="preserve"> dominance of sandy soils (41.60%), followed by silt (37.86%) and clay (20.53%) fractions. While the UHB exhibits a relatively balanced soil texture composition, both the MHB and LHB are characterized by higher sand content, covering 42.66% and 43% of their respective areas.</w:t>
      </w:r>
      <w:r w:rsidR="00FE281C">
        <w:rPr>
          <w:rFonts w:ascii="Times New Roman" w:eastAsia="Times New Roman" w:hAnsi="Times New Roman" w:cs="Times New Roman"/>
          <w:sz w:val="24"/>
          <w:szCs w:val="24"/>
        </w:rPr>
        <w:t xml:space="preserve">  </w:t>
      </w:r>
      <w:r w:rsidRPr="00206386">
        <w:rPr>
          <w:rFonts w:ascii="Times New Roman" w:eastAsia="Times New Roman" w:hAnsi="Times New Roman" w:cs="Times New Roman"/>
          <w:sz w:val="24"/>
          <w:szCs w:val="24"/>
        </w:rPr>
        <w:t>The seasonal dynamics of heavy metal contamination are further influenced by hydrological variables, including evapotranspiration (ET), percolation (PERC), surface runoff (SURQ), and water yield (WYLD) across the HRB (Dwivedi and Yadav, 2025). Comparative analysis between pre- and post-monsoon periods indicates a decline in ET (from 25.17 to 21.59) and PERC (from 5.12 to 0.32). Conversely, the enhanced contribution of surface runoff following monsoonal rain increased water yield from 4.80 to 7.91.</w:t>
      </w:r>
    </w:p>
    <w:p w:rsidR="003703F5" w:rsidRDefault="003703F5" w:rsidP="00135D37">
      <w:pPr>
        <w:spacing w:before="100" w:beforeAutospacing="1" w:after="100" w:afterAutospacing="1" w:line="360" w:lineRule="auto"/>
        <w:jc w:val="both"/>
        <w:rPr>
          <w:rFonts w:ascii="Times New Roman" w:eastAsia="Times New Roman" w:hAnsi="Times New Roman" w:cs="Times New Roman"/>
          <w:b/>
          <w:sz w:val="24"/>
          <w:szCs w:val="24"/>
        </w:rPr>
      </w:pPr>
      <w:r w:rsidRPr="00F57579">
        <w:rPr>
          <w:rFonts w:ascii="Times New Roman" w:eastAsia="Times New Roman" w:hAnsi="Times New Roman" w:cs="Times New Roman"/>
          <w:b/>
          <w:sz w:val="24"/>
          <w:szCs w:val="24"/>
        </w:rPr>
        <w:lastRenderedPageBreak/>
        <w:t xml:space="preserve">Supplementary </w:t>
      </w:r>
      <w:r>
        <w:rPr>
          <w:rFonts w:ascii="Times New Roman" w:eastAsia="Times New Roman" w:hAnsi="Times New Roman" w:cs="Times New Roman"/>
          <w:b/>
          <w:sz w:val="24"/>
          <w:szCs w:val="24"/>
        </w:rPr>
        <w:t>Figures</w:t>
      </w:r>
    </w:p>
    <w:p w:rsidR="003703F5" w:rsidRDefault="003703F5" w:rsidP="00C8499F">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4AAA28AF" wp14:editId="7CE7981D">
            <wp:extent cx="5943600" cy="42373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A result Plot Scree and Loading.png"/>
                    <pic:cNvPicPr/>
                  </pic:nvPicPr>
                  <pic:blipFill>
                    <a:blip r:embed="rId6"/>
                    <a:stretch>
                      <a:fillRect/>
                    </a:stretch>
                  </pic:blipFill>
                  <pic:spPr>
                    <a:xfrm>
                      <a:off x="0" y="0"/>
                      <a:ext cx="5943600" cy="4237355"/>
                    </a:xfrm>
                    <a:prstGeom prst="rect">
                      <a:avLst/>
                    </a:prstGeom>
                  </pic:spPr>
                </pic:pic>
              </a:graphicData>
            </a:graphic>
          </wp:inline>
        </w:drawing>
      </w:r>
    </w:p>
    <w:p w:rsidR="00C8499F" w:rsidRDefault="003703F5" w:rsidP="00C8499F">
      <w:pPr>
        <w:spacing w:before="100" w:beforeAutospacing="1" w:after="100" w:afterAutospacing="1" w:line="360" w:lineRule="auto"/>
        <w:jc w:val="center"/>
        <w:rPr>
          <w:rFonts w:ascii="Times New Roman" w:eastAsia="Times New Roman" w:hAnsi="Times New Roman" w:cs="Times New Roman"/>
          <w:iCs/>
          <w:sz w:val="24"/>
          <w:szCs w:val="24"/>
        </w:rPr>
      </w:pPr>
      <w:r w:rsidRPr="005E4456">
        <w:rPr>
          <w:rFonts w:ascii="Times New Roman" w:eastAsia="Times New Roman" w:hAnsi="Times New Roman" w:cs="Times New Roman"/>
          <w:b/>
          <w:bCs/>
          <w:sz w:val="24"/>
          <w:szCs w:val="24"/>
        </w:rPr>
        <w:t>Fig.</w:t>
      </w:r>
      <w:r>
        <w:rPr>
          <w:rFonts w:ascii="Times New Roman" w:eastAsia="Times New Roman" w:hAnsi="Times New Roman" w:cs="Times New Roman"/>
          <w:b/>
          <w:bCs/>
          <w:sz w:val="24"/>
          <w:szCs w:val="24"/>
        </w:rPr>
        <w:t xml:space="preserve"> S1</w:t>
      </w:r>
      <w:r w:rsidR="00C8499F">
        <w:rPr>
          <w:rFonts w:ascii="Times New Roman" w:eastAsia="Times New Roman" w:hAnsi="Times New Roman" w:cs="Times New Roman"/>
          <w:b/>
          <w:bCs/>
          <w:sz w:val="24"/>
          <w:szCs w:val="24"/>
        </w:rPr>
        <w:t>.</w:t>
      </w:r>
      <w:r>
        <w:rPr>
          <w:rStyle w:val="Strong"/>
          <w:i/>
        </w:rPr>
        <w:t xml:space="preserve"> </w:t>
      </w:r>
      <w:r w:rsidRPr="005E4456">
        <w:rPr>
          <w:rFonts w:ascii="Times New Roman" w:eastAsia="Times New Roman" w:hAnsi="Times New Roman" w:cs="Times New Roman"/>
          <w:sz w:val="24"/>
          <w:szCs w:val="24"/>
        </w:rPr>
        <w:t>PCA results showing (a) scree plot with eigenvalues and cumulative variance, (b) variable loadings of hazard and hydrological forcing parameters on PC1 and PC2, and (c) score distribution of shallow- and deep-root vegetation types on PC1 and PC2</w:t>
      </w:r>
      <w:r w:rsidRPr="005E4456">
        <w:rPr>
          <w:rFonts w:ascii="Times New Roman" w:eastAsia="Times New Roman" w:hAnsi="Times New Roman" w:cs="Times New Roman"/>
          <w:i/>
          <w:iCs/>
          <w:sz w:val="24"/>
          <w:szCs w:val="24"/>
        </w:rPr>
        <w:t>.</w:t>
      </w:r>
    </w:p>
    <w:p w:rsidR="00C8499F" w:rsidRDefault="00C8499F" w:rsidP="00C8499F">
      <w:pPr>
        <w:spacing w:line="360" w:lineRule="auto"/>
        <w:rPr>
          <w:rFonts w:ascii="Times New Roman" w:eastAsia="Times New Roman" w:hAnsi="Times New Roman" w:cs="Times New Roman"/>
          <w:sz w:val="24"/>
          <w:szCs w:val="24"/>
        </w:rPr>
      </w:pPr>
    </w:p>
    <w:p w:rsidR="003703F5" w:rsidRPr="00C8499F" w:rsidRDefault="00C8499F" w:rsidP="00C8499F">
      <w:pPr>
        <w:spacing w:before="100" w:beforeAutospacing="1" w:after="100" w:afterAutospacing="1"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3703F5" w:rsidRDefault="00B0089E" w:rsidP="00C8499F">
      <w:pPr>
        <w:spacing w:before="100" w:beforeAutospacing="1" w:after="100" w:afterAutospacing="1"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extent cx="5943600" cy="50761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utocorrelationPlot.png"/>
                    <pic:cNvPicPr/>
                  </pic:nvPicPr>
                  <pic:blipFill>
                    <a:blip r:embed="rId7"/>
                    <a:stretch>
                      <a:fillRect/>
                    </a:stretch>
                  </pic:blipFill>
                  <pic:spPr>
                    <a:xfrm>
                      <a:off x="0" y="0"/>
                      <a:ext cx="5943600" cy="5076190"/>
                    </a:xfrm>
                    <a:prstGeom prst="rect">
                      <a:avLst/>
                    </a:prstGeom>
                  </pic:spPr>
                </pic:pic>
              </a:graphicData>
            </a:graphic>
          </wp:inline>
        </w:drawing>
      </w:r>
    </w:p>
    <w:p w:rsidR="003703F5" w:rsidRPr="003703F5" w:rsidRDefault="003703F5" w:rsidP="00C8499F">
      <w:pPr>
        <w:spacing w:before="100" w:beforeAutospacing="1" w:after="100" w:afterAutospacing="1"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Fig. S2</w:t>
      </w:r>
      <w:r w:rsidR="00C8499F">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3703F5">
        <w:rPr>
          <w:rFonts w:ascii="Times New Roman" w:eastAsia="Times New Roman" w:hAnsi="Times New Roman" w:cs="Times New Roman"/>
          <w:sz w:val="28"/>
          <w:szCs w:val="28"/>
        </w:rPr>
        <w:t xml:space="preserve">Spatial autocorrelation maps of </w:t>
      </w:r>
      <w:r w:rsidR="007077D9">
        <w:rPr>
          <w:rFonts w:ascii="Times New Roman" w:eastAsia="Times New Roman" w:hAnsi="Times New Roman" w:cs="Times New Roman"/>
          <w:sz w:val="28"/>
          <w:szCs w:val="28"/>
        </w:rPr>
        <w:t xml:space="preserve">(a) </w:t>
      </w:r>
      <w:r w:rsidRPr="003703F5">
        <w:rPr>
          <w:rFonts w:ascii="Times New Roman" w:eastAsia="Times New Roman" w:hAnsi="Times New Roman" w:cs="Times New Roman"/>
          <w:sz w:val="28"/>
          <w:szCs w:val="28"/>
        </w:rPr>
        <w:t xml:space="preserve">surface and </w:t>
      </w:r>
      <w:r w:rsidR="00B0089E">
        <w:rPr>
          <w:rFonts w:ascii="Times New Roman" w:eastAsia="Times New Roman" w:hAnsi="Times New Roman" w:cs="Times New Roman"/>
          <w:sz w:val="28"/>
          <w:szCs w:val="28"/>
        </w:rPr>
        <w:t xml:space="preserve">(b) </w:t>
      </w:r>
      <w:r w:rsidRPr="003703F5">
        <w:rPr>
          <w:rFonts w:ascii="Times New Roman" w:eastAsia="Times New Roman" w:hAnsi="Times New Roman" w:cs="Times New Roman"/>
          <w:sz w:val="28"/>
          <w:szCs w:val="28"/>
        </w:rPr>
        <w:t xml:space="preserve">subsurface hazard and </w:t>
      </w:r>
      <w:r w:rsidR="00B0089E">
        <w:rPr>
          <w:rFonts w:ascii="Times New Roman" w:eastAsia="Times New Roman" w:hAnsi="Times New Roman" w:cs="Times New Roman"/>
          <w:sz w:val="28"/>
          <w:szCs w:val="28"/>
        </w:rPr>
        <w:t xml:space="preserve">(c) surface (d) subsurface </w:t>
      </w:r>
      <w:r w:rsidRPr="003703F5">
        <w:rPr>
          <w:rFonts w:ascii="Times New Roman" w:eastAsia="Times New Roman" w:hAnsi="Times New Roman" w:cs="Times New Roman"/>
          <w:sz w:val="28"/>
          <w:szCs w:val="28"/>
        </w:rPr>
        <w:t>hydrological forcing indicators during the pre- and post-monsoon season in 2023.</w:t>
      </w:r>
    </w:p>
    <w:p w:rsidR="00C8499F" w:rsidRPr="00277B5C" w:rsidRDefault="00C8499F" w:rsidP="00C8499F">
      <w:pPr>
        <w:spacing w:before="100" w:beforeAutospacing="1" w:after="100" w:afterAutospacing="1"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14:anchorId="152AD4D9" wp14:editId="273453FD">
            <wp:extent cx="5848350" cy="7653466"/>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M Spatial Plot SL and SW.png"/>
                    <pic:cNvPicPr/>
                  </pic:nvPicPr>
                  <pic:blipFill>
                    <a:blip r:embed="rId8"/>
                    <a:stretch>
                      <a:fillRect/>
                    </a:stretch>
                  </pic:blipFill>
                  <pic:spPr>
                    <a:xfrm>
                      <a:off x="0" y="0"/>
                      <a:ext cx="5848350" cy="7653466"/>
                    </a:xfrm>
                    <a:prstGeom prst="rect">
                      <a:avLst/>
                    </a:prstGeom>
                  </pic:spPr>
                </pic:pic>
              </a:graphicData>
            </a:graphic>
          </wp:inline>
        </w:drawing>
      </w:r>
    </w:p>
    <w:p w:rsidR="00C8499F" w:rsidRPr="007403BD" w:rsidRDefault="00C8499F" w:rsidP="00C8499F">
      <w:pPr>
        <w:pStyle w:val="NormalWeb"/>
        <w:spacing w:before="0" w:beforeAutospacing="0" w:after="0" w:afterAutospacing="0" w:line="360" w:lineRule="auto"/>
      </w:pPr>
    </w:p>
    <w:p w:rsidR="00C8499F" w:rsidRDefault="00C8499F" w:rsidP="00C8499F">
      <w:pPr>
        <w:pStyle w:val="NormalWeb"/>
        <w:spacing w:before="0" w:beforeAutospacing="0" w:after="0" w:afterAutospacing="0" w:line="360" w:lineRule="auto"/>
        <w:jc w:val="center"/>
      </w:pPr>
      <w:r w:rsidRPr="007403BD">
        <w:rPr>
          <w:b/>
        </w:rPr>
        <w:lastRenderedPageBreak/>
        <w:t>Fig.</w:t>
      </w:r>
      <w:r>
        <w:rPr>
          <w:b/>
        </w:rPr>
        <w:t xml:space="preserve"> S3.</w:t>
      </w:r>
      <w:r w:rsidRPr="007403BD">
        <w:rPr>
          <w:b/>
        </w:rPr>
        <w:t xml:space="preserve"> </w:t>
      </w:r>
      <w:r w:rsidRPr="005B34E5">
        <w:t xml:space="preserve">Spatial </w:t>
      </w:r>
      <w:r>
        <w:t xml:space="preserve">and seasonal </w:t>
      </w:r>
      <w:r w:rsidRPr="005B34E5">
        <w:t xml:space="preserve">distribution of heavy metal concentration in </w:t>
      </w:r>
      <w:r>
        <w:t xml:space="preserve">(a) </w:t>
      </w:r>
      <w:r w:rsidRPr="005B34E5">
        <w:t xml:space="preserve">surface water </w:t>
      </w:r>
      <w:r>
        <w:t xml:space="preserve">and (b) soil </w:t>
      </w:r>
      <w:r w:rsidRPr="005B34E5">
        <w:t>during the pre- and post-monsoon</w:t>
      </w:r>
      <w:r w:rsidR="00B64754">
        <w:t xml:space="preserve"> seasons</w:t>
      </w:r>
      <w:r w:rsidRPr="005B34E5">
        <w:t>.</w:t>
      </w:r>
    </w:p>
    <w:p w:rsidR="00D5676A" w:rsidRDefault="00D5676A" w:rsidP="00C8499F">
      <w:pPr>
        <w:pStyle w:val="NormalWeb"/>
        <w:spacing w:before="0" w:beforeAutospacing="0" w:after="0" w:afterAutospacing="0" w:line="360" w:lineRule="auto"/>
        <w:jc w:val="center"/>
        <w:rPr>
          <w:b/>
        </w:rPr>
      </w:pPr>
      <w:r>
        <w:rPr>
          <w:b/>
          <w:noProof/>
        </w:rPr>
        <w:drawing>
          <wp:inline distT="0" distB="0" distL="0" distR="0">
            <wp:extent cx="5943600" cy="48158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SI across HRB subregions and MFOZs.png"/>
                    <pic:cNvPicPr/>
                  </pic:nvPicPr>
                  <pic:blipFill>
                    <a:blip r:embed="rId9"/>
                    <a:stretch>
                      <a:fillRect/>
                    </a:stretch>
                  </pic:blipFill>
                  <pic:spPr>
                    <a:xfrm>
                      <a:off x="0" y="0"/>
                      <a:ext cx="5943600" cy="4815840"/>
                    </a:xfrm>
                    <a:prstGeom prst="rect">
                      <a:avLst/>
                    </a:prstGeom>
                  </pic:spPr>
                </pic:pic>
              </a:graphicData>
            </a:graphic>
          </wp:inline>
        </w:drawing>
      </w:r>
    </w:p>
    <w:p w:rsidR="00D5676A" w:rsidRDefault="00D5676A" w:rsidP="00D5676A">
      <w:pPr>
        <w:pStyle w:val="NormalWeb"/>
        <w:spacing w:before="0" w:beforeAutospacing="0" w:after="0" w:afterAutospacing="0" w:line="360" w:lineRule="auto"/>
        <w:jc w:val="center"/>
      </w:pPr>
      <w:r w:rsidRPr="007403BD">
        <w:rPr>
          <w:b/>
        </w:rPr>
        <w:t>Fig.</w:t>
      </w:r>
      <w:r>
        <w:rPr>
          <w:b/>
        </w:rPr>
        <w:t xml:space="preserve"> S4.</w:t>
      </w:r>
      <w:r w:rsidRPr="007403BD">
        <w:rPr>
          <w:b/>
        </w:rPr>
        <w:t xml:space="preserve"> </w:t>
      </w:r>
      <w:r w:rsidRPr="00D5676A">
        <w:t xml:space="preserve">Spatial and seasonal distribution of </w:t>
      </w:r>
      <w:r>
        <w:t>CSI</w:t>
      </w:r>
      <w:r w:rsidRPr="00D5676A">
        <w:t xml:space="preserve"> across (a) sub-regions, and (b) MFOZs of the HRB</w:t>
      </w:r>
      <w:r w:rsidRPr="005B34E5">
        <w:t>.</w:t>
      </w:r>
    </w:p>
    <w:p w:rsidR="00D5676A" w:rsidRDefault="00D5676A" w:rsidP="00C8499F">
      <w:pPr>
        <w:pStyle w:val="NormalWeb"/>
        <w:spacing w:before="0" w:beforeAutospacing="0" w:after="0" w:afterAutospacing="0" w:line="360" w:lineRule="auto"/>
        <w:jc w:val="center"/>
        <w:rPr>
          <w:b/>
        </w:rPr>
      </w:pPr>
    </w:p>
    <w:p w:rsidR="00D5676A" w:rsidRDefault="00D5676A" w:rsidP="00C8499F">
      <w:pPr>
        <w:pStyle w:val="NormalWeb"/>
        <w:spacing w:before="0" w:beforeAutospacing="0" w:after="0" w:afterAutospacing="0" w:line="360" w:lineRule="auto"/>
        <w:jc w:val="center"/>
        <w:rPr>
          <w:b/>
        </w:rPr>
      </w:pPr>
      <w:r>
        <w:rPr>
          <w:b/>
          <w:noProof/>
        </w:rPr>
        <w:lastRenderedPageBreak/>
        <w:drawing>
          <wp:inline distT="0" distB="0" distL="0" distR="0">
            <wp:extent cx="5943600" cy="48158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PI across HRB subregions and MFOZs.png"/>
                    <pic:cNvPicPr/>
                  </pic:nvPicPr>
                  <pic:blipFill>
                    <a:blip r:embed="rId10"/>
                    <a:stretch>
                      <a:fillRect/>
                    </a:stretch>
                  </pic:blipFill>
                  <pic:spPr>
                    <a:xfrm>
                      <a:off x="0" y="0"/>
                      <a:ext cx="5943600" cy="4815840"/>
                    </a:xfrm>
                    <a:prstGeom prst="rect">
                      <a:avLst/>
                    </a:prstGeom>
                  </pic:spPr>
                </pic:pic>
              </a:graphicData>
            </a:graphic>
          </wp:inline>
        </w:drawing>
      </w:r>
    </w:p>
    <w:p w:rsidR="00D5676A" w:rsidRDefault="00D5676A" w:rsidP="00D5676A">
      <w:pPr>
        <w:pStyle w:val="NormalWeb"/>
        <w:spacing w:before="0" w:beforeAutospacing="0" w:after="0" w:afterAutospacing="0" w:line="360" w:lineRule="auto"/>
        <w:jc w:val="center"/>
      </w:pPr>
      <w:r w:rsidRPr="007403BD">
        <w:rPr>
          <w:b/>
        </w:rPr>
        <w:t>Fig.</w:t>
      </w:r>
      <w:r>
        <w:rPr>
          <w:b/>
        </w:rPr>
        <w:t xml:space="preserve"> S5.</w:t>
      </w:r>
      <w:r w:rsidRPr="007403BD">
        <w:rPr>
          <w:b/>
        </w:rPr>
        <w:t xml:space="preserve"> </w:t>
      </w:r>
      <w:r w:rsidRPr="00D5676A">
        <w:t xml:space="preserve">Spatial and seasonal distribution of </w:t>
      </w:r>
      <w:r>
        <w:t>EPI</w:t>
      </w:r>
      <w:r w:rsidRPr="00D5676A">
        <w:t xml:space="preserve"> across (a) sub-regions, and (b) MFOZs of the HRB</w:t>
      </w:r>
      <w:r w:rsidRPr="005B34E5">
        <w:t>.</w:t>
      </w:r>
    </w:p>
    <w:p w:rsidR="00D5676A" w:rsidRPr="00D5676A" w:rsidRDefault="00D5676A" w:rsidP="00D5676A">
      <w:pPr>
        <w:jc w:val="center"/>
      </w:pPr>
    </w:p>
    <w:p w:rsidR="00D5676A" w:rsidRDefault="00D5676A" w:rsidP="00C8499F">
      <w:pPr>
        <w:pStyle w:val="NormalWeb"/>
        <w:spacing w:before="0" w:beforeAutospacing="0" w:after="0" w:afterAutospacing="0" w:line="360" w:lineRule="auto"/>
        <w:jc w:val="center"/>
        <w:rPr>
          <w:b/>
        </w:rPr>
      </w:pPr>
      <w:r>
        <w:rPr>
          <w:b/>
          <w:noProof/>
        </w:rPr>
        <w:lastRenderedPageBreak/>
        <w:drawing>
          <wp:inline distT="0" distB="0" distL="0" distR="0">
            <wp:extent cx="5943600" cy="48158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RV across HRB subregions and MFOZs.png"/>
                    <pic:cNvPicPr/>
                  </pic:nvPicPr>
                  <pic:blipFill>
                    <a:blip r:embed="rId11"/>
                    <a:stretch>
                      <a:fillRect/>
                    </a:stretch>
                  </pic:blipFill>
                  <pic:spPr>
                    <a:xfrm>
                      <a:off x="0" y="0"/>
                      <a:ext cx="5943600" cy="4815840"/>
                    </a:xfrm>
                    <a:prstGeom prst="rect">
                      <a:avLst/>
                    </a:prstGeom>
                  </pic:spPr>
                </pic:pic>
              </a:graphicData>
            </a:graphic>
          </wp:inline>
        </w:drawing>
      </w:r>
    </w:p>
    <w:p w:rsidR="00D5676A" w:rsidRPr="00D5676A" w:rsidRDefault="00D5676A" w:rsidP="00D5676A">
      <w:pPr>
        <w:pStyle w:val="NormalWeb"/>
        <w:spacing w:before="0" w:beforeAutospacing="0" w:after="0" w:afterAutospacing="0" w:line="360" w:lineRule="auto"/>
        <w:jc w:val="center"/>
      </w:pPr>
      <w:r w:rsidRPr="007403BD">
        <w:rPr>
          <w:b/>
        </w:rPr>
        <w:t>Fig.</w:t>
      </w:r>
      <w:r>
        <w:rPr>
          <w:b/>
        </w:rPr>
        <w:t xml:space="preserve"> S6.</w:t>
      </w:r>
      <w:r w:rsidRPr="007403BD">
        <w:rPr>
          <w:b/>
        </w:rPr>
        <w:t xml:space="preserve"> </w:t>
      </w:r>
      <w:r w:rsidRPr="00D5676A">
        <w:t xml:space="preserve">Spatial and seasonal distribution of </w:t>
      </w:r>
      <w:r>
        <w:t>CSI</w:t>
      </w:r>
      <w:r w:rsidRPr="00D5676A">
        <w:t xml:space="preserve"> across (a) sub-regions, and (b) MFOZs of the HRB</w:t>
      </w:r>
      <w:r w:rsidRPr="005B34E5">
        <w:t>.</w:t>
      </w:r>
    </w:p>
    <w:p w:rsidR="003703F5" w:rsidRPr="00F57579" w:rsidRDefault="00C8499F" w:rsidP="00C8499F">
      <w:pPr>
        <w:spacing w:before="100" w:beforeAutospacing="1" w:after="100" w:afterAutospacing="1" w:line="360" w:lineRule="auto"/>
        <w:jc w:val="both"/>
        <w:rPr>
          <w:rFonts w:ascii="Times New Roman" w:eastAsia="Times New Roman" w:hAnsi="Times New Roman" w:cs="Times New Roman"/>
          <w:b/>
          <w:sz w:val="24"/>
          <w:szCs w:val="24"/>
        </w:rPr>
      </w:pPr>
      <w:r w:rsidRPr="00F57579">
        <w:rPr>
          <w:rFonts w:ascii="Times New Roman" w:eastAsia="Times New Roman" w:hAnsi="Times New Roman" w:cs="Times New Roman"/>
          <w:b/>
          <w:sz w:val="24"/>
          <w:szCs w:val="24"/>
        </w:rPr>
        <w:t xml:space="preserve">Supplementary </w:t>
      </w:r>
      <w:r>
        <w:rPr>
          <w:rFonts w:ascii="Times New Roman" w:eastAsia="Times New Roman" w:hAnsi="Times New Roman" w:cs="Times New Roman"/>
          <w:b/>
          <w:sz w:val="24"/>
          <w:szCs w:val="24"/>
        </w:rPr>
        <w:t>Tables</w:t>
      </w:r>
    </w:p>
    <w:p w:rsidR="00C8499F" w:rsidRPr="00C8499F" w:rsidRDefault="00C8499F" w:rsidP="00C8499F">
      <w:pPr>
        <w:pStyle w:val="NormalWeb"/>
        <w:spacing w:before="0" w:beforeAutospacing="0" w:after="0" w:afterAutospacing="0" w:line="360" w:lineRule="auto"/>
        <w:jc w:val="center"/>
      </w:pPr>
      <w:r w:rsidRPr="00C8499F">
        <w:rPr>
          <w:b/>
        </w:rPr>
        <w:t>Table S1</w:t>
      </w:r>
      <w:r w:rsidRPr="00C8499F">
        <w:t xml:space="preserve"> Statistical summary of environmental parameters across the measurement period.</w:t>
      </w:r>
    </w:p>
    <w:tbl>
      <w:tblPr>
        <w:tblW w:w="9282" w:type="dxa"/>
        <w:jc w:val="center"/>
        <w:tblLook w:val="04A0" w:firstRow="1" w:lastRow="0" w:firstColumn="1" w:lastColumn="0" w:noHBand="0" w:noVBand="1"/>
      </w:tblPr>
      <w:tblGrid>
        <w:gridCol w:w="2070"/>
        <w:gridCol w:w="1800"/>
        <w:gridCol w:w="1908"/>
        <w:gridCol w:w="2376"/>
        <w:gridCol w:w="1128"/>
      </w:tblGrid>
      <w:tr w:rsidR="00C8499F" w:rsidRPr="007403BD" w:rsidTr="00FE281C">
        <w:trPr>
          <w:trHeight w:val="645"/>
          <w:jc w:val="center"/>
        </w:trPr>
        <w:tc>
          <w:tcPr>
            <w:tcW w:w="2070" w:type="dxa"/>
            <w:tcBorders>
              <w:top w:val="single" w:sz="8" w:space="0" w:color="auto"/>
              <w:left w:val="nil"/>
              <w:bottom w:val="single" w:sz="8" w:space="0" w:color="auto"/>
              <w:right w:val="nil"/>
            </w:tcBorders>
            <w:shd w:val="clear" w:color="auto" w:fill="auto"/>
            <w:noWrap/>
            <w:vAlign w:val="center"/>
            <w:hideMark/>
          </w:tcPr>
          <w:p w:rsidR="00C8499F" w:rsidRDefault="00C8499F" w:rsidP="00597753">
            <w:pPr>
              <w:spacing w:after="0" w:line="240" w:lineRule="auto"/>
              <w:rPr>
                <w:rFonts w:ascii="Times New Roman" w:eastAsia="Times New Roman" w:hAnsi="Times New Roman" w:cs="Times New Roman"/>
                <w:b/>
                <w:bCs/>
                <w:color w:val="000000"/>
                <w:sz w:val="24"/>
                <w:szCs w:val="24"/>
              </w:rPr>
            </w:pPr>
            <w:r w:rsidRPr="007403BD">
              <w:rPr>
                <w:rFonts w:ascii="Times New Roman" w:eastAsia="Times New Roman" w:hAnsi="Times New Roman" w:cs="Times New Roman"/>
                <w:b/>
                <w:bCs/>
                <w:color w:val="000000"/>
                <w:sz w:val="24"/>
                <w:szCs w:val="24"/>
              </w:rPr>
              <w:t>Parameters</w:t>
            </w:r>
          </w:p>
          <w:p w:rsidR="00C8499F" w:rsidRPr="007403BD" w:rsidRDefault="00C8499F" w:rsidP="0059775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(Units)</w:t>
            </w:r>
          </w:p>
        </w:tc>
        <w:tc>
          <w:tcPr>
            <w:tcW w:w="1800" w:type="dxa"/>
            <w:tcBorders>
              <w:top w:val="single" w:sz="8" w:space="0" w:color="auto"/>
              <w:left w:val="nil"/>
              <w:bottom w:val="single" w:sz="8" w:space="0" w:color="auto"/>
              <w:right w:val="nil"/>
            </w:tcBorders>
            <w:shd w:val="clear" w:color="auto" w:fill="auto"/>
            <w:vAlign w:val="center"/>
            <w:hideMark/>
          </w:tcPr>
          <w:p w:rsidR="00C8499F" w:rsidRPr="007403BD" w:rsidRDefault="00C8499F" w:rsidP="00597753">
            <w:pPr>
              <w:spacing w:after="0" w:line="240" w:lineRule="auto"/>
              <w:jc w:val="center"/>
              <w:rPr>
                <w:rFonts w:ascii="Times New Roman" w:eastAsia="Times New Roman" w:hAnsi="Times New Roman" w:cs="Times New Roman"/>
                <w:b/>
                <w:bCs/>
                <w:color w:val="000000"/>
                <w:sz w:val="24"/>
                <w:szCs w:val="24"/>
              </w:rPr>
            </w:pPr>
            <w:r w:rsidRPr="007403BD">
              <w:rPr>
                <w:rFonts w:ascii="Times New Roman" w:eastAsia="Times New Roman" w:hAnsi="Times New Roman" w:cs="Times New Roman"/>
                <w:b/>
                <w:bCs/>
                <w:color w:val="000000"/>
                <w:sz w:val="24"/>
                <w:szCs w:val="24"/>
              </w:rPr>
              <w:t>Measurement period</w:t>
            </w:r>
          </w:p>
        </w:tc>
        <w:tc>
          <w:tcPr>
            <w:tcW w:w="1908" w:type="dxa"/>
            <w:tcBorders>
              <w:top w:val="single" w:sz="8" w:space="0" w:color="auto"/>
              <w:left w:val="nil"/>
              <w:bottom w:val="single" w:sz="8" w:space="0" w:color="auto"/>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Mean </w:t>
            </w:r>
            <w:r w:rsidRPr="007403BD">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z w:val="24"/>
                <w:szCs w:val="24"/>
              </w:rPr>
              <w:t xml:space="preserve"> SD</w:t>
            </w:r>
          </w:p>
        </w:tc>
        <w:tc>
          <w:tcPr>
            <w:tcW w:w="2376" w:type="dxa"/>
            <w:tcBorders>
              <w:top w:val="single" w:sz="8" w:space="0" w:color="auto"/>
              <w:left w:val="nil"/>
              <w:bottom w:val="single" w:sz="8" w:space="0" w:color="auto"/>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b/>
                <w:bCs/>
                <w:color w:val="000000"/>
                <w:sz w:val="24"/>
                <w:szCs w:val="24"/>
              </w:rPr>
            </w:pPr>
            <w:r w:rsidRPr="007403BD">
              <w:rPr>
                <w:rFonts w:ascii="Times New Roman" w:eastAsia="Times New Roman" w:hAnsi="Times New Roman" w:cs="Times New Roman"/>
                <w:b/>
                <w:bCs/>
                <w:color w:val="000000"/>
                <w:sz w:val="24"/>
                <w:szCs w:val="24"/>
              </w:rPr>
              <w:t>Min-Max</w:t>
            </w:r>
          </w:p>
        </w:tc>
        <w:tc>
          <w:tcPr>
            <w:tcW w:w="1128" w:type="dxa"/>
            <w:tcBorders>
              <w:top w:val="single" w:sz="8" w:space="0" w:color="auto"/>
              <w:left w:val="nil"/>
              <w:bottom w:val="single" w:sz="8" w:space="0" w:color="auto"/>
              <w:right w:val="nil"/>
            </w:tcBorders>
            <w:shd w:val="clear" w:color="auto" w:fill="auto"/>
            <w:vAlign w:val="center"/>
            <w:hideMark/>
          </w:tcPr>
          <w:p w:rsidR="00C8499F" w:rsidRPr="007403BD" w:rsidRDefault="00C8499F" w:rsidP="00597753">
            <w:pPr>
              <w:spacing w:after="0" w:line="240" w:lineRule="auto"/>
              <w:jc w:val="center"/>
              <w:rPr>
                <w:rFonts w:ascii="Times New Roman" w:eastAsia="Times New Roman" w:hAnsi="Times New Roman" w:cs="Times New Roman"/>
                <w:b/>
                <w:bCs/>
                <w:color w:val="000000"/>
                <w:sz w:val="24"/>
                <w:szCs w:val="24"/>
              </w:rPr>
            </w:pPr>
            <w:r w:rsidRPr="007403BD">
              <w:rPr>
                <w:rFonts w:ascii="Times New Roman" w:eastAsia="Times New Roman" w:hAnsi="Times New Roman" w:cs="Times New Roman"/>
                <w:b/>
                <w:bCs/>
                <w:color w:val="000000"/>
                <w:sz w:val="24"/>
                <w:szCs w:val="24"/>
              </w:rPr>
              <w:t>CV</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Cr (SW)</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0.1275±0.1148</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0.0096-0.5383</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0.9001</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0.0339±0.0087</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0.0116-0.0501</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0.2554</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Ni (SW)</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0.0368±0.0425</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0.0084-0.1873</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1.154</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0.0152±0.005</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0.0012-0.0315</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0.3292</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As (SW)</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0.0064±0.0044</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0.0003-0.0172</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0.6864</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0.0036±0.0015</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0.0009-0.0072</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0.4252</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Cd (SW)</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0.0358±0.0549</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0.0008-0.2698</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1.5352</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0.0031±0.0017</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0.0005-0.0084</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0.5357</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Hg (SW)</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0.0186±0.0735</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0.0001-0.3706</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3.964</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0.0004±0.0007</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0.0001-0.0026</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1.5625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Pb (SW)</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0.0404±0.0372</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0.0034-0.1304</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0.9206</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0.0044±0.0028</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0.0005-0.0098</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0.6239</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Cr (SL)</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34.1037±9.7856</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21.1162-62.2407</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0.2869</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31.1665±10.1662</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18.8368-59.9613</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0.3262</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Ni (SL)</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19.7807±4.8561</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11.015-30.108</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0.2455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17.5485±5.15</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9.3288-28.4219</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0.2935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As (SL)</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6.2768±1.9753</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4.363-10.4448</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0.3147</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3.43±1.9647</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1.5097-7.5915</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0.5728</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Cd (SL)</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1.9649±1.1987</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0.4565-5.8794</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0.61</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0.6036±0.8753</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0.0001-4.1788</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1.4503</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Hg (SL)</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0.7139±2.9055</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0.0001-17.4</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4.0701</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0.5623±2.9173</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0.0001-17.3223</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5.1879</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Pb (SL)</w:t>
            </w:r>
            <w:r>
              <w:rPr>
                <w:rFonts w:ascii="Times New Roman" w:eastAsia="Times New Roman" w:hAnsi="Times New Roman" w:cs="Times New Roman"/>
                <w:color w:val="000000"/>
                <w:sz w:val="24"/>
                <w:szCs w:val="24"/>
              </w:rPr>
              <w:t xml:space="preserve"> (mg/l)</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18.4746±9.0164</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9.6363-50.6991</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0.488</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12.8576±9.0867</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2.9776-45.0749</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0.7067</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BU</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24.0273±52.005</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0.7063-316.5887</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2.1644</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KH</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43.7491±30.977</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1.605-120.4282</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0.7081</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RB</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2.4332±9.0881</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0.0126-53.5468</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3.735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ZD</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0.0081±0.0162</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0.0000-0.0631</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1.9925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DT</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80.292±54.4089</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4.0455-187.9308</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0.6776</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CF</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2.3001±6.2471</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0.0252-37.472</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2.716</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PL</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10.5444±13.9817</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0.0000.1766-59.44</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1.326</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FR</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1.1468±2.0236</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0.0000-10.6513</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1.7645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GL</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0.1032±0.3049</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0.0000-1.6239</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2.9557</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WL</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1.807±3.7938</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0.0000-16.6675</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2.0995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WB</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1.2984±1.9629</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0.0000-8.9707</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1.5118</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S0-2</w:t>
            </w:r>
            <w:r>
              <w:rPr>
                <w:rFonts w:ascii="Times New Roman" w:eastAsia="Times New Roman" w:hAnsi="Times New Roman" w:cs="Times New Roman"/>
                <w:color w:val="000000"/>
                <w:sz w:val="24"/>
                <w:szCs w:val="24"/>
              </w:rPr>
              <w:t xml:space="preserve"> (%)</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29.8284±7.4182</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9.9031-40.3409</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0.2487</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S2-4</w:t>
            </w:r>
            <w:r>
              <w:rPr>
                <w:rFonts w:ascii="Times New Roman" w:eastAsia="Times New Roman" w:hAnsi="Times New Roman" w:cs="Times New Roman"/>
                <w:color w:val="000000"/>
                <w:sz w:val="24"/>
                <w:szCs w:val="24"/>
              </w:rPr>
              <w:t xml:space="preserve"> (%)</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40.2037±5.5411</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13.032-43.4669</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0.1378</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S&gt;4</w:t>
            </w:r>
            <w:r>
              <w:rPr>
                <w:rFonts w:ascii="Times New Roman" w:eastAsia="Times New Roman" w:hAnsi="Times New Roman" w:cs="Times New Roman"/>
                <w:color w:val="000000"/>
                <w:sz w:val="24"/>
                <w:szCs w:val="24"/>
              </w:rPr>
              <w:t xml:space="preserve"> (%)</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29.4665±11.0632</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16.9647-65.4343</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0.3754</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Clay</w:t>
            </w:r>
            <w:r>
              <w:rPr>
                <w:rFonts w:ascii="Times New Roman" w:eastAsia="Times New Roman" w:hAnsi="Times New Roman" w:cs="Times New Roman"/>
                <w:color w:val="000000"/>
                <w:sz w:val="24"/>
                <w:szCs w:val="24"/>
              </w:rPr>
              <w:t xml:space="preserve"> (%)</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20.5324±0.7903</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19.0000-21.0000</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0.0385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Silt</w:t>
            </w:r>
            <w:r>
              <w:rPr>
                <w:rFonts w:ascii="Times New Roman" w:eastAsia="Times New Roman" w:hAnsi="Times New Roman" w:cs="Times New Roman"/>
                <w:color w:val="000000"/>
                <w:sz w:val="24"/>
                <w:szCs w:val="24"/>
              </w:rPr>
              <w:t xml:space="preserve"> (%)</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37.86±3.1539</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36.0000-44.0000</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0.0833</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Sand</w:t>
            </w:r>
            <w:r>
              <w:rPr>
                <w:rFonts w:ascii="Times New Roman" w:eastAsia="Times New Roman" w:hAnsi="Times New Roman" w:cs="Times New Roman"/>
                <w:color w:val="000000"/>
                <w:sz w:val="24"/>
                <w:szCs w:val="24"/>
              </w:rPr>
              <w:t xml:space="preserve"> (%)</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41.5994±2.3688</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37.0000-43.0000</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0.0569</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ET</w:t>
            </w:r>
            <w:r>
              <w:rPr>
                <w:rFonts w:ascii="Times New Roman" w:eastAsia="Times New Roman" w:hAnsi="Times New Roman" w:cs="Times New Roman"/>
                <w:color w:val="000000"/>
                <w:sz w:val="24"/>
                <w:szCs w:val="24"/>
              </w:rPr>
              <w:t xml:space="preserve"> (%)</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25.1731±6.2048</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15.0853-36.7927</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0.2465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21.59±3.8373</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15.021-33.2112</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0.1777</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WYLD</w:t>
            </w:r>
            <w:r>
              <w:rPr>
                <w:rFonts w:ascii="Times New Roman" w:eastAsia="Times New Roman" w:hAnsi="Times New Roman" w:cs="Times New Roman"/>
                <w:color w:val="000000"/>
                <w:sz w:val="24"/>
                <w:szCs w:val="24"/>
              </w:rPr>
              <w:t xml:space="preserve"> (mm)</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5.1209±1.8176</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1.9799-9.7514</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0.3549</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0.3167±0.1472</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0.1246-0.7746</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0.4648</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SURQ</w:t>
            </w:r>
            <w:r>
              <w:rPr>
                <w:rFonts w:ascii="Times New Roman" w:eastAsia="Times New Roman" w:hAnsi="Times New Roman" w:cs="Times New Roman"/>
                <w:color w:val="000000"/>
                <w:sz w:val="24"/>
                <w:szCs w:val="24"/>
              </w:rPr>
              <w:t xml:space="preserve"> (mm)</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0.0005±0.0001</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0.0003-0.0007</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0.2973</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0.0464±0.1114</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0.0007-0.4393</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2.4039</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PERC</w:t>
            </w:r>
            <w:r>
              <w:rPr>
                <w:rFonts w:ascii="Times New Roman" w:eastAsia="Times New Roman" w:hAnsi="Times New Roman" w:cs="Times New Roman"/>
                <w:color w:val="000000"/>
                <w:sz w:val="24"/>
                <w:szCs w:val="24"/>
              </w:rPr>
              <w:t xml:space="preserve"> (mm)</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4.7979±1.3892</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2.7142-7.5714</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0.2895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bottom"/>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7.9138±2.3684</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2.6607-13.8697</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0.2993</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IndDen</w:t>
            </w:r>
            <w:r>
              <w:rPr>
                <w:rFonts w:ascii="Times New Roman" w:eastAsia="Times New Roman" w:hAnsi="Times New Roman" w:cs="Times New Roman"/>
                <w:color w:val="000000"/>
                <w:sz w:val="24"/>
                <w:szCs w:val="24"/>
              </w:rPr>
              <w:t xml:space="preserve"> (1/Km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0.0417±0.0761</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0.0009-0.3624</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1.8245</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DistIndus</w:t>
            </w:r>
            <w:r>
              <w:rPr>
                <w:rFonts w:ascii="Times New Roman" w:eastAsia="Times New Roman" w:hAnsi="Times New Roman" w:cs="Times New Roman"/>
                <w:color w:val="000000"/>
                <w:sz w:val="24"/>
                <w:szCs w:val="24"/>
              </w:rPr>
              <w:t xml:space="preserve"> (Km)</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Annual</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7.9706±4.6256</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0.4700-16.8100</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0.5803</w:t>
            </w:r>
          </w:p>
        </w:tc>
      </w:tr>
      <w:tr w:rsidR="00C8499F" w:rsidRPr="007403BD" w:rsidTr="00FE281C">
        <w:trPr>
          <w:trHeight w:val="315"/>
          <w:jc w:val="center"/>
        </w:trPr>
        <w:tc>
          <w:tcPr>
            <w:tcW w:w="207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IrriInt</w:t>
            </w:r>
            <w:r>
              <w:rPr>
                <w:rFonts w:ascii="Times New Roman" w:eastAsia="Times New Roman" w:hAnsi="Times New Roman" w:cs="Times New Roman"/>
                <w:color w:val="000000"/>
                <w:sz w:val="24"/>
                <w:szCs w:val="24"/>
              </w:rPr>
              <w:t xml:space="preserve"> (Km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/Km</w:t>
            </w:r>
            <w:r w:rsidRPr="00187E58">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tc>
        <w:tc>
          <w:tcPr>
            <w:tcW w:w="1800"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Pre-monsoon</w:t>
            </w:r>
          </w:p>
        </w:tc>
        <w:tc>
          <w:tcPr>
            <w:tcW w:w="190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0.1896±0.0387</w:t>
            </w:r>
          </w:p>
        </w:tc>
        <w:tc>
          <w:tcPr>
            <w:tcW w:w="2376"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0.1282-0.2737</w:t>
            </w:r>
          </w:p>
        </w:tc>
        <w:tc>
          <w:tcPr>
            <w:tcW w:w="1128" w:type="dxa"/>
            <w:tcBorders>
              <w:top w:val="nil"/>
              <w:left w:val="nil"/>
              <w:bottom w:val="nil"/>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0.2039</w:t>
            </w:r>
          </w:p>
        </w:tc>
      </w:tr>
      <w:tr w:rsidR="00C8499F" w:rsidRPr="007403BD" w:rsidTr="00FE281C">
        <w:trPr>
          <w:trHeight w:val="330"/>
          <w:jc w:val="center"/>
        </w:trPr>
        <w:tc>
          <w:tcPr>
            <w:tcW w:w="2070" w:type="dxa"/>
            <w:tcBorders>
              <w:top w:val="nil"/>
              <w:left w:val="nil"/>
              <w:bottom w:val="single" w:sz="8" w:space="0" w:color="auto"/>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 </w:t>
            </w:r>
          </w:p>
        </w:tc>
        <w:tc>
          <w:tcPr>
            <w:tcW w:w="1800" w:type="dxa"/>
            <w:tcBorders>
              <w:top w:val="nil"/>
              <w:left w:val="nil"/>
              <w:bottom w:val="single" w:sz="8" w:space="0" w:color="auto"/>
              <w:right w:val="nil"/>
            </w:tcBorders>
            <w:shd w:val="clear" w:color="auto" w:fill="auto"/>
            <w:noWrap/>
            <w:vAlign w:val="center"/>
            <w:hideMark/>
          </w:tcPr>
          <w:p w:rsidR="00C8499F" w:rsidRPr="007403BD" w:rsidRDefault="00C8499F" w:rsidP="00597753">
            <w:pPr>
              <w:spacing w:after="0" w:line="240" w:lineRule="auto"/>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Post-monsoon</w:t>
            </w:r>
          </w:p>
        </w:tc>
        <w:tc>
          <w:tcPr>
            <w:tcW w:w="1908" w:type="dxa"/>
            <w:tcBorders>
              <w:top w:val="nil"/>
              <w:left w:val="nil"/>
              <w:bottom w:val="single" w:sz="8" w:space="0" w:color="auto"/>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0.6575±0.1383</w:t>
            </w:r>
          </w:p>
        </w:tc>
        <w:tc>
          <w:tcPr>
            <w:tcW w:w="2376" w:type="dxa"/>
            <w:tcBorders>
              <w:top w:val="nil"/>
              <w:left w:val="nil"/>
              <w:bottom w:val="single" w:sz="8" w:space="0" w:color="auto"/>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0.4272-0.9161</w:t>
            </w:r>
          </w:p>
        </w:tc>
        <w:tc>
          <w:tcPr>
            <w:tcW w:w="1128" w:type="dxa"/>
            <w:tcBorders>
              <w:top w:val="nil"/>
              <w:left w:val="nil"/>
              <w:bottom w:val="single" w:sz="8" w:space="0" w:color="auto"/>
              <w:right w:val="nil"/>
            </w:tcBorders>
            <w:shd w:val="clear" w:color="auto" w:fill="auto"/>
            <w:noWrap/>
            <w:vAlign w:val="center"/>
            <w:hideMark/>
          </w:tcPr>
          <w:p w:rsidR="00C8499F" w:rsidRPr="007403BD" w:rsidRDefault="00C8499F" w:rsidP="00597753">
            <w:pPr>
              <w:spacing w:after="0" w:line="240" w:lineRule="auto"/>
              <w:jc w:val="center"/>
              <w:rPr>
                <w:rFonts w:ascii="Times New Roman" w:eastAsia="Times New Roman" w:hAnsi="Times New Roman" w:cs="Times New Roman"/>
                <w:color w:val="000000"/>
                <w:sz w:val="24"/>
                <w:szCs w:val="24"/>
              </w:rPr>
            </w:pPr>
            <w:r w:rsidRPr="007403BD">
              <w:rPr>
                <w:rFonts w:ascii="Times New Roman" w:eastAsia="Times New Roman" w:hAnsi="Times New Roman" w:cs="Times New Roman"/>
                <w:color w:val="000000"/>
                <w:sz w:val="24"/>
                <w:szCs w:val="24"/>
              </w:rPr>
              <w:t>0.2103</w:t>
            </w:r>
          </w:p>
        </w:tc>
      </w:tr>
    </w:tbl>
    <w:p w:rsidR="00597753" w:rsidRDefault="00C8499F" w:rsidP="00C8499F">
      <w:pPr>
        <w:pStyle w:val="Newparagraph"/>
        <w:spacing w:line="360" w:lineRule="auto"/>
        <w:ind w:firstLine="0"/>
        <w:jc w:val="both"/>
        <w:rPr>
          <w:b/>
          <w:bCs/>
          <w:i/>
        </w:rPr>
        <w:sectPr w:rsidR="00597753">
          <w:pgSz w:w="12240" w:h="15840"/>
          <w:pgMar w:top="1440" w:right="1440" w:bottom="1440" w:left="1440" w:header="720" w:footer="720" w:gutter="0"/>
          <w:cols w:space="720"/>
          <w:docGrid w:linePitch="360"/>
        </w:sectPr>
      </w:pPr>
      <w:r w:rsidRPr="00187E58">
        <w:rPr>
          <w:b/>
          <w:bCs/>
          <w:i/>
        </w:rPr>
        <w:t>*SD- Standard Deviation, CV-Coefficient of Variance</w:t>
      </w:r>
    </w:p>
    <w:p w:rsidR="005719F7" w:rsidRPr="00597753" w:rsidRDefault="00597753" w:rsidP="00597753">
      <w:pPr>
        <w:pStyle w:val="NormalWeb"/>
        <w:spacing w:before="0" w:beforeAutospacing="0" w:after="0" w:afterAutospacing="0" w:line="360" w:lineRule="auto"/>
        <w:jc w:val="center"/>
      </w:pPr>
      <w:r w:rsidRPr="00C8499F">
        <w:rPr>
          <w:b/>
        </w:rPr>
        <w:lastRenderedPageBreak/>
        <w:t>Table S1</w:t>
      </w:r>
      <w:r w:rsidRPr="00C8499F">
        <w:t xml:space="preserve"> </w:t>
      </w:r>
      <w:r w:rsidR="009A16A8">
        <w:t>D</w:t>
      </w:r>
      <w:r w:rsidR="009A16A8" w:rsidRPr="00C911DD">
        <w:t>istribution of shallow-root vegetation</w:t>
      </w:r>
      <w:r w:rsidR="009A16A8">
        <w:t>-</w:t>
      </w:r>
      <w:r w:rsidR="009A16A8" w:rsidRPr="00C911DD">
        <w:t>based ecological risk (S</w:t>
      </w:r>
      <w:r w:rsidR="009A16A8">
        <w:t>-</w:t>
      </w:r>
      <w:r w:rsidR="009A16A8" w:rsidRPr="00C911DD">
        <w:t xml:space="preserve">VER) and deep-root </w:t>
      </w:r>
      <w:r w:rsidR="009A16A8">
        <w:t>vegetation-based</w:t>
      </w:r>
      <w:r w:rsidR="009A16A8" w:rsidRPr="00C911DD">
        <w:t xml:space="preserve"> ecological risk (D-VER) across the </w:t>
      </w:r>
      <w:r w:rsidR="009A16A8">
        <w:t>MFOZs</w:t>
      </w:r>
      <w:r w:rsidRPr="00C8499F">
        <w:t>.</w:t>
      </w:r>
    </w:p>
    <w:tbl>
      <w:tblPr>
        <w:tblW w:w="5000" w:type="pct"/>
        <w:tblLook w:val="04A0" w:firstRow="1" w:lastRow="0" w:firstColumn="1" w:lastColumn="0" w:noHBand="0" w:noVBand="1"/>
      </w:tblPr>
      <w:tblGrid>
        <w:gridCol w:w="877"/>
        <w:gridCol w:w="662"/>
        <w:gridCol w:w="1065"/>
        <w:gridCol w:w="893"/>
        <w:gridCol w:w="893"/>
        <w:gridCol w:w="833"/>
        <w:gridCol w:w="833"/>
        <w:gridCol w:w="893"/>
        <w:gridCol w:w="893"/>
        <w:gridCol w:w="833"/>
        <w:gridCol w:w="833"/>
        <w:gridCol w:w="893"/>
        <w:gridCol w:w="893"/>
        <w:gridCol w:w="833"/>
        <w:gridCol w:w="833"/>
      </w:tblGrid>
      <w:tr w:rsidR="0086695A" w:rsidRPr="00597753" w:rsidTr="00B600BB">
        <w:trPr>
          <w:trHeight w:val="312"/>
        </w:trPr>
        <w:tc>
          <w:tcPr>
            <w:tcW w:w="239" w:type="pct"/>
            <w:vMerge w:val="restart"/>
            <w:tcBorders>
              <w:top w:val="single" w:sz="4" w:space="0" w:color="auto"/>
              <w:left w:val="nil"/>
              <w:bottom w:val="single" w:sz="4" w:space="0" w:color="000000"/>
              <w:right w:val="nil"/>
            </w:tcBorders>
            <w:shd w:val="clear" w:color="auto" w:fill="auto"/>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Ecological risk</w:t>
            </w:r>
          </w:p>
        </w:tc>
        <w:tc>
          <w:tcPr>
            <w:tcW w:w="185" w:type="pct"/>
            <w:vMerge w:val="restart"/>
            <w:tcBorders>
              <w:top w:val="single" w:sz="4" w:space="0" w:color="auto"/>
              <w:left w:val="nil"/>
              <w:bottom w:val="single" w:sz="4" w:space="0" w:color="000000"/>
              <w:right w:val="nil"/>
            </w:tcBorders>
            <w:shd w:val="clear" w:color="auto" w:fill="auto"/>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Region</w:t>
            </w:r>
          </w:p>
        </w:tc>
        <w:tc>
          <w:tcPr>
            <w:tcW w:w="275" w:type="pct"/>
            <w:vMerge w:val="restart"/>
            <w:tcBorders>
              <w:top w:val="single" w:sz="4" w:space="0" w:color="auto"/>
              <w:left w:val="nil"/>
              <w:bottom w:val="single" w:sz="4" w:space="0" w:color="000000"/>
              <w:right w:val="nil"/>
            </w:tcBorders>
            <w:shd w:val="clear" w:color="auto" w:fill="auto"/>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Classification</w:t>
            </w:r>
          </w:p>
        </w:tc>
        <w:tc>
          <w:tcPr>
            <w:tcW w:w="1434" w:type="pct"/>
            <w:gridSpan w:val="4"/>
            <w:tcBorders>
              <w:top w:val="single" w:sz="4" w:space="0" w:color="auto"/>
              <w:left w:val="nil"/>
              <w:bottom w:val="single" w:sz="4" w:space="0" w:color="auto"/>
              <w:right w:val="nil"/>
            </w:tcBorders>
            <w:shd w:val="clear" w:color="auto" w:fill="auto"/>
            <w:vAlign w:val="bottom"/>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EDZ</w:t>
            </w:r>
          </w:p>
        </w:tc>
        <w:tc>
          <w:tcPr>
            <w:tcW w:w="1434" w:type="pct"/>
            <w:gridSpan w:val="4"/>
            <w:tcBorders>
              <w:top w:val="single" w:sz="4" w:space="0" w:color="auto"/>
              <w:left w:val="nil"/>
              <w:bottom w:val="single" w:sz="4" w:space="0" w:color="auto"/>
              <w:right w:val="nil"/>
            </w:tcBorders>
            <w:shd w:val="clear" w:color="auto" w:fill="auto"/>
            <w:vAlign w:val="bottom"/>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APZ</w:t>
            </w:r>
          </w:p>
        </w:tc>
        <w:tc>
          <w:tcPr>
            <w:tcW w:w="1434" w:type="pct"/>
            <w:gridSpan w:val="4"/>
            <w:tcBorders>
              <w:top w:val="single" w:sz="4" w:space="0" w:color="auto"/>
              <w:left w:val="nil"/>
              <w:bottom w:val="single" w:sz="4" w:space="0" w:color="auto"/>
              <w:right w:val="nil"/>
            </w:tcBorders>
            <w:shd w:val="clear" w:color="auto" w:fill="auto"/>
            <w:vAlign w:val="bottom"/>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EFZ</w:t>
            </w:r>
          </w:p>
        </w:tc>
      </w:tr>
      <w:tr w:rsidR="0086695A" w:rsidRPr="00597753" w:rsidTr="00B600BB">
        <w:trPr>
          <w:trHeight w:val="1620"/>
        </w:trPr>
        <w:tc>
          <w:tcPr>
            <w:tcW w:w="239" w:type="pct"/>
            <w:vMerge/>
            <w:tcBorders>
              <w:top w:val="single" w:sz="4" w:space="0" w:color="auto"/>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single" w:sz="4" w:space="0" w:color="auto"/>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vMerge/>
            <w:tcBorders>
              <w:top w:val="single" w:sz="4" w:space="0" w:color="auto"/>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738"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Percentage of Sub-basin (Pre-monsoon)</w:t>
            </w:r>
          </w:p>
        </w:tc>
        <w:tc>
          <w:tcPr>
            <w:tcW w:w="244"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Percentage of Sub-basin (Post-monsoon)</w:t>
            </w:r>
          </w:p>
        </w:tc>
        <w:tc>
          <w:tcPr>
            <w:tcW w:w="226"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Area in Km</w:t>
            </w:r>
            <w:r w:rsidRPr="00597753">
              <w:rPr>
                <w:rFonts w:ascii="Times New Roman" w:eastAsia="Times New Roman" w:hAnsi="Times New Roman" w:cs="Times New Roman"/>
                <w:color w:val="000000"/>
                <w:sz w:val="18"/>
                <w:szCs w:val="18"/>
                <w:vertAlign w:val="superscript"/>
              </w:rPr>
              <w:t>2</w:t>
            </w:r>
            <w:r w:rsidRPr="00597753">
              <w:rPr>
                <w:rFonts w:ascii="Times New Roman" w:eastAsia="Times New Roman" w:hAnsi="Times New Roman" w:cs="Times New Roman"/>
                <w:color w:val="000000"/>
                <w:sz w:val="18"/>
                <w:szCs w:val="18"/>
              </w:rPr>
              <w:t xml:space="preserve"> (Pre-monsoon) </w:t>
            </w:r>
          </w:p>
        </w:tc>
        <w:tc>
          <w:tcPr>
            <w:tcW w:w="226"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Area in Km</w:t>
            </w:r>
            <w:r w:rsidRPr="00597753">
              <w:rPr>
                <w:rFonts w:ascii="Times New Roman" w:eastAsia="Times New Roman" w:hAnsi="Times New Roman" w:cs="Times New Roman"/>
                <w:color w:val="000000"/>
                <w:sz w:val="18"/>
                <w:szCs w:val="18"/>
                <w:vertAlign w:val="superscript"/>
              </w:rPr>
              <w:t>2</w:t>
            </w:r>
            <w:r w:rsidRPr="00597753">
              <w:rPr>
                <w:rFonts w:ascii="Times New Roman" w:eastAsia="Times New Roman" w:hAnsi="Times New Roman" w:cs="Times New Roman"/>
                <w:color w:val="000000"/>
                <w:sz w:val="18"/>
                <w:szCs w:val="18"/>
              </w:rPr>
              <w:t xml:space="preserve"> (Post-monsoon)</w:t>
            </w:r>
          </w:p>
        </w:tc>
        <w:tc>
          <w:tcPr>
            <w:tcW w:w="738"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Percentage of Sub-basin (Pre-monsoon)</w:t>
            </w:r>
          </w:p>
        </w:tc>
        <w:tc>
          <w:tcPr>
            <w:tcW w:w="244"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Percentage of Sub-basin (Post-monsoon)</w:t>
            </w:r>
          </w:p>
        </w:tc>
        <w:tc>
          <w:tcPr>
            <w:tcW w:w="226"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Area in Km</w:t>
            </w:r>
            <w:r w:rsidRPr="00597753">
              <w:rPr>
                <w:rFonts w:ascii="Times New Roman" w:eastAsia="Times New Roman" w:hAnsi="Times New Roman" w:cs="Times New Roman"/>
                <w:color w:val="000000"/>
                <w:sz w:val="18"/>
                <w:szCs w:val="18"/>
                <w:vertAlign w:val="superscript"/>
              </w:rPr>
              <w:t>2</w:t>
            </w:r>
            <w:r w:rsidRPr="00597753">
              <w:rPr>
                <w:rFonts w:ascii="Times New Roman" w:eastAsia="Times New Roman" w:hAnsi="Times New Roman" w:cs="Times New Roman"/>
                <w:color w:val="000000"/>
                <w:sz w:val="18"/>
                <w:szCs w:val="18"/>
              </w:rPr>
              <w:t xml:space="preserve"> (Pre-monsoon) </w:t>
            </w:r>
          </w:p>
        </w:tc>
        <w:tc>
          <w:tcPr>
            <w:tcW w:w="226"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Area in Km</w:t>
            </w:r>
            <w:r w:rsidRPr="00597753">
              <w:rPr>
                <w:rFonts w:ascii="Times New Roman" w:eastAsia="Times New Roman" w:hAnsi="Times New Roman" w:cs="Times New Roman"/>
                <w:color w:val="000000"/>
                <w:sz w:val="18"/>
                <w:szCs w:val="18"/>
                <w:vertAlign w:val="superscript"/>
              </w:rPr>
              <w:t xml:space="preserve">2 </w:t>
            </w:r>
            <w:r w:rsidRPr="00597753">
              <w:rPr>
                <w:rFonts w:ascii="Times New Roman" w:eastAsia="Times New Roman" w:hAnsi="Times New Roman" w:cs="Times New Roman"/>
                <w:color w:val="000000"/>
                <w:sz w:val="18"/>
                <w:szCs w:val="18"/>
              </w:rPr>
              <w:t>(Post-monsoon)</w:t>
            </w:r>
          </w:p>
        </w:tc>
        <w:tc>
          <w:tcPr>
            <w:tcW w:w="738"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Percentage of Sub-basin (Pre-monsoon)</w:t>
            </w:r>
          </w:p>
        </w:tc>
        <w:tc>
          <w:tcPr>
            <w:tcW w:w="244"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Percentage of Sub-basin (Post-monsoon)</w:t>
            </w:r>
          </w:p>
        </w:tc>
        <w:tc>
          <w:tcPr>
            <w:tcW w:w="226"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Area in Km</w:t>
            </w:r>
            <w:r w:rsidRPr="00597753">
              <w:rPr>
                <w:rFonts w:ascii="Times New Roman" w:eastAsia="Times New Roman" w:hAnsi="Times New Roman" w:cs="Times New Roman"/>
                <w:color w:val="000000"/>
                <w:sz w:val="18"/>
                <w:szCs w:val="18"/>
                <w:vertAlign w:val="superscript"/>
              </w:rPr>
              <w:t xml:space="preserve">2 </w:t>
            </w:r>
            <w:r w:rsidRPr="00597753">
              <w:rPr>
                <w:rFonts w:ascii="Times New Roman" w:eastAsia="Times New Roman" w:hAnsi="Times New Roman" w:cs="Times New Roman"/>
                <w:color w:val="000000"/>
                <w:sz w:val="18"/>
                <w:szCs w:val="18"/>
              </w:rPr>
              <w:t xml:space="preserve">(Pre-monsoon) </w:t>
            </w:r>
          </w:p>
        </w:tc>
        <w:tc>
          <w:tcPr>
            <w:tcW w:w="226" w:type="pct"/>
            <w:tcBorders>
              <w:top w:val="nil"/>
              <w:left w:val="nil"/>
              <w:bottom w:val="single" w:sz="4" w:space="0" w:color="auto"/>
              <w:right w:val="nil"/>
            </w:tcBorders>
            <w:shd w:val="clear" w:color="auto" w:fill="auto"/>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Area in Km</w:t>
            </w:r>
            <w:r w:rsidRPr="00597753">
              <w:rPr>
                <w:rFonts w:ascii="Times New Roman" w:eastAsia="Times New Roman" w:hAnsi="Times New Roman" w:cs="Times New Roman"/>
                <w:color w:val="000000"/>
                <w:sz w:val="18"/>
                <w:szCs w:val="18"/>
                <w:vertAlign w:val="superscript"/>
              </w:rPr>
              <w:t xml:space="preserve">2 </w:t>
            </w:r>
            <w:r w:rsidRPr="00597753">
              <w:rPr>
                <w:rFonts w:ascii="Times New Roman" w:eastAsia="Times New Roman" w:hAnsi="Times New Roman" w:cs="Times New Roman"/>
                <w:color w:val="000000"/>
                <w:sz w:val="18"/>
                <w:szCs w:val="18"/>
              </w:rPr>
              <w:t>(Post-monsoon)</w:t>
            </w:r>
          </w:p>
        </w:tc>
      </w:tr>
      <w:tr w:rsidR="0086695A" w:rsidRPr="00597753" w:rsidTr="00B600BB">
        <w:trPr>
          <w:trHeight w:val="312"/>
        </w:trPr>
        <w:tc>
          <w:tcPr>
            <w:tcW w:w="239" w:type="pct"/>
            <w:vMerge w:val="restart"/>
            <w:tcBorders>
              <w:top w:val="nil"/>
              <w:left w:val="nil"/>
              <w:bottom w:val="single" w:sz="4" w:space="0" w:color="000000"/>
              <w:right w:val="nil"/>
            </w:tcBorders>
            <w:shd w:val="clear" w:color="auto" w:fill="auto"/>
            <w:textDirection w:val="btLr"/>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Shallow root vegetation (S-VER)</w:t>
            </w:r>
          </w:p>
        </w:tc>
        <w:tc>
          <w:tcPr>
            <w:tcW w:w="185" w:type="pct"/>
            <w:vMerge w:val="restart"/>
            <w:tcBorders>
              <w:top w:val="nil"/>
              <w:left w:val="nil"/>
              <w:bottom w:val="nil"/>
              <w:right w:val="nil"/>
            </w:tcBorders>
            <w:shd w:val="clear" w:color="auto" w:fill="auto"/>
            <w:noWrap/>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HRB</w:t>
            </w: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Low</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12.50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224.27</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301.97</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45.00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1080.41</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1440.36</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751.52</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599.15</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Moderate</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37.50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639.81</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1021.01</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55.00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35.00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1298.22</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785.86</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499.07</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651.44</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High</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37.50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1021.01</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562.11</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152.42</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val="restart"/>
            <w:tcBorders>
              <w:top w:val="nil"/>
              <w:left w:val="nil"/>
              <w:bottom w:val="nil"/>
              <w:right w:val="nil"/>
            </w:tcBorders>
            <w:shd w:val="clear" w:color="auto" w:fill="auto"/>
            <w:noWrap/>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UHB</w:t>
            </w: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Low</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344.74</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230.74</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543.53</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543.53</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Moderate</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12.50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80.86</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365.08</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326.66</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443.45</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443.45</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High</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80.86</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152.42</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val="restart"/>
            <w:tcBorders>
              <w:top w:val="nil"/>
              <w:left w:val="nil"/>
              <w:bottom w:val="nil"/>
              <w:right w:val="nil"/>
            </w:tcBorders>
            <w:shd w:val="clear" w:color="auto" w:fill="auto"/>
            <w:noWrap/>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MHB</w:t>
            </w: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Low</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224.27</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301.97</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62.50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75.00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721.63</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665.32</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207.99</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Moderate</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639.81</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211.24</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37.50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25.00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259.00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315.31</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207.99</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High</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211.24</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562.11</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val="restart"/>
            <w:tcBorders>
              <w:top w:val="nil"/>
              <w:left w:val="nil"/>
              <w:bottom w:val="single" w:sz="4" w:space="0" w:color="000000"/>
              <w:right w:val="nil"/>
            </w:tcBorders>
            <w:shd w:val="clear" w:color="auto" w:fill="auto"/>
            <w:noWrap/>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LHB</w:t>
            </w: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Low</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14.29</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71.43</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14.05</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544.31</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55.62</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Moderate</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728.90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85.71</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28.57</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674.13</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143.88</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55.62</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High</w:t>
            </w:r>
          </w:p>
        </w:tc>
        <w:tc>
          <w:tcPr>
            <w:tcW w:w="738"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44"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728.90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val="restart"/>
            <w:tcBorders>
              <w:top w:val="nil"/>
              <w:left w:val="nil"/>
              <w:bottom w:val="single" w:sz="4" w:space="0" w:color="000000"/>
              <w:right w:val="nil"/>
            </w:tcBorders>
            <w:shd w:val="clear" w:color="auto" w:fill="auto"/>
            <w:textDirection w:val="btLr"/>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Deep root vegetation (D-VER)</w:t>
            </w:r>
          </w:p>
        </w:tc>
        <w:tc>
          <w:tcPr>
            <w:tcW w:w="185" w:type="pct"/>
            <w:vMerge w:val="restart"/>
            <w:tcBorders>
              <w:top w:val="nil"/>
              <w:left w:val="nil"/>
              <w:bottom w:val="nil"/>
              <w:right w:val="nil"/>
            </w:tcBorders>
            <w:shd w:val="clear" w:color="auto" w:fill="auto"/>
            <w:noWrap/>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HRB</w:t>
            </w: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Low</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62.50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62.50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1075.33</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1075.33</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1406.33</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1149.09</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16.67</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16.67</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207.99</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207.99</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Moderate</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37.50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37.50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809.76</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809.76</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35.00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45.00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918.88</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1176.12</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83.33</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83.33</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1042.60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1042.60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High</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53.42</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53.42</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val="restart"/>
            <w:tcBorders>
              <w:top w:val="nil"/>
              <w:left w:val="nil"/>
              <w:bottom w:val="nil"/>
              <w:right w:val="nil"/>
            </w:tcBorders>
            <w:shd w:val="clear" w:color="auto" w:fill="auto"/>
            <w:noWrap/>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UHB</w:t>
            </w: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Low</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479.08</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274.01</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Moderate</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12.50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80.86</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80.86</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230.74</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435.81</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986.98</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986.98</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High</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val="restart"/>
            <w:tcBorders>
              <w:top w:val="nil"/>
              <w:left w:val="nil"/>
              <w:bottom w:val="nil"/>
              <w:right w:val="nil"/>
            </w:tcBorders>
            <w:shd w:val="clear" w:color="auto" w:fill="auto"/>
            <w:noWrap/>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MHB</w:t>
            </w: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Low</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1075.33</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1075.33</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37.50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239.07</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378.83</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207.99</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207.99</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Moderate</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75.00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688.14</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548.37</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nil"/>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High</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12.50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12.50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53.42</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53.42</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val="restart"/>
            <w:tcBorders>
              <w:top w:val="nil"/>
              <w:left w:val="nil"/>
              <w:bottom w:val="single" w:sz="4" w:space="0" w:color="000000"/>
              <w:right w:val="nil"/>
            </w:tcBorders>
            <w:shd w:val="clear" w:color="auto" w:fill="auto"/>
            <w:noWrap/>
            <w:vAlign w:val="center"/>
            <w:hideMark/>
          </w:tcPr>
          <w:p w:rsidR="0086695A" w:rsidRPr="00597753" w:rsidRDefault="0086695A" w:rsidP="00597753">
            <w:pPr>
              <w:spacing w:after="0" w:line="240" w:lineRule="auto"/>
              <w:jc w:val="center"/>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LHB</w:t>
            </w: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Low</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71.43</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688.18</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496.25</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Moderate</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728.90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728.90</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28.57</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191.94</w:t>
            </w:r>
          </w:p>
        </w:tc>
        <w:tc>
          <w:tcPr>
            <w:tcW w:w="738"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44"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100.00</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55.62</w:t>
            </w:r>
          </w:p>
        </w:tc>
        <w:tc>
          <w:tcPr>
            <w:tcW w:w="226" w:type="pct"/>
            <w:tcBorders>
              <w:top w:val="nil"/>
              <w:left w:val="nil"/>
              <w:bottom w:val="nil"/>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55.62</w:t>
            </w:r>
          </w:p>
        </w:tc>
      </w:tr>
      <w:tr w:rsidR="0086695A" w:rsidRPr="00597753" w:rsidTr="00B600BB">
        <w:trPr>
          <w:trHeight w:val="312"/>
        </w:trPr>
        <w:tc>
          <w:tcPr>
            <w:tcW w:w="239"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185" w:type="pct"/>
            <w:vMerge/>
            <w:tcBorders>
              <w:top w:val="nil"/>
              <w:left w:val="nil"/>
              <w:bottom w:val="single" w:sz="4" w:space="0" w:color="000000"/>
              <w:right w:val="nil"/>
            </w:tcBorders>
            <w:vAlign w:val="center"/>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p>
        </w:tc>
        <w:tc>
          <w:tcPr>
            <w:tcW w:w="275"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High</w:t>
            </w:r>
          </w:p>
        </w:tc>
        <w:tc>
          <w:tcPr>
            <w:tcW w:w="738"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738"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44"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c>
          <w:tcPr>
            <w:tcW w:w="226" w:type="pct"/>
            <w:tcBorders>
              <w:top w:val="nil"/>
              <w:left w:val="nil"/>
              <w:bottom w:val="single" w:sz="4" w:space="0" w:color="auto"/>
              <w:right w:val="nil"/>
            </w:tcBorders>
            <w:shd w:val="clear" w:color="auto" w:fill="auto"/>
            <w:noWrap/>
            <w:vAlign w:val="bottom"/>
            <w:hideMark/>
          </w:tcPr>
          <w:p w:rsidR="0086695A" w:rsidRPr="00597753" w:rsidRDefault="0086695A" w:rsidP="00597753">
            <w:pPr>
              <w:spacing w:after="0" w:line="240" w:lineRule="auto"/>
              <w:rPr>
                <w:rFonts w:ascii="Times New Roman" w:eastAsia="Times New Roman" w:hAnsi="Times New Roman" w:cs="Times New Roman"/>
                <w:color w:val="000000"/>
                <w:sz w:val="18"/>
                <w:szCs w:val="18"/>
              </w:rPr>
            </w:pPr>
            <w:r w:rsidRPr="00597753">
              <w:rPr>
                <w:rFonts w:ascii="Times New Roman" w:eastAsia="Times New Roman" w:hAnsi="Times New Roman" w:cs="Times New Roman"/>
                <w:color w:val="000000"/>
                <w:sz w:val="18"/>
                <w:szCs w:val="18"/>
              </w:rPr>
              <w:t>0.00</w:t>
            </w:r>
          </w:p>
        </w:tc>
      </w:tr>
    </w:tbl>
    <w:p w:rsidR="00597753" w:rsidRDefault="00597753" w:rsidP="00C8499F">
      <w:pPr>
        <w:spacing w:line="360" w:lineRule="auto"/>
        <w:rPr>
          <w:rFonts w:ascii="Times New Roman" w:eastAsia="Times New Roman" w:hAnsi="Times New Roman" w:cs="Times New Roman"/>
          <w:sz w:val="24"/>
          <w:szCs w:val="24"/>
        </w:rPr>
        <w:sectPr w:rsidR="00597753" w:rsidSect="00597753">
          <w:pgSz w:w="15840" w:h="12240" w:orient="landscape"/>
          <w:pgMar w:top="720" w:right="1440" w:bottom="720" w:left="1440" w:header="720" w:footer="720" w:gutter="0"/>
          <w:cols w:space="720"/>
          <w:docGrid w:linePitch="360"/>
        </w:sectPr>
      </w:pPr>
    </w:p>
    <w:p w:rsidR="00C8499F" w:rsidRPr="00C8499F" w:rsidRDefault="00C8499F" w:rsidP="00597753">
      <w:pPr>
        <w:spacing w:before="100" w:beforeAutospacing="1" w:after="100" w:afterAutospacing="1" w:line="360" w:lineRule="auto"/>
        <w:jc w:val="both"/>
        <w:rPr>
          <w:rFonts w:ascii="Times New Roman" w:eastAsia="Times New Roman" w:hAnsi="Times New Roman" w:cs="Times New Roman"/>
          <w:b/>
          <w:sz w:val="24"/>
          <w:szCs w:val="24"/>
        </w:rPr>
      </w:pPr>
      <w:r w:rsidRPr="00C8499F">
        <w:rPr>
          <w:rFonts w:ascii="Times New Roman" w:eastAsia="Times New Roman" w:hAnsi="Times New Roman" w:cs="Times New Roman"/>
          <w:b/>
          <w:sz w:val="24"/>
          <w:szCs w:val="24"/>
        </w:rPr>
        <w:lastRenderedPageBreak/>
        <w:t>References</w:t>
      </w:r>
    </w:p>
    <w:p w:rsidR="0072136D" w:rsidRPr="00104A80" w:rsidRDefault="00FE281C" w:rsidP="009A16A8">
      <w:pPr>
        <w:spacing w:line="240" w:lineRule="auto"/>
        <w:ind w:left="720" w:hanging="720"/>
        <w:jc w:val="both"/>
        <w:rPr>
          <w:rFonts w:ascii="Times New Roman" w:hAnsi="Times New Roman" w:cs="Times New Roman"/>
          <w:color w:val="222222"/>
          <w:sz w:val="24"/>
          <w:szCs w:val="24"/>
          <w:shd w:val="clear" w:color="auto" w:fill="FFFFFF"/>
        </w:rPr>
      </w:pPr>
      <w:r w:rsidRPr="00104A80">
        <w:rPr>
          <w:rFonts w:ascii="Times New Roman" w:hAnsi="Times New Roman" w:cs="Times New Roman"/>
          <w:color w:val="222222"/>
          <w:sz w:val="24"/>
          <w:szCs w:val="24"/>
          <w:shd w:val="clear" w:color="auto" w:fill="FFFFFF"/>
        </w:rPr>
        <w:t>Dwivedi, P., &amp; Yadav, B. K. (2025). Inference of hydrological modelling and field-based monitoring on dynamics of heavy metals in water of Hindon Basin. Journal of Hydrology: Regional Studies, 60, 102488.</w:t>
      </w:r>
    </w:p>
    <w:p w:rsidR="00D43038" w:rsidRDefault="0072136D" w:rsidP="009A16A8">
      <w:pPr>
        <w:spacing w:line="240" w:lineRule="auto"/>
        <w:ind w:left="720" w:hanging="720"/>
        <w:jc w:val="both"/>
        <w:rPr>
          <w:rFonts w:ascii="Times New Roman" w:hAnsi="Times New Roman" w:cs="Times New Roman"/>
          <w:color w:val="222222"/>
          <w:sz w:val="24"/>
          <w:szCs w:val="24"/>
          <w:shd w:val="clear" w:color="auto" w:fill="FFFFFF"/>
        </w:rPr>
      </w:pPr>
      <w:r w:rsidRPr="00104A80">
        <w:rPr>
          <w:rFonts w:ascii="Times New Roman" w:hAnsi="Times New Roman" w:cs="Times New Roman"/>
          <w:color w:val="222222"/>
          <w:sz w:val="24"/>
          <w:szCs w:val="24"/>
          <w:shd w:val="clear" w:color="auto" w:fill="FFFFFF"/>
        </w:rPr>
        <w:t>Jin, Y., O'Connor, D., Ok, Y. S., Tsang, D. C., Liu, A., &amp; Hou, D. (2019). Assessment of sources of heavy metals in soil and dust at children's playgrounds in Beijing using GIS and multivariate statistical analysis. Environment international, 124, 320-328.</w:t>
      </w:r>
    </w:p>
    <w:p w:rsidR="00B600BB" w:rsidRDefault="00B600BB" w:rsidP="009A16A8">
      <w:pPr>
        <w:spacing w:line="240" w:lineRule="auto"/>
        <w:ind w:left="720" w:hanging="720"/>
        <w:jc w:val="both"/>
        <w:rPr>
          <w:rFonts w:ascii="Times New Roman" w:hAnsi="Times New Roman" w:cs="Times New Roman"/>
          <w:color w:val="222222"/>
          <w:sz w:val="24"/>
          <w:szCs w:val="24"/>
          <w:shd w:val="clear" w:color="auto" w:fill="FFFFFF"/>
        </w:rPr>
      </w:pPr>
      <w:bookmarkStart w:id="4" w:name="_Hlk220935833"/>
      <w:r w:rsidRPr="00B600BB">
        <w:rPr>
          <w:rFonts w:ascii="Times New Roman" w:hAnsi="Times New Roman" w:cs="Times New Roman"/>
          <w:color w:val="222222"/>
          <w:sz w:val="24"/>
          <w:szCs w:val="24"/>
          <w:shd w:val="clear" w:color="auto" w:fill="FFFFFF"/>
        </w:rPr>
        <w:t>Chen, L., Wang, X., Wang, Y., &amp; Gao, P. (2023). Improved entropy weight methods and their comparisons in evaluating the high-quality development of Qinghai, China. Open Geosciences, 15(1), 20220570.</w:t>
      </w:r>
      <w:bookmarkEnd w:id="4"/>
    </w:p>
    <w:p w:rsidR="00E91749" w:rsidRPr="00104A80" w:rsidRDefault="00E91749" w:rsidP="009A16A8">
      <w:pPr>
        <w:spacing w:line="240" w:lineRule="auto"/>
        <w:ind w:left="720" w:hanging="720"/>
        <w:jc w:val="both"/>
        <w:rPr>
          <w:rFonts w:ascii="Times New Roman" w:hAnsi="Times New Roman" w:cs="Times New Roman"/>
          <w:color w:val="222222"/>
          <w:sz w:val="24"/>
          <w:szCs w:val="24"/>
          <w:shd w:val="clear" w:color="auto" w:fill="FFFFFF"/>
        </w:rPr>
      </w:pPr>
      <w:r w:rsidRPr="00E91749">
        <w:rPr>
          <w:rFonts w:ascii="Times New Roman" w:hAnsi="Times New Roman" w:cs="Times New Roman"/>
          <w:color w:val="222222"/>
          <w:sz w:val="24"/>
          <w:szCs w:val="24"/>
          <w:shd w:val="clear" w:color="auto" w:fill="FFFFFF"/>
        </w:rPr>
        <w:t>American Public Health Association (APHA), Standard Methods for the Examination of Water and Waste Water, 20th ed., Washington, DC, 1998.</w:t>
      </w:r>
    </w:p>
    <w:sectPr w:rsidR="00E91749" w:rsidRPr="00104A80" w:rsidSect="00386CA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C046C"/>
    <w:multiLevelType w:val="multilevel"/>
    <w:tmpl w:val="BC1E5E3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DAA6253"/>
    <w:multiLevelType w:val="multilevel"/>
    <w:tmpl w:val="92348374"/>
    <w:lvl w:ilvl="0">
      <w:start w:val="3"/>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 w15:restartNumberingAfterBreak="0">
    <w:nsid w:val="120919E1"/>
    <w:multiLevelType w:val="hybridMultilevel"/>
    <w:tmpl w:val="4A3E8D12"/>
    <w:lvl w:ilvl="0" w:tplc="0409000F">
      <w:start w:val="1"/>
      <w:numFmt w:val="decimal"/>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3" w15:restartNumberingAfterBreak="0">
    <w:nsid w:val="195F1971"/>
    <w:multiLevelType w:val="multilevel"/>
    <w:tmpl w:val="A5BC993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1B303F01"/>
    <w:multiLevelType w:val="multilevel"/>
    <w:tmpl w:val="E5C2F2E0"/>
    <w:lvl w:ilvl="0">
      <w:start w:val="1"/>
      <w:numFmt w:val="decimal"/>
      <w:lvlText w:val="%1."/>
      <w:lvlJc w:val="left"/>
      <w:pPr>
        <w:ind w:left="45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35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25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3150" w:hanging="1440"/>
      </w:pPr>
      <w:rPr>
        <w:rFonts w:hint="default"/>
      </w:rPr>
    </w:lvl>
    <w:lvl w:ilvl="7">
      <w:start w:val="1"/>
      <w:numFmt w:val="decimal"/>
      <w:isLgl/>
      <w:lvlText w:val="%1.%2.%3.%4.%5.%6.%7.%8"/>
      <w:lvlJc w:val="left"/>
      <w:pPr>
        <w:ind w:left="3420" w:hanging="1440"/>
      </w:pPr>
      <w:rPr>
        <w:rFonts w:hint="default"/>
      </w:rPr>
    </w:lvl>
    <w:lvl w:ilvl="8">
      <w:start w:val="1"/>
      <w:numFmt w:val="decimal"/>
      <w:isLgl/>
      <w:lvlText w:val="%1.%2.%3.%4.%5.%6.%7.%8.%9"/>
      <w:lvlJc w:val="left"/>
      <w:pPr>
        <w:ind w:left="4050" w:hanging="1800"/>
      </w:pPr>
      <w:rPr>
        <w:rFonts w:hint="default"/>
      </w:rPr>
    </w:lvl>
  </w:abstractNum>
  <w:abstractNum w:abstractNumId="5" w15:restartNumberingAfterBreak="0">
    <w:nsid w:val="1BBF2C75"/>
    <w:multiLevelType w:val="multilevel"/>
    <w:tmpl w:val="A52E54AA"/>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cs="Times New Roman" w:hint="default"/>
        <w:b/>
        <w:i w:val="0"/>
      </w:rPr>
    </w:lvl>
    <w:lvl w:ilvl="2">
      <w:start w:val="1"/>
      <w:numFmt w:val="decimal"/>
      <w:isLgl/>
      <w:lvlText w:val="%1.%2.%3"/>
      <w:lvlJc w:val="left"/>
      <w:pPr>
        <w:ind w:left="1440" w:hanging="720"/>
      </w:pPr>
      <w:rPr>
        <w:rFonts w:cs="Times New Roman" w:hint="default"/>
        <w:b/>
        <w:i w:val="0"/>
      </w:rPr>
    </w:lvl>
    <w:lvl w:ilvl="3">
      <w:start w:val="1"/>
      <w:numFmt w:val="decimal"/>
      <w:isLgl/>
      <w:lvlText w:val="%1.%2.%3.%4"/>
      <w:lvlJc w:val="left"/>
      <w:pPr>
        <w:ind w:left="1800" w:hanging="720"/>
      </w:pPr>
      <w:rPr>
        <w:rFonts w:cs="Times New Roman" w:hint="default"/>
        <w:b/>
        <w:i w:val="0"/>
      </w:rPr>
    </w:lvl>
    <w:lvl w:ilvl="4">
      <w:start w:val="1"/>
      <w:numFmt w:val="decimal"/>
      <w:isLgl/>
      <w:lvlText w:val="%1.%2.%3.%4.%5"/>
      <w:lvlJc w:val="left"/>
      <w:pPr>
        <w:ind w:left="2520" w:hanging="1080"/>
      </w:pPr>
      <w:rPr>
        <w:rFonts w:cs="Times New Roman" w:hint="default"/>
        <w:b/>
        <w:i w:val="0"/>
      </w:rPr>
    </w:lvl>
    <w:lvl w:ilvl="5">
      <w:start w:val="1"/>
      <w:numFmt w:val="decimal"/>
      <w:isLgl/>
      <w:lvlText w:val="%1.%2.%3.%4.%5.%6"/>
      <w:lvlJc w:val="left"/>
      <w:pPr>
        <w:ind w:left="2880" w:hanging="1080"/>
      </w:pPr>
      <w:rPr>
        <w:rFonts w:cs="Times New Roman" w:hint="default"/>
        <w:b/>
        <w:i w:val="0"/>
      </w:rPr>
    </w:lvl>
    <w:lvl w:ilvl="6">
      <w:start w:val="1"/>
      <w:numFmt w:val="decimal"/>
      <w:isLgl/>
      <w:lvlText w:val="%1.%2.%3.%4.%5.%6.%7"/>
      <w:lvlJc w:val="left"/>
      <w:pPr>
        <w:ind w:left="3600" w:hanging="1440"/>
      </w:pPr>
      <w:rPr>
        <w:rFonts w:cs="Times New Roman" w:hint="default"/>
        <w:b/>
        <w:i w:val="0"/>
      </w:rPr>
    </w:lvl>
    <w:lvl w:ilvl="7">
      <w:start w:val="1"/>
      <w:numFmt w:val="decimal"/>
      <w:isLgl/>
      <w:lvlText w:val="%1.%2.%3.%4.%5.%6.%7.%8"/>
      <w:lvlJc w:val="left"/>
      <w:pPr>
        <w:ind w:left="3960" w:hanging="1440"/>
      </w:pPr>
      <w:rPr>
        <w:rFonts w:cs="Times New Roman" w:hint="default"/>
        <w:b/>
        <w:i w:val="0"/>
      </w:rPr>
    </w:lvl>
    <w:lvl w:ilvl="8">
      <w:start w:val="1"/>
      <w:numFmt w:val="decimal"/>
      <w:isLgl/>
      <w:lvlText w:val="%1.%2.%3.%4.%5.%6.%7.%8.%9"/>
      <w:lvlJc w:val="left"/>
      <w:pPr>
        <w:ind w:left="4680" w:hanging="1800"/>
      </w:pPr>
      <w:rPr>
        <w:rFonts w:cs="Times New Roman" w:hint="default"/>
        <w:b/>
        <w:i w:val="0"/>
      </w:rPr>
    </w:lvl>
  </w:abstractNum>
  <w:abstractNum w:abstractNumId="6" w15:restartNumberingAfterBreak="0">
    <w:nsid w:val="3A271F46"/>
    <w:multiLevelType w:val="hybridMultilevel"/>
    <w:tmpl w:val="4A3E8D12"/>
    <w:lvl w:ilvl="0" w:tplc="0409000F">
      <w:start w:val="1"/>
      <w:numFmt w:val="decimal"/>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7" w15:restartNumberingAfterBreak="0">
    <w:nsid w:val="527055FB"/>
    <w:multiLevelType w:val="multilevel"/>
    <w:tmpl w:val="E5C2F2E0"/>
    <w:lvl w:ilvl="0">
      <w:start w:val="1"/>
      <w:numFmt w:val="decimal"/>
      <w:lvlText w:val="%1."/>
      <w:lvlJc w:val="left"/>
      <w:pPr>
        <w:ind w:left="45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35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25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3150" w:hanging="1440"/>
      </w:pPr>
      <w:rPr>
        <w:rFonts w:hint="default"/>
      </w:rPr>
    </w:lvl>
    <w:lvl w:ilvl="7">
      <w:start w:val="1"/>
      <w:numFmt w:val="decimal"/>
      <w:isLgl/>
      <w:lvlText w:val="%1.%2.%3.%4.%5.%6.%7.%8"/>
      <w:lvlJc w:val="left"/>
      <w:pPr>
        <w:ind w:left="3420" w:hanging="1440"/>
      </w:pPr>
      <w:rPr>
        <w:rFonts w:hint="default"/>
      </w:rPr>
    </w:lvl>
    <w:lvl w:ilvl="8">
      <w:start w:val="1"/>
      <w:numFmt w:val="decimal"/>
      <w:isLgl/>
      <w:lvlText w:val="%1.%2.%3.%4.%5.%6.%7.%8.%9"/>
      <w:lvlJc w:val="left"/>
      <w:pPr>
        <w:ind w:left="4050" w:hanging="1800"/>
      </w:pPr>
      <w:rPr>
        <w:rFonts w:hint="default"/>
      </w:rPr>
    </w:lvl>
  </w:abstractNum>
  <w:abstractNum w:abstractNumId="8" w15:restartNumberingAfterBreak="0">
    <w:nsid w:val="53854F8B"/>
    <w:multiLevelType w:val="multilevel"/>
    <w:tmpl w:val="A5BC993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694E29DA"/>
    <w:multiLevelType w:val="multilevel"/>
    <w:tmpl w:val="FA867D90"/>
    <w:lvl w:ilvl="0">
      <w:start w:val="4"/>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694F5856"/>
    <w:multiLevelType w:val="hybridMultilevel"/>
    <w:tmpl w:val="6D7A6D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9E0150D"/>
    <w:multiLevelType w:val="hybridMultilevel"/>
    <w:tmpl w:val="B1DA8750"/>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2" w15:restartNumberingAfterBreak="0">
    <w:nsid w:val="6FDB654E"/>
    <w:multiLevelType w:val="multilevel"/>
    <w:tmpl w:val="A5BC993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74511403"/>
    <w:multiLevelType w:val="hybridMultilevel"/>
    <w:tmpl w:val="F8EC3A70"/>
    <w:lvl w:ilvl="0" w:tplc="53C04E08">
      <w:start w:val="1"/>
      <w:numFmt w:val="decimal"/>
      <w:lvlText w:val="3.%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99D3F06"/>
    <w:multiLevelType w:val="multilevel"/>
    <w:tmpl w:val="13A0583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3"/>
  </w:num>
  <w:num w:numId="2">
    <w:abstractNumId w:val="8"/>
  </w:num>
  <w:num w:numId="3">
    <w:abstractNumId w:val="5"/>
  </w:num>
  <w:num w:numId="4">
    <w:abstractNumId w:val="9"/>
  </w:num>
  <w:num w:numId="5">
    <w:abstractNumId w:val="0"/>
  </w:num>
  <w:num w:numId="6">
    <w:abstractNumId w:val="11"/>
  </w:num>
  <w:num w:numId="7">
    <w:abstractNumId w:val="3"/>
  </w:num>
  <w:num w:numId="8">
    <w:abstractNumId w:val="12"/>
  </w:num>
  <w:num w:numId="9">
    <w:abstractNumId w:val="2"/>
  </w:num>
  <w:num w:numId="10">
    <w:abstractNumId w:val="6"/>
  </w:num>
  <w:num w:numId="11">
    <w:abstractNumId w:val="4"/>
  </w:num>
  <w:num w:numId="12">
    <w:abstractNumId w:val="7"/>
  </w:num>
  <w:num w:numId="13">
    <w:abstractNumId w:val="1"/>
  </w:num>
  <w:num w:numId="14">
    <w:abstractNumId w:val="14"/>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8B4"/>
    <w:rsid w:val="000010E7"/>
    <w:rsid w:val="00023408"/>
    <w:rsid w:val="00027515"/>
    <w:rsid w:val="00030F82"/>
    <w:rsid w:val="00033762"/>
    <w:rsid w:val="00040A18"/>
    <w:rsid w:val="00066B2C"/>
    <w:rsid w:val="000805F9"/>
    <w:rsid w:val="000E29C1"/>
    <w:rsid w:val="000F1FE3"/>
    <w:rsid w:val="00104A80"/>
    <w:rsid w:val="00110A4D"/>
    <w:rsid w:val="00125573"/>
    <w:rsid w:val="00135D37"/>
    <w:rsid w:val="00142A2A"/>
    <w:rsid w:val="00157B3E"/>
    <w:rsid w:val="00157F04"/>
    <w:rsid w:val="00182E0D"/>
    <w:rsid w:val="00187E58"/>
    <w:rsid w:val="00191FD1"/>
    <w:rsid w:val="001A7419"/>
    <w:rsid w:val="001B518B"/>
    <w:rsid w:val="001F4BA8"/>
    <w:rsid w:val="00210116"/>
    <w:rsid w:val="002102E2"/>
    <w:rsid w:val="00213465"/>
    <w:rsid w:val="00225131"/>
    <w:rsid w:val="00253E04"/>
    <w:rsid w:val="00265750"/>
    <w:rsid w:val="002751D7"/>
    <w:rsid w:val="002754A1"/>
    <w:rsid w:val="002A42BA"/>
    <w:rsid w:val="00344654"/>
    <w:rsid w:val="003508B4"/>
    <w:rsid w:val="00370276"/>
    <w:rsid w:val="003703F5"/>
    <w:rsid w:val="0037711A"/>
    <w:rsid w:val="00386CA0"/>
    <w:rsid w:val="00392180"/>
    <w:rsid w:val="003E5E50"/>
    <w:rsid w:val="003E5E6D"/>
    <w:rsid w:val="00400C9C"/>
    <w:rsid w:val="00414C79"/>
    <w:rsid w:val="00423FB8"/>
    <w:rsid w:val="00425CED"/>
    <w:rsid w:val="00434D4B"/>
    <w:rsid w:val="0048507B"/>
    <w:rsid w:val="00496480"/>
    <w:rsid w:val="004B1DB6"/>
    <w:rsid w:val="004F644A"/>
    <w:rsid w:val="00505A53"/>
    <w:rsid w:val="005068FC"/>
    <w:rsid w:val="005142D4"/>
    <w:rsid w:val="00522911"/>
    <w:rsid w:val="00540BD1"/>
    <w:rsid w:val="0056734D"/>
    <w:rsid w:val="005719F7"/>
    <w:rsid w:val="00597753"/>
    <w:rsid w:val="005B1284"/>
    <w:rsid w:val="005B6C60"/>
    <w:rsid w:val="005D3309"/>
    <w:rsid w:val="005E14D5"/>
    <w:rsid w:val="005E4456"/>
    <w:rsid w:val="005E50F0"/>
    <w:rsid w:val="005F6065"/>
    <w:rsid w:val="00615B3B"/>
    <w:rsid w:val="00626539"/>
    <w:rsid w:val="006465C4"/>
    <w:rsid w:val="00647D60"/>
    <w:rsid w:val="00655D5A"/>
    <w:rsid w:val="00657A56"/>
    <w:rsid w:val="00665D29"/>
    <w:rsid w:val="00676D5C"/>
    <w:rsid w:val="00686B27"/>
    <w:rsid w:val="0069263E"/>
    <w:rsid w:val="006926F5"/>
    <w:rsid w:val="0069577B"/>
    <w:rsid w:val="006A7C0E"/>
    <w:rsid w:val="006B1D1C"/>
    <w:rsid w:val="006C1D01"/>
    <w:rsid w:val="006D7552"/>
    <w:rsid w:val="006E1FA3"/>
    <w:rsid w:val="006F3480"/>
    <w:rsid w:val="006F4DE5"/>
    <w:rsid w:val="00706458"/>
    <w:rsid w:val="007077D9"/>
    <w:rsid w:val="0072136D"/>
    <w:rsid w:val="00731964"/>
    <w:rsid w:val="00741994"/>
    <w:rsid w:val="00783050"/>
    <w:rsid w:val="007901FA"/>
    <w:rsid w:val="00793368"/>
    <w:rsid w:val="007A6160"/>
    <w:rsid w:val="007E2234"/>
    <w:rsid w:val="007F4FBF"/>
    <w:rsid w:val="00810528"/>
    <w:rsid w:val="008161B9"/>
    <w:rsid w:val="00817DB4"/>
    <w:rsid w:val="0082008E"/>
    <w:rsid w:val="00840695"/>
    <w:rsid w:val="00855D49"/>
    <w:rsid w:val="0086695A"/>
    <w:rsid w:val="00867908"/>
    <w:rsid w:val="00874DEE"/>
    <w:rsid w:val="008B3C09"/>
    <w:rsid w:val="008B61DA"/>
    <w:rsid w:val="008B74E5"/>
    <w:rsid w:val="008D6FA3"/>
    <w:rsid w:val="008E12F8"/>
    <w:rsid w:val="008F51ED"/>
    <w:rsid w:val="008F5407"/>
    <w:rsid w:val="00916944"/>
    <w:rsid w:val="0094668A"/>
    <w:rsid w:val="009505EE"/>
    <w:rsid w:val="0096382C"/>
    <w:rsid w:val="00983B00"/>
    <w:rsid w:val="009A16A8"/>
    <w:rsid w:val="009A75A3"/>
    <w:rsid w:val="009B0B7A"/>
    <w:rsid w:val="009C4FE5"/>
    <w:rsid w:val="009E4B2D"/>
    <w:rsid w:val="00A22C52"/>
    <w:rsid w:val="00A4733F"/>
    <w:rsid w:val="00A769D5"/>
    <w:rsid w:val="00A955CA"/>
    <w:rsid w:val="00AA4BFC"/>
    <w:rsid w:val="00AB7F50"/>
    <w:rsid w:val="00AC19ED"/>
    <w:rsid w:val="00AD0365"/>
    <w:rsid w:val="00B0089E"/>
    <w:rsid w:val="00B106BD"/>
    <w:rsid w:val="00B158EE"/>
    <w:rsid w:val="00B230EF"/>
    <w:rsid w:val="00B27666"/>
    <w:rsid w:val="00B600BB"/>
    <w:rsid w:val="00B64754"/>
    <w:rsid w:val="00B70F04"/>
    <w:rsid w:val="00BA27CA"/>
    <w:rsid w:val="00BA7660"/>
    <w:rsid w:val="00BF06AC"/>
    <w:rsid w:val="00BF096A"/>
    <w:rsid w:val="00BF7BF3"/>
    <w:rsid w:val="00C17EB6"/>
    <w:rsid w:val="00C359FE"/>
    <w:rsid w:val="00C56D11"/>
    <w:rsid w:val="00C5707D"/>
    <w:rsid w:val="00C575F6"/>
    <w:rsid w:val="00C6701C"/>
    <w:rsid w:val="00C734C5"/>
    <w:rsid w:val="00C8499F"/>
    <w:rsid w:val="00CA6F4D"/>
    <w:rsid w:val="00CB26F0"/>
    <w:rsid w:val="00D002BC"/>
    <w:rsid w:val="00D00A60"/>
    <w:rsid w:val="00D16F68"/>
    <w:rsid w:val="00D43038"/>
    <w:rsid w:val="00D50FC4"/>
    <w:rsid w:val="00D52411"/>
    <w:rsid w:val="00D5676A"/>
    <w:rsid w:val="00D66DAC"/>
    <w:rsid w:val="00D71341"/>
    <w:rsid w:val="00D802AF"/>
    <w:rsid w:val="00D95BFA"/>
    <w:rsid w:val="00D97C41"/>
    <w:rsid w:val="00DA4009"/>
    <w:rsid w:val="00DB1D75"/>
    <w:rsid w:val="00DD3646"/>
    <w:rsid w:val="00E30042"/>
    <w:rsid w:val="00E33D34"/>
    <w:rsid w:val="00E36686"/>
    <w:rsid w:val="00E4260F"/>
    <w:rsid w:val="00E42F09"/>
    <w:rsid w:val="00E44AD8"/>
    <w:rsid w:val="00E45021"/>
    <w:rsid w:val="00E72406"/>
    <w:rsid w:val="00E91749"/>
    <w:rsid w:val="00E94370"/>
    <w:rsid w:val="00EA1154"/>
    <w:rsid w:val="00EA251B"/>
    <w:rsid w:val="00ED4B23"/>
    <w:rsid w:val="00F14303"/>
    <w:rsid w:val="00F20110"/>
    <w:rsid w:val="00F31E48"/>
    <w:rsid w:val="00F34ADB"/>
    <w:rsid w:val="00F40A61"/>
    <w:rsid w:val="00F539BC"/>
    <w:rsid w:val="00F57579"/>
    <w:rsid w:val="00F702CF"/>
    <w:rsid w:val="00F80702"/>
    <w:rsid w:val="00FA2EC0"/>
    <w:rsid w:val="00FD0816"/>
    <w:rsid w:val="00FE281C"/>
    <w:rsid w:val="00FF57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1626E8F"/>
  <w14:defaultImageDpi w14:val="32767"/>
  <w15:chartTrackingRefBased/>
  <w15:docId w15:val="{B7C87195-F879-400F-BF4C-949E1C292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D0365"/>
    <w:pPr>
      <w:keepNext/>
      <w:keepLines/>
      <w:spacing w:before="240" w:after="0" w:line="360" w:lineRule="auto"/>
      <w:jc w:val="both"/>
      <w:outlineLvl w:val="0"/>
    </w:pPr>
    <w:rPr>
      <w:rFonts w:ascii="Times New Roman" w:eastAsiaTheme="majorEastAsia" w:hAnsi="Times New Roman" w:cstheme="majorBidi"/>
      <w:b/>
      <w:color w:val="000000" w:themeColor="text1"/>
      <w:sz w:val="28"/>
      <w:szCs w:val="32"/>
    </w:rPr>
  </w:style>
  <w:style w:type="paragraph" w:styleId="Heading2">
    <w:name w:val="heading 2"/>
    <w:basedOn w:val="Normal"/>
    <w:next w:val="Normal"/>
    <w:link w:val="Heading2Char"/>
    <w:uiPriority w:val="9"/>
    <w:unhideWhenUsed/>
    <w:qFormat/>
    <w:rsid w:val="00AD0365"/>
    <w:pPr>
      <w:keepNext/>
      <w:keepLines/>
      <w:spacing w:before="40" w:after="0" w:line="360" w:lineRule="auto"/>
      <w:jc w:val="both"/>
      <w:outlineLvl w:val="1"/>
    </w:pPr>
    <w:rPr>
      <w:rFonts w:ascii="Times New Roman" w:eastAsiaTheme="majorEastAsia" w:hAnsi="Times New Roman" w:cstheme="majorBidi"/>
      <w:b/>
      <w:color w:val="000000" w:themeColor="text1"/>
      <w:sz w:val="24"/>
      <w:szCs w:val="26"/>
    </w:rPr>
  </w:style>
  <w:style w:type="paragraph" w:styleId="Heading4">
    <w:name w:val="heading 4"/>
    <w:basedOn w:val="Normal"/>
    <w:next w:val="Normal"/>
    <w:link w:val="Heading4Char"/>
    <w:uiPriority w:val="9"/>
    <w:semiHidden/>
    <w:unhideWhenUsed/>
    <w:qFormat/>
    <w:rsid w:val="00157B3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0365"/>
    <w:rPr>
      <w:rFonts w:ascii="Times New Roman" w:eastAsiaTheme="majorEastAsia" w:hAnsi="Times New Roman" w:cstheme="majorBidi"/>
      <w:b/>
      <w:color w:val="000000" w:themeColor="text1"/>
      <w:sz w:val="28"/>
      <w:szCs w:val="32"/>
    </w:rPr>
  </w:style>
  <w:style w:type="character" w:customStyle="1" w:styleId="Heading2Char">
    <w:name w:val="Heading 2 Char"/>
    <w:basedOn w:val="DefaultParagraphFont"/>
    <w:link w:val="Heading2"/>
    <w:uiPriority w:val="9"/>
    <w:rsid w:val="00AD0365"/>
    <w:rPr>
      <w:rFonts w:ascii="Times New Roman" w:eastAsiaTheme="majorEastAsia" w:hAnsi="Times New Roman" w:cstheme="majorBidi"/>
      <w:b/>
      <w:color w:val="000000" w:themeColor="text1"/>
      <w:sz w:val="24"/>
      <w:szCs w:val="26"/>
    </w:rPr>
  </w:style>
  <w:style w:type="table" w:styleId="TableGrid">
    <w:name w:val="Table Grid"/>
    <w:basedOn w:val="TableNormal"/>
    <w:uiPriority w:val="39"/>
    <w:rsid w:val="003508B4"/>
    <w:pPr>
      <w:spacing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508B4"/>
    <w:pPr>
      <w:spacing w:after="120" w:line="264" w:lineRule="auto"/>
      <w:ind w:left="720"/>
      <w:contextualSpacing/>
    </w:pPr>
    <w:rPr>
      <w:rFonts w:eastAsiaTheme="minorEastAsia"/>
      <w:sz w:val="20"/>
      <w:szCs w:val="20"/>
    </w:rPr>
  </w:style>
  <w:style w:type="paragraph" w:styleId="Caption">
    <w:name w:val="caption"/>
    <w:basedOn w:val="Normal"/>
    <w:next w:val="Normal"/>
    <w:uiPriority w:val="35"/>
    <w:unhideWhenUsed/>
    <w:qFormat/>
    <w:rsid w:val="00110A4D"/>
    <w:pPr>
      <w:spacing w:after="200" w:line="240" w:lineRule="auto"/>
      <w:jc w:val="both"/>
    </w:pPr>
    <w:rPr>
      <w:rFonts w:ascii="Times New Roman" w:hAnsi="Times New Roman"/>
      <w:i/>
      <w:iCs/>
      <w:color w:val="44546A" w:themeColor="text2"/>
      <w:sz w:val="18"/>
      <w:szCs w:val="18"/>
    </w:rPr>
  </w:style>
  <w:style w:type="paragraph" w:styleId="Subtitle">
    <w:name w:val="Subtitle"/>
    <w:basedOn w:val="Normal"/>
    <w:next w:val="Normal"/>
    <w:link w:val="SubtitleChar"/>
    <w:uiPriority w:val="11"/>
    <w:qFormat/>
    <w:rsid w:val="00AD0365"/>
    <w:pPr>
      <w:numPr>
        <w:ilvl w:val="1"/>
      </w:numPr>
      <w:spacing w:before="120" w:after="120" w:line="240" w:lineRule="auto"/>
      <w:jc w:val="center"/>
    </w:pPr>
    <w:rPr>
      <w:rFonts w:ascii="Times New Roman" w:eastAsiaTheme="majorEastAsia" w:hAnsi="Times New Roman" w:cstheme="majorBidi"/>
      <w:b/>
      <w:sz w:val="20"/>
      <w:szCs w:val="24"/>
    </w:rPr>
  </w:style>
  <w:style w:type="character" w:customStyle="1" w:styleId="SubtitleChar">
    <w:name w:val="Subtitle Char"/>
    <w:basedOn w:val="DefaultParagraphFont"/>
    <w:link w:val="Subtitle"/>
    <w:uiPriority w:val="11"/>
    <w:rsid w:val="00AD0365"/>
    <w:rPr>
      <w:rFonts w:ascii="Times New Roman" w:eastAsiaTheme="majorEastAsia" w:hAnsi="Times New Roman" w:cstheme="majorBidi"/>
      <w:b/>
      <w:sz w:val="20"/>
      <w:szCs w:val="24"/>
    </w:rPr>
  </w:style>
  <w:style w:type="paragraph" w:styleId="Title">
    <w:name w:val="Title"/>
    <w:basedOn w:val="Normal"/>
    <w:next w:val="Normal"/>
    <w:link w:val="TitleChar"/>
    <w:uiPriority w:val="10"/>
    <w:qFormat/>
    <w:rsid w:val="00AD0365"/>
    <w:pPr>
      <w:spacing w:after="0" w:line="240" w:lineRule="auto"/>
      <w:contextualSpacing/>
      <w:jc w:val="center"/>
    </w:pPr>
    <w:rPr>
      <w:rFonts w:ascii="Times New Roman" w:eastAsiaTheme="majorEastAsia" w:hAnsi="Times New Roman" w:cstheme="majorBidi"/>
      <w:b/>
      <w:spacing w:val="-10"/>
      <w:kern w:val="28"/>
      <w:sz w:val="40"/>
      <w:szCs w:val="56"/>
    </w:rPr>
  </w:style>
  <w:style w:type="character" w:customStyle="1" w:styleId="TitleChar">
    <w:name w:val="Title Char"/>
    <w:basedOn w:val="DefaultParagraphFont"/>
    <w:link w:val="Title"/>
    <w:uiPriority w:val="10"/>
    <w:rsid w:val="00AD0365"/>
    <w:rPr>
      <w:rFonts w:ascii="Times New Roman" w:eastAsiaTheme="majorEastAsia" w:hAnsi="Times New Roman" w:cstheme="majorBidi"/>
      <w:b/>
      <w:spacing w:val="-10"/>
      <w:kern w:val="28"/>
      <w:sz w:val="40"/>
      <w:szCs w:val="56"/>
    </w:rPr>
  </w:style>
  <w:style w:type="character" w:styleId="Strong">
    <w:name w:val="Strong"/>
    <w:basedOn w:val="DefaultParagraphFont"/>
    <w:uiPriority w:val="22"/>
    <w:qFormat/>
    <w:rsid w:val="00AD0365"/>
    <w:rPr>
      <w:b/>
      <w:bCs/>
    </w:rPr>
  </w:style>
  <w:style w:type="character" w:customStyle="1" w:styleId="overflow-hidden">
    <w:name w:val="overflow-hidden"/>
    <w:basedOn w:val="DefaultParagraphFont"/>
    <w:rsid w:val="00AD0365"/>
  </w:style>
  <w:style w:type="paragraph" w:styleId="Header">
    <w:name w:val="header"/>
    <w:basedOn w:val="Normal"/>
    <w:link w:val="HeaderChar"/>
    <w:uiPriority w:val="99"/>
    <w:unhideWhenUsed/>
    <w:rsid w:val="00AD0365"/>
    <w:pPr>
      <w:tabs>
        <w:tab w:val="center" w:pos="4680"/>
        <w:tab w:val="right" w:pos="9360"/>
      </w:tabs>
      <w:spacing w:after="0" w:line="240" w:lineRule="auto"/>
      <w:jc w:val="both"/>
    </w:pPr>
    <w:rPr>
      <w:rFonts w:ascii="Times New Roman" w:hAnsi="Times New Roman"/>
      <w:sz w:val="24"/>
    </w:rPr>
  </w:style>
  <w:style w:type="character" w:customStyle="1" w:styleId="HeaderChar">
    <w:name w:val="Header Char"/>
    <w:basedOn w:val="DefaultParagraphFont"/>
    <w:link w:val="Header"/>
    <w:uiPriority w:val="99"/>
    <w:rsid w:val="00AD0365"/>
    <w:rPr>
      <w:rFonts w:ascii="Times New Roman" w:hAnsi="Times New Roman"/>
      <w:sz w:val="24"/>
    </w:rPr>
  </w:style>
  <w:style w:type="paragraph" w:styleId="Footer">
    <w:name w:val="footer"/>
    <w:basedOn w:val="Normal"/>
    <w:link w:val="FooterChar"/>
    <w:uiPriority w:val="99"/>
    <w:unhideWhenUsed/>
    <w:rsid w:val="00AD0365"/>
    <w:pPr>
      <w:tabs>
        <w:tab w:val="center" w:pos="4680"/>
        <w:tab w:val="right" w:pos="9360"/>
      </w:tabs>
      <w:spacing w:after="0" w:line="240" w:lineRule="auto"/>
      <w:jc w:val="both"/>
    </w:pPr>
    <w:rPr>
      <w:rFonts w:ascii="Times New Roman" w:hAnsi="Times New Roman"/>
      <w:sz w:val="24"/>
    </w:rPr>
  </w:style>
  <w:style w:type="character" w:customStyle="1" w:styleId="FooterChar">
    <w:name w:val="Footer Char"/>
    <w:basedOn w:val="DefaultParagraphFont"/>
    <w:link w:val="Footer"/>
    <w:uiPriority w:val="99"/>
    <w:rsid w:val="00AD0365"/>
    <w:rPr>
      <w:rFonts w:ascii="Times New Roman" w:hAnsi="Times New Roman"/>
      <w:sz w:val="24"/>
    </w:rPr>
  </w:style>
  <w:style w:type="character" w:styleId="Hyperlink">
    <w:name w:val="Hyperlink"/>
    <w:basedOn w:val="DefaultParagraphFont"/>
    <w:unhideWhenUsed/>
    <w:rsid w:val="00AD0365"/>
    <w:rPr>
      <w:color w:val="0563C1" w:themeColor="hyperlink"/>
      <w:u w:val="single"/>
    </w:rPr>
  </w:style>
  <w:style w:type="character" w:customStyle="1" w:styleId="anchor-text">
    <w:name w:val="anchor-text"/>
    <w:basedOn w:val="DefaultParagraphFont"/>
    <w:rsid w:val="00AD0365"/>
  </w:style>
  <w:style w:type="character" w:customStyle="1" w:styleId="katex-mathml">
    <w:name w:val="katex-mathml"/>
    <w:basedOn w:val="DefaultParagraphFont"/>
    <w:rsid w:val="00AD0365"/>
  </w:style>
  <w:style w:type="character" w:customStyle="1" w:styleId="mord">
    <w:name w:val="mord"/>
    <w:basedOn w:val="DefaultParagraphFont"/>
    <w:rsid w:val="00AD0365"/>
  </w:style>
  <w:style w:type="paragraph" w:customStyle="1" w:styleId="Newparagraph">
    <w:name w:val="New paragraph"/>
    <w:basedOn w:val="Normal"/>
    <w:qFormat/>
    <w:rsid w:val="00D00A60"/>
    <w:pPr>
      <w:spacing w:after="0" w:line="480" w:lineRule="auto"/>
      <w:ind w:firstLine="720"/>
    </w:pPr>
    <w:rPr>
      <w:rFonts w:ascii="Times New Roman" w:eastAsia="Times New Roman" w:hAnsi="Times New Roman" w:cs="Times New Roman"/>
      <w:sz w:val="24"/>
      <w:szCs w:val="24"/>
      <w:lang w:val="en-GB" w:eastAsia="en-GB"/>
    </w:rPr>
  </w:style>
  <w:style w:type="table" w:customStyle="1" w:styleId="TableGrid1">
    <w:name w:val="Table Grid1"/>
    <w:basedOn w:val="TableNormal"/>
    <w:next w:val="TableGrid"/>
    <w:uiPriority w:val="39"/>
    <w:rsid w:val="00A22C52"/>
    <w:pPr>
      <w:spacing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230EF"/>
    <w:rPr>
      <w:color w:val="605E5C"/>
      <w:shd w:val="clear" w:color="auto" w:fill="E1DFDD"/>
    </w:rPr>
  </w:style>
  <w:style w:type="character" w:customStyle="1" w:styleId="Heading4Char">
    <w:name w:val="Heading 4 Char"/>
    <w:basedOn w:val="DefaultParagraphFont"/>
    <w:link w:val="Heading4"/>
    <w:uiPriority w:val="9"/>
    <w:semiHidden/>
    <w:rsid w:val="00157B3E"/>
    <w:rPr>
      <w:rFonts w:asciiTheme="majorHAnsi" w:eastAsiaTheme="majorEastAsia" w:hAnsiTheme="majorHAnsi" w:cstheme="majorBidi"/>
      <w:i/>
      <w:iCs/>
      <w:color w:val="2F5496" w:themeColor="accent1" w:themeShade="BF"/>
    </w:rPr>
  </w:style>
  <w:style w:type="paragraph" w:styleId="NormalWeb">
    <w:name w:val="Normal (Web)"/>
    <w:basedOn w:val="Normal"/>
    <w:uiPriority w:val="99"/>
    <w:unhideWhenUsed/>
    <w:rsid w:val="00157B3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157B3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1604436">
      <w:bodyDiv w:val="1"/>
      <w:marLeft w:val="0"/>
      <w:marRight w:val="0"/>
      <w:marTop w:val="0"/>
      <w:marBottom w:val="0"/>
      <w:divBdr>
        <w:top w:val="none" w:sz="0" w:space="0" w:color="auto"/>
        <w:left w:val="none" w:sz="0" w:space="0" w:color="auto"/>
        <w:bottom w:val="none" w:sz="0" w:space="0" w:color="auto"/>
        <w:right w:val="none" w:sz="0" w:space="0" w:color="auto"/>
      </w:divBdr>
      <w:divsChild>
        <w:div w:id="110372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3634015">
      <w:bodyDiv w:val="1"/>
      <w:marLeft w:val="0"/>
      <w:marRight w:val="0"/>
      <w:marTop w:val="0"/>
      <w:marBottom w:val="0"/>
      <w:divBdr>
        <w:top w:val="none" w:sz="0" w:space="0" w:color="auto"/>
        <w:left w:val="none" w:sz="0" w:space="0" w:color="auto"/>
        <w:bottom w:val="none" w:sz="0" w:space="0" w:color="auto"/>
        <w:right w:val="none" w:sz="0" w:space="0" w:color="auto"/>
      </w:divBdr>
      <w:divsChild>
        <w:div w:id="192348218">
          <w:marLeft w:val="0"/>
          <w:marRight w:val="0"/>
          <w:marTop w:val="0"/>
          <w:marBottom w:val="0"/>
          <w:divBdr>
            <w:top w:val="none" w:sz="0" w:space="0" w:color="auto"/>
            <w:left w:val="none" w:sz="0" w:space="0" w:color="auto"/>
            <w:bottom w:val="none" w:sz="0" w:space="0" w:color="auto"/>
            <w:right w:val="none" w:sz="0" w:space="0" w:color="auto"/>
          </w:divBdr>
          <w:divsChild>
            <w:div w:id="1242057523">
              <w:marLeft w:val="0"/>
              <w:marRight w:val="0"/>
              <w:marTop w:val="0"/>
              <w:marBottom w:val="0"/>
              <w:divBdr>
                <w:top w:val="none" w:sz="0" w:space="0" w:color="auto"/>
                <w:left w:val="none" w:sz="0" w:space="0" w:color="auto"/>
                <w:bottom w:val="none" w:sz="0" w:space="0" w:color="auto"/>
                <w:right w:val="none" w:sz="0" w:space="0" w:color="auto"/>
              </w:divBdr>
              <w:divsChild>
                <w:div w:id="398091236">
                  <w:marLeft w:val="0"/>
                  <w:marRight w:val="0"/>
                  <w:marTop w:val="0"/>
                  <w:marBottom w:val="0"/>
                  <w:divBdr>
                    <w:top w:val="none" w:sz="0" w:space="0" w:color="auto"/>
                    <w:left w:val="none" w:sz="0" w:space="0" w:color="auto"/>
                    <w:bottom w:val="none" w:sz="0" w:space="0" w:color="auto"/>
                    <w:right w:val="none" w:sz="0" w:space="0" w:color="auto"/>
                  </w:divBdr>
                  <w:divsChild>
                    <w:div w:id="174349215">
                      <w:marLeft w:val="0"/>
                      <w:marRight w:val="0"/>
                      <w:marTop w:val="0"/>
                      <w:marBottom w:val="0"/>
                      <w:divBdr>
                        <w:top w:val="none" w:sz="0" w:space="0" w:color="auto"/>
                        <w:left w:val="none" w:sz="0" w:space="0" w:color="auto"/>
                        <w:bottom w:val="none" w:sz="0" w:space="0" w:color="auto"/>
                        <w:right w:val="none" w:sz="0" w:space="0" w:color="auto"/>
                      </w:divBdr>
                      <w:divsChild>
                        <w:div w:id="1922791372">
                          <w:marLeft w:val="0"/>
                          <w:marRight w:val="0"/>
                          <w:marTop w:val="0"/>
                          <w:marBottom w:val="0"/>
                          <w:divBdr>
                            <w:top w:val="none" w:sz="0" w:space="0" w:color="auto"/>
                            <w:left w:val="none" w:sz="0" w:space="0" w:color="auto"/>
                            <w:bottom w:val="none" w:sz="0" w:space="0" w:color="auto"/>
                            <w:right w:val="none" w:sz="0" w:space="0" w:color="auto"/>
                          </w:divBdr>
                          <w:divsChild>
                            <w:div w:id="25023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2C0D67-6487-40B0-BC43-689D4DFDE1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1375</TotalTime>
  <Pages>16</Pages>
  <Words>3257</Words>
  <Characters>18571</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PRABHAT  DWIVEDI</dc:creator>
  <cp:keywords/>
  <dc:description/>
  <cp:lastModifiedBy>PRABHAT  DWIVEDI</cp:lastModifiedBy>
  <cp:revision>59</cp:revision>
  <dcterms:created xsi:type="dcterms:W3CDTF">2025-05-21T10:53:00Z</dcterms:created>
  <dcterms:modified xsi:type="dcterms:W3CDTF">2026-02-25T18:01:00Z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37510567-3819-42d2-a251-b26385503dca</vt:lpwstr>
  </property>
</Properties>
</file>