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C380D">
      <w:pPr>
        <w:spacing w:line="360" w:lineRule="auto"/>
        <w:rPr>
          <w:rFonts w:hint="eastAsia"/>
        </w:rPr>
      </w:pPr>
      <w:r>
        <w:rPr>
          <w:rFonts w:ascii="Times New Roman" w:hAnsi="Times New Roman"/>
          <w:b/>
        </w:rPr>
        <w:t>Supplemental Figure 1.</w:t>
      </w:r>
      <w:r>
        <w:rPr>
          <w:rFonts w:ascii="Times New Roman" w:hAnsi="Times New Roman"/>
        </w:rPr>
        <w:t xml:space="preserve"> Radiographic image of a 32-year-old male patient with lumbar tuberculosis. A, B. Anteroposterior and lateral radiographs of the lumbar spine </w:t>
      </w:r>
      <w:r>
        <w:rPr>
          <w:rFonts w:ascii="Times New Roman" w:hAnsi="Times New Roman" w:cs="Times New Roman"/>
        </w:rPr>
        <w:t>showing</w:t>
      </w:r>
      <w:r>
        <w:rPr>
          <w:rFonts w:ascii="Times New Roman" w:hAnsi="Times New Roman"/>
        </w:rPr>
        <w:t xml:space="preserve"> L5/S1 lesions. C, D. CT of the lumbar spine </w:t>
      </w:r>
      <w:r>
        <w:rPr>
          <w:rFonts w:ascii="Times New Roman" w:hAnsi="Times New Roman" w:cs="Times New Roman"/>
        </w:rPr>
        <w:t>suggesting</w:t>
      </w:r>
      <w:r>
        <w:rPr>
          <w:rFonts w:ascii="Times New Roman" w:hAnsi="Times New Roman"/>
        </w:rPr>
        <w:t xml:space="preserve"> infectious lesions in the L5/S1 intervertebral space, </w:t>
      </w:r>
      <w:r>
        <w:rPr>
          <w:rFonts w:ascii="Times New Roman" w:hAnsi="Times New Roman" w:cs="Times New Roman"/>
        </w:rPr>
        <w:t>indicating</w:t>
      </w:r>
      <w:r>
        <w:rPr>
          <w:rFonts w:ascii="Times New Roman" w:hAnsi="Times New Roman"/>
        </w:rPr>
        <w:t xml:space="preserve"> a high possibility of tuberculosis. E, F. MRI of the lumbar spine </w:t>
      </w:r>
      <w:r>
        <w:rPr>
          <w:rFonts w:ascii="Times New Roman" w:hAnsi="Times New Roman" w:cs="Times New Roman"/>
        </w:rPr>
        <w:t>suggesting</w:t>
      </w:r>
      <w:r>
        <w:rPr>
          <w:rFonts w:ascii="Times New Roman" w:hAnsi="Times New Roman"/>
        </w:rPr>
        <w:t xml:space="preserve"> infectious lesions in the L5/S1 intervertebral space, </w:t>
      </w:r>
      <w:r>
        <w:rPr>
          <w:rFonts w:ascii="Times New Roman" w:hAnsi="Times New Roman" w:cs="Times New Roman"/>
        </w:rPr>
        <w:t>indicating</w:t>
      </w:r>
      <w:r>
        <w:rPr>
          <w:rFonts w:ascii="Times New Roman" w:hAnsi="Times New Roman"/>
        </w:rPr>
        <w:t xml:space="preserve"> a high possibility of tuberculosis.</w:t>
      </w:r>
    </w:p>
    <w:p w14:paraId="106F2B02">
      <w:pPr>
        <w:rPr>
          <w:rFonts w:hint="eastAsia"/>
        </w:rPr>
      </w:pPr>
      <w:r>
        <w:drawing>
          <wp:inline distT="0" distB="0" distL="0" distR="0">
            <wp:extent cx="4007485" cy="3931920"/>
            <wp:effectExtent l="0" t="0" r="63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967" cy="398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AEDE">
      <w:pPr>
        <w:rPr>
          <w:rFonts w:hint="eastAsia"/>
        </w:rPr>
      </w:pPr>
    </w:p>
    <w:p w14:paraId="6E2E2488">
      <w:pPr>
        <w:rPr>
          <w:rFonts w:hint="eastAsia"/>
        </w:rPr>
      </w:pPr>
    </w:p>
    <w:p w14:paraId="7B3C63D9">
      <w:pPr>
        <w:rPr>
          <w:rFonts w:hint="eastAsia"/>
        </w:rPr>
      </w:pPr>
    </w:p>
    <w:p w14:paraId="56CF7225">
      <w:pPr>
        <w:rPr>
          <w:rFonts w:hint="eastAsia"/>
        </w:rPr>
      </w:pPr>
    </w:p>
    <w:p w14:paraId="6F5AC816">
      <w:pPr>
        <w:rPr>
          <w:rFonts w:hint="eastAsia"/>
        </w:rPr>
      </w:pPr>
    </w:p>
    <w:p w14:paraId="08BADB3F">
      <w:pPr>
        <w:rPr>
          <w:rFonts w:hint="eastAsia"/>
        </w:rPr>
      </w:pPr>
    </w:p>
    <w:p w14:paraId="0379BF0E">
      <w:pPr>
        <w:rPr>
          <w:rFonts w:hint="eastAsia"/>
        </w:rPr>
      </w:pPr>
    </w:p>
    <w:p w14:paraId="33B384A0">
      <w:pPr>
        <w:rPr>
          <w:rFonts w:hint="eastAsia"/>
        </w:rPr>
      </w:pPr>
    </w:p>
    <w:p w14:paraId="0F4953AA">
      <w:pPr>
        <w:rPr>
          <w:rFonts w:hint="eastAsia"/>
        </w:rPr>
      </w:pPr>
    </w:p>
    <w:p w14:paraId="4625EBAB">
      <w:pPr>
        <w:rPr>
          <w:rFonts w:hint="eastAsia"/>
        </w:rPr>
      </w:pPr>
    </w:p>
    <w:p w14:paraId="60F080C9">
      <w:pPr>
        <w:rPr>
          <w:rFonts w:hint="eastAsia"/>
        </w:rPr>
      </w:pPr>
    </w:p>
    <w:p w14:paraId="7970984B">
      <w:pPr>
        <w:rPr>
          <w:rFonts w:hint="eastAsia"/>
        </w:rPr>
      </w:pPr>
    </w:p>
    <w:p w14:paraId="4CE7ACEF">
      <w:pPr>
        <w:rPr>
          <w:rFonts w:hint="eastAsia"/>
        </w:rPr>
      </w:pPr>
    </w:p>
    <w:p w14:paraId="08F3CE69">
      <w:pPr>
        <w:spacing w:line="480" w:lineRule="auto"/>
        <w:contextualSpacing/>
        <w:jc w:val="both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14:textFill>
            <w14:solidFill>
              <w14:schemeClr w14:val="tx1"/>
            </w14:solidFill>
          </w14:textFill>
        </w:rPr>
        <w:t>Supplemental Figure 2.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Expression of CALCR, ACP5 and MMP9 in bone tissues from STB patients (n=4) and control subjects (n=4).</w:t>
      </w:r>
    </w:p>
    <w:p w14:paraId="0C425549">
      <w:pPr>
        <w:rPr>
          <w:rFonts w:hint="eastAsia"/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【</w:t>
      </w: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Note: 1=</w:t>
      </w:r>
      <w:r>
        <w:rPr>
          <w:rFonts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control subjects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0=</w:t>
      </w:r>
      <w:r>
        <w:rPr>
          <w:rFonts w:ascii="Times New Roman" w:hAnsi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STB patients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】</w:t>
      </w:r>
      <w:bookmarkStart w:id="0" w:name="_GoBack"/>
      <w:r>
        <w:drawing>
          <wp:inline distT="0" distB="0" distL="0" distR="0">
            <wp:extent cx="5396230" cy="33432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4" t="5710" r="4805" b="5544"/>
                    <a:stretch>
                      <a:fillRect/>
                    </a:stretch>
                  </pic:blipFill>
                  <pic:spPr>
                    <a:xfrm>
                      <a:off x="0" y="0"/>
                      <a:ext cx="5398006" cy="334405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7CE7B67">
      <w:pPr>
        <w:rPr>
          <w:rFonts w:hint="eastAsia"/>
        </w:rPr>
      </w:pPr>
    </w:p>
    <w:p w14:paraId="77610CDC">
      <w:pPr>
        <w:spacing w:line="480" w:lineRule="auto"/>
        <w:contextualSpacing/>
        <w:jc w:val="both"/>
        <w:rPr>
          <w:rFonts w:ascii="Times New Roman" w:hAnsi="Times New Roman"/>
          <w:b/>
        </w:rPr>
      </w:pPr>
    </w:p>
    <w:p w14:paraId="2C97694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Supplementary material</w:t>
      </w:r>
    </w:p>
    <w:p w14:paraId="47AE7886">
      <w:pPr>
        <w:spacing w:line="480" w:lineRule="auto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Supplemental Table 1. </w:t>
      </w:r>
      <w:r>
        <w:rPr>
          <w:rFonts w:ascii="Times New Roman" w:hAnsi="Times New Roman" w:cs="Times New Roman"/>
        </w:rPr>
        <w:t>Sequences of</w:t>
      </w:r>
      <w:r>
        <w:rPr>
          <w:rFonts w:ascii="Times New Roman" w:hAnsi="Times New Roman"/>
        </w:rPr>
        <w:t xml:space="preserve"> the </w:t>
      </w:r>
      <w:r>
        <w:rPr>
          <w:rFonts w:ascii="Times New Roman" w:hAnsi="Times New Roman" w:cs="Times New Roman"/>
        </w:rPr>
        <w:t xml:space="preserve">human </w:t>
      </w:r>
      <w:r>
        <w:rPr>
          <w:rFonts w:ascii="Times New Roman" w:hAnsi="Times New Roman"/>
        </w:rPr>
        <w:t xml:space="preserve">GAPDH, ACP5, MMP9 and CALCR </w:t>
      </w:r>
      <w:r>
        <w:rPr>
          <w:rFonts w:ascii="Times New Roman" w:hAnsi="Times New Roman" w:cs="Times New Roman"/>
        </w:rPr>
        <w:t>primers</w:t>
      </w:r>
      <w:r>
        <w:rPr>
          <w:rFonts w:ascii="Times New Roman" w:hAnsi="Times New Roman"/>
        </w:rPr>
        <w:t>.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2"/>
        <w:gridCol w:w="5870"/>
      </w:tblGrid>
      <w:tr w14:paraId="11A2E6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0B527B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</w:rPr>
              <w:t>Gene</w:t>
            </w:r>
          </w:p>
        </w:tc>
        <w:tc>
          <w:tcPr>
            <w:tcW w:w="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764D618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</w:rPr>
              <w:t xml:space="preserve"> Primer sequence (5′–3′)</w:t>
            </w:r>
          </w:p>
        </w:tc>
      </w:tr>
      <w:tr w14:paraId="4F2D87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035" w:type="dxa"/>
            <w:vAlign w:val="center"/>
          </w:tcPr>
          <w:p w14:paraId="317D75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GAPDH</w:t>
            </w:r>
          </w:p>
        </w:tc>
        <w:tc>
          <w:tcPr>
            <w:tcW w:w="6311" w:type="dxa"/>
            <w:vAlign w:val="center"/>
          </w:tcPr>
          <w:p w14:paraId="351A5B4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Forward: ACAGCCTCAAGATCATCAGC</w:t>
            </w:r>
          </w:p>
        </w:tc>
      </w:tr>
      <w:tr w14:paraId="3FAF90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035" w:type="dxa"/>
            <w:vAlign w:val="center"/>
          </w:tcPr>
          <w:p w14:paraId="20A2845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6311" w:type="dxa"/>
            <w:vAlign w:val="center"/>
          </w:tcPr>
          <w:p w14:paraId="15BAF0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Reverse: GGTCATGAGTCCTTCCACGAT</w:t>
            </w:r>
          </w:p>
        </w:tc>
      </w:tr>
      <w:tr w14:paraId="0A7EE8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035" w:type="dxa"/>
            <w:vAlign w:val="center"/>
          </w:tcPr>
          <w:p w14:paraId="4D43E02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CALCR</w:t>
            </w:r>
          </w:p>
        </w:tc>
        <w:tc>
          <w:tcPr>
            <w:tcW w:w="6311" w:type="dxa"/>
            <w:vAlign w:val="center"/>
          </w:tcPr>
          <w:p w14:paraId="3FFA904E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Forward: TGCATTCGGTCATAGCATTTGTA</w:t>
            </w:r>
          </w:p>
        </w:tc>
      </w:tr>
      <w:tr w14:paraId="003C8C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035" w:type="dxa"/>
            <w:vAlign w:val="center"/>
          </w:tcPr>
          <w:p w14:paraId="41A129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　</w:t>
            </w:r>
          </w:p>
        </w:tc>
        <w:tc>
          <w:tcPr>
            <w:tcW w:w="6311" w:type="dxa"/>
            <w:vAlign w:val="center"/>
          </w:tcPr>
          <w:p w14:paraId="5EC9D6A6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Reverse: CCTATCCAACAATAGAGCCCAAG</w:t>
            </w:r>
          </w:p>
        </w:tc>
      </w:tr>
      <w:tr w14:paraId="5C1912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035" w:type="dxa"/>
            <w:vAlign w:val="center"/>
          </w:tcPr>
          <w:p w14:paraId="2DEAB1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ACP5</w:t>
            </w:r>
          </w:p>
        </w:tc>
        <w:tc>
          <w:tcPr>
            <w:tcW w:w="6311" w:type="dxa"/>
            <w:vAlign w:val="center"/>
          </w:tcPr>
          <w:p w14:paraId="1FB41F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Forward: CACGCCATTCTCATCTTGCA</w:t>
            </w:r>
          </w:p>
        </w:tc>
      </w:tr>
      <w:tr w14:paraId="74EEE4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035" w:type="dxa"/>
            <w:vAlign w:val="center"/>
          </w:tcPr>
          <w:p w14:paraId="48D6DA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6311" w:type="dxa"/>
            <w:vAlign w:val="center"/>
          </w:tcPr>
          <w:p w14:paraId="75951FB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Reverse: GCTGTCCTGGCTCAAGAAAC</w:t>
            </w:r>
          </w:p>
        </w:tc>
      </w:tr>
      <w:tr w14:paraId="1ED6D5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035" w:type="dxa"/>
            <w:vAlign w:val="center"/>
          </w:tcPr>
          <w:p w14:paraId="0BD262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MMP9</w:t>
            </w:r>
          </w:p>
        </w:tc>
        <w:tc>
          <w:tcPr>
            <w:tcW w:w="6311" w:type="dxa"/>
            <w:vAlign w:val="center"/>
          </w:tcPr>
          <w:p w14:paraId="2117885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Forward: GGGACGCAGACATCGTCATC</w:t>
            </w:r>
          </w:p>
        </w:tc>
      </w:tr>
      <w:tr w14:paraId="2DDA6B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035" w:type="dxa"/>
            <w:vAlign w:val="center"/>
          </w:tcPr>
          <w:p w14:paraId="32D657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6311" w:type="dxa"/>
            <w:vAlign w:val="center"/>
          </w:tcPr>
          <w:p w14:paraId="63DCEF6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</w:rPr>
              <w:t>Reverse: TCGTCATCGTCGAAATGGGC</w:t>
            </w:r>
          </w:p>
        </w:tc>
      </w:tr>
    </w:tbl>
    <w:p w14:paraId="3E8FE08F">
      <w:pPr>
        <w:spacing w:line="480" w:lineRule="auto"/>
        <w:contextualSpacing/>
        <w:jc w:val="both"/>
        <w:rPr>
          <w:rFonts w:ascii="Times New Roman" w:hAnsi="Times New Roman"/>
          <w:b/>
        </w:rPr>
      </w:pPr>
    </w:p>
    <w:p w14:paraId="5C703DBD">
      <w:pPr>
        <w:spacing w:line="48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Supplemental Table 2. </w:t>
      </w:r>
      <w:r>
        <w:rPr>
          <w:rFonts w:ascii="Times New Roman" w:hAnsi="Times New Roman"/>
        </w:rPr>
        <w:t xml:space="preserve">Clinical data of 4 STB patients and 4 controls </w:t>
      </w:r>
      <w:r>
        <w:rPr>
          <w:rFonts w:ascii="Times New Roman" w:hAnsi="Times New Roman" w:cs="Times New Roman"/>
          <w:szCs w:val="21"/>
        </w:rPr>
        <w:t>included in the</w:t>
      </w:r>
      <w:r>
        <w:rPr>
          <w:rFonts w:ascii="Times New Roman" w:hAnsi="Times New Roman"/>
        </w:rPr>
        <w:t xml:space="preserve"> RNA-seq</w:t>
      </w:r>
      <w:r>
        <w:rPr>
          <w:rFonts w:ascii="Times New Roman" w:hAnsi="Times New Roman" w:cs="Times New Roman"/>
          <w:szCs w:val="21"/>
        </w:rPr>
        <w:t xml:space="preserve"> analysis</w:t>
      </w:r>
      <w:r>
        <w:rPr>
          <w:rFonts w:ascii="Times New Roman" w:hAnsi="Times New Roman"/>
        </w:rPr>
        <w:t>.</w:t>
      </w:r>
    </w:p>
    <w:tbl>
      <w:tblPr>
        <w:tblStyle w:val="5"/>
        <w:tblW w:w="9309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29"/>
        <w:gridCol w:w="547"/>
        <w:gridCol w:w="1275"/>
        <w:gridCol w:w="1134"/>
        <w:gridCol w:w="1418"/>
        <w:gridCol w:w="1417"/>
        <w:gridCol w:w="993"/>
        <w:gridCol w:w="945"/>
      </w:tblGrid>
      <w:tr w14:paraId="1AC14C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58FD63A9">
            <w:pPr>
              <w:spacing w:line="276" w:lineRule="auto"/>
              <w:jc w:val="both"/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  <w:t>Number</w:t>
            </w:r>
          </w:p>
        </w:tc>
        <w:tc>
          <w:tcPr>
            <w:tcW w:w="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0BE528BC">
            <w:pPr>
              <w:spacing w:line="276" w:lineRule="auto"/>
              <w:jc w:val="both"/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  <w:t>Sex</w:t>
            </w:r>
          </w:p>
        </w:tc>
        <w:tc>
          <w:tcPr>
            <w:tcW w:w="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71585BB5">
            <w:pPr>
              <w:spacing w:line="276" w:lineRule="auto"/>
              <w:jc w:val="both"/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  <w:t>Age</w:t>
            </w:r>
          </w:p>
        </w:tc>
        <w:tc>
          <w:tcPr>
            <w:tcW w:w="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65C31D6C">
            <w:pPr>
              <w:spacing w:line="276" w:lineRule="auto"/>
              <w:jc w:val="both"/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  <w:t>Preoperative BMD（g/cm²）</w:t>
            </w:r>
          </w:p>
        </w:tc>
        <w:tc>
          <w:tcPr>
            <w:tcW w:w="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094C9D04">
            <w:pPr>
              <w:spacing w:line="276" w:lineRule="auto"/>
              <w:jc w:val="both"/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  <w:t>Diagnosis on the basis of BMD</w:t>
            </w:r>
          </w:p>
        </w:tc>
        <w:tc>
          <w:tcPr>
            <w:tcW w:w="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5B3061B1">
            <w:pPr>
              <w:spacing w:line="276" w:lineRule="auto"/>
              <w:jc w:val="both"/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  <w:t>Preoperative ESR（mm/h）</w:t>
            </w:r>
          </w:p>
        </w:tc>
        <w:tc>
          <w:tcPr>
            <w:tcW w:w="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6A20A8D4">
            <w:pPr>
              <w:spacing w:line="276" w:lineRule="auto"/>
              <w:jc w:val="both"/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  <w:t>ESR 6 months after surgery (mm/h）</w:t>
            </w:r>
          </w:p>
        </w:tc>
        <w:tc>
          <w:tcPr>
            <w:tcW w:w="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01F9AB94">
            <w:pPr>
              <w:spacing w:line="276" w:lineRule="auto"/>
              <w:jc w:val="both"/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  <w:t>Prognosis</w:t>
            </w:r>
          </w:p>
        </w:tc>
        <w:tc>
          <w:tcPr>
            <w:tcW w:w="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62380915">
            <w:pPr>
              <w:spacing w:line="276" w:lineRule="auto"/>
              <w:jc w:val="both"/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16"/>
                <w:szCs w:val="16"/>
              </w:rPr>
              <w:t>Grouping</w:t>
            </w:r>
          </w:p>
        </w:tc>
      </w:tr>
      <w:tr w14:paraId="0AB317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vAlign w:val="center"/>
          </w:tcPr>
          <w:p w14:paraId="04B169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STB1</w:t>
            </w:r>
          </w:p>
        </w:tc>
        <w:tc>
          <w:tcPr>
            <w:tcW w:w="729" w:type="dxa"/>
            <w:vAlign w:val="center"/>
          </w:tcPr>
          <w:p w14:paraId="252F1D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Male</w:t>
            </w:r>
          </w:p>
        </w:tc>
        <w:tc>
          <w:tcPr>
            <w:tcW w:w="547" w:type="dxa"/>
            <w:vAlign w:val="center"/>
          </w:tcPr>
          <w:p w14:paraId="1B79B54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32</w:t>
            </w:r>
          </w:p>
        </w:tc>
        <w:tc>
          <w:tcPr>
            <w:tcW w:w="1275" w:type="dxa"/>
            <w:vAlign w:val="center"/>
          </w:tcPr>
          <w:p w14:paraId="272CBB9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0.869</w:t>
            </w:r>
          </w:p>
        </w:tc>
        <w:tc>
          <w:tcPr>
            <w:tcW w:w="1134" w:type="dxa"/>
            <w:vAlign w:val="center"/>
          </w:tcPr>
          <w:p w14:paraId="7A2646C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Osteopenia</w:t>
            </w:r>
          </w:p>
        </w:tc>
        <w:tc>
          <w:tcPr>
            <w:tcW w:w="1418" w:type="dxa"/>
            <w:vAlign w:val="center"/>
          </w:tcPr>
          <w:p w14:paraId="297745B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55</w:t>
            </w:r>
          </w:p>
        </w:tc>
        <w:tc>
          <w:tcPr>
            <w:tcW w:w="1417" w:type="dxa"/>
            <w:vAlign w:val="center"/>
          </w:tcPr>
          <w:p w14:paraId="5FB9970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33</w:t>
            </w:r>
          </w:p>
        </w:tc>
        <w:tc>
          <w:tcPr>
            <w:tcW w:w="993" w:type="dxa"/>
            <w:vAlign w:val="center"/>
          </w:tcPr>
          <w:p w14:paraId="6DE4C24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Bad</w:t>
            </w:r>
          </w:p>
        </w:tc>
        <w:tc>
          <w:tcPr>
            <w:tcW w:w="945" w:type="dxa"/>
            <w:vAlign w:val="center"/>
          </w:tcPr>
          <w:p w14:paraId="7BFF42D0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T2</w:t>
            </w:r>
          </w:p>
        </w:tc>
      </w:tr>
      <w:tr w14:paraId="4C4AA7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51" w:type="dxa"/>
            <w:vAlign w:val="center"/>
          </w:tcPr>
          <w:p w14:paraId="13ABB9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STB2</w:t>
            </w:r>
          </w:p>
        </w:tc>
        <w:tc>
          <w:tcPr>
            <w:tcW w:w="729" w:type="dxa"/>
            <w:vAlign w:val="center"/>
          </w:tcPr>
          <w:p w14:paraId="3E01AB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Male</w:t>
            </w:r>
          </w:p>
        </w:tc>
        <w:tc>
          <w:tcPr>
            <w:tcW w:w="547" w:type="dxa"/>
            <w:vAlign w:val="center"/>
          </w:tcPr>
          <w:p w14:paraId="6126DD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54</w:t>
            </w:r>
          </w:p>
        </w:tc>
        <w:tc>
          <w:tcPr>
            <w:tcW w:w="1275" w:type="dxa"/>
            <w:vAlign w:val="center"/>
          </w:tcPr>
          <w:p w14:paraId="2AF9840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0.776</w:t>
            </w:r>
          </w:p>
        </w:tc>
        <w:tc>
          <w:tcPr>
            <w:tcW w:w="1134" w:type="dxa"/>
            <w:vAlign w:val="center"/>
          </w:tcPr>
          <w:p w14:paraId="414A9C0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Severe osteoporosis</w:t>
            </w:r>
          </w:p>
        </w:tc>
        <w:tc>
          <w:tcPr>
            <w:tcW w:w="1418" w:type="dxa"/>
            <w:vAlign w:val="center"/>
          </w:tcPr>
          <w:p w14:paraId="66511ED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98</w:t>
            </w:r>
          </w:p>
        </w:tc>
        <w:tc>
          <w:tcPr>
            <w:tcW w:w="1417" w:type="dxa"/>
            <w:vAlign w:val="center"/>
          </w:tcPr>
          <w:p w14:paraId="511A38C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  <w:vAlign w:val="center"/>
          </w:tcPr>
          <w:p w14:paraId="760166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945" w:type="dxa"/>
            <w:vAlign w:val="center"/>
          </w:tcPr>
          <w:p w14:paraId="2ED213B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T1</w:t>
            </w:r>
          </w:p>
        </w:tc>
      </w:tr>
      <w:tr w14:paraId="699B23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51" w:type="dxa"/>
            <w:vAlign w:val="center"/>
          </w:tcPr>
          <w:p w14:paraId="670E5B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STB3</w:t>
            </w:r>
          </w:p>
        </w:tc>
        <w:tc>
          <w:tcPr>
            <w:tcW w:w="729" w:type="dxa"/>
            <w:vAlign w:val="center"/>
          </w:tcPr>
          <w:p w14:paraId="2CCCBF5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Female</w:t>
            </w:r>
          </w:p>
        </w:tc>
        <w:tc>
          <w:tcPr>
            <w:tcW w:w="547" w:type="dxa"/>
            <w:vAlign w:val="center"/>
          </w:tcPr>
          <w:p w14:paraId="45D444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56</w:t>
            </w:r>
          </w:p>
        </w:tc>
        <w:tc>
          <w:tcPr>
            <w:tcW w:w="1275" w:type="dxa"/>
            <w:vAlign w:val="center"/>
          </w:tcPr>
          <w:p w14:paraId="7B5372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0.792</w:t>
            </w:r>
          </w:p>
        </w:tc>
        <w:tc>
          <w:tcPr>
            <w:tcW w:w="1134" w:type="dxa"/>
            <w:vAlign w:val="center"/>
          </w:tcPr>
          <w:p w14:paraId="4B56E0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Osteoporosis</w:t>
            </w:r>
          </w:p>
        </w:tc>
        <w:tc>
          <w:tcPr>
            <w:tcW w:w="1418" w:type="dxa"/>
            <w:vAlign w:val="center"/>
          </w:tcPr>
          <w:p w14:paraId="5EFC01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31</w:t>
            </w:r>
          </w:p>
        </w:tc>
        <w:tc>
          <w:tcPr>
            <w:tcW w:w="1417" w:type="dxa"/>
            <w:vAlign w:val="center"/>
          </w:tcPr>
          <w:p w14:paraId="04DFE4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vAlign w:val="center"/>
          </w:tcPr>
          <w:p w14:paraId="1C3CE17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Bad</w:t>
            </w:r>
          </w:p>
        </w:tc>
        <w:tc>
          <w:tcPr>
            <w:tcW w:w="945" w:type="dxa"/>
            <w:vAlign w:val="center"/>
          </w:tcPr>
          <w:p w14:paraId="66A1D5FC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T2</w:t>
            </w:r>
          </w:p>
        </w:tc>
      </w:tr>
      <w:tr w14:paraId="3E3456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" w:type="dxa"/>
            <w:vAlign w:val="center"/>
          </w:tcPr>
          <w:p w14:paraId="7FA42E01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STB4</w:t>
            </w:r>
          </w:p>
        </w:tc>
        <w:tc>
          <w:tcPr>
            <w:tcW w:w="1" w:type="dxa"/>
            <w:vAlign w:val="center"/>
          </w:tcPr>
          <w:p w14:paraId="5885E1CF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Female</w:t>
            </w:r>
          </w:p>
        </w:tc>
        <w:tc>
          <w:tcPr>
            <w:tcW w:w="1" w:type="dxa"/>
            <w:vAlign w:val="center"/>
          </w:tcPr>
          <w:p w14:paraId="2334AF5F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56</w:t>
            </w:r>
          </w:p>
        </w:tc>
        <w:tc>
          <w:tcPr>
            <w:tcW w:w="1" w:type="dxa"/>
            <w:vAlign w:val="center"/>
          </w:tcPr>
          <w:p w14:paraId="37389BF0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0.694</w:t>
            </w:r>
          </w:p>
        </w:tc>
        <w:tc>
          <w:tcPr>
            <w:tcW w:w="1" w:type="dxa"/>
            <w:vAlign w:val="center"/>
          </w:tcPr>
          <w:p w14:paraId="11C32A85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Severe osteoporosis</w:t>
            </w:r>
          </w:p>
        </w:tc>
        <w:tc>
          <w:tcPr>
            <w:tcW w:w="1" w:type="dxa"/>
            <w:vAlign w:val="center"/>
          </w:tcPr>
          <w:p w14:paraId="0742EC1D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85</w:t>
            </w:r>
          </w:p>
        </w:tc>
        <w:tc>
          <w:tcPr>
            <w:tcW w:w="1" w:type="dxa"/>
            <w:vAlign w:val="center"/>
          </w:tcPr>
          <w:p w14:paraId="2D68C610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sz w:val="16"/>
                <w:szCs w:val="16"/>
              </w:rPr>
              <w:t>19</w:t>
            </w:r>
          </w:p>
        </w:tc>
        <w:tc>
          <w:tcPr>
            <w:tcW w:w="1" w:type="dxa"/>
            <w:vAlign w:val="center"/>
          </w:tcPr>
          <w:p w14:paraId="27833020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1" w:type="dxa"/>
            <w:vAlign w:val="center"/>
          </w:tcPr>
          <w:p w14:paraId="6EDA0D1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T1</w:t>
            </w:r>
          </w:p>
        </w:tc>
      </w:tr>
      <w:tr w14:paraId="26E5B1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" w:type="dxa"/>
            <w:vAlign w:val="center"/>
          </w:tcPr>
          <w:p w14:paraId="78E2EEB3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ontrol1</w:t>
            </w:r>
          </w:p>
        </w:tc>
        <w:tc>
          <w:tcPr>
            <w:tcW w:w="1" w:type="dxa"/>
            <w:vAlign w:val="center"/>
          </w:tcPr>
          <w:p w14:paraId="34EC47F5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" w:type="dxa"/>
            <w:vAlign w:val="center"/>
          </w:tcPr>
          <w:p w14:paraId="67915074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" w:type="dxa"/>
            <w:vAlign w:val="center"/>
          </w:tcPr>
          <w:p w14:paraId="4CC852CC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1.062</w:t>
            </w:r>
          </w:p>
        </w:tc>
        <w:tc>
          <w:tcPr>
            <w:tcW w:w="1" w:type="dxa"/>
            <w:vAlign w:val="center"/>
          </w:tcPr>
          <w:p w14:paraId="3C1D4216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ormal</w:t>
            </w:r>
          </w:p>
        </w:tc>
        <w:tc>
          <w:tcPr>
            <w:tcW w:w="1" w:type="dxa"/>
            <w:vAlign w:val="center"/>
          </w:tcPr>
          <w:p w14:paraId="497D2800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ormal</w:t>
            </w:r>
          </w:p>
        </w:tc>
        <w:tc>
          <w:tcPr>
            <w:tcW w:w="1" w:type="dxa"/>
            <w:vAlign w:val="center"/>
          </w:tcPr>
          <w:p w14:paraId="617451F4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ormal</w:t>
            </w:r>
          </w:p>
        </w:tc>
        <w:tc>
          <w:tcPr>
            <w:tcW w:w="1" w:type="dxa"/>
          </w:tcPr>
          <w:p w14:paraId="4678E232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1" w:type="dxa"/>
            <w:vAlign w:val="center"/>
          </w:tcPr>
          <w:p w14:paraId="268A68DD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</w:p>
        </w:tc>
      </w:tr>
      <w:tr w14:paraId="208EE7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" w:type="dxa"/>
            <w:vAlign w:val="center"/>
          </w:tcPr>
          <w:p w14:paraId="54E355FF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ontrol2</w:t>
            </w:r>
          </w:p>
        </w:tc>
        <w:tc>
          <w:tcPr>
            <w:tcW w:w="1" w:type="dxa"/>
            <w:vAlign w:val="center"/>
          </w:tcPr>
          <w:p w14:paraId="306704E2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" w:type="dxa"/>
            <w:vAlign w:val="center"/>
          </w:tcPr>
          <w:p w14:paraId="7B33257E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" w:type="dxa"/>
            <w:vAlign w:val="center"/>
          </w:tcPr>
          <w:p w14:paraId="74325957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0.909</w:t>
            </w:r>
          </w:p>
        </w:tc>
        <w:tc>
          <w:tcPr>
            <w:tcW w:w="1" w:type="dxa"/>
          </w:tcPr>
          <w:p w14:paraId="4A9A6780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Osteopenia</w:t>
            </w:r>
          </w:p>
        </w:tc>
        <w:tc>
          <w:tcPr>
            <w:tcW w:w="1" w:type="dxa"/>
            <w:vAlign w:val="center"/>
          </w:tcPr>
          <w:p w14:paraId="20816DF2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ormal</w:t>
            </w:r>
          </w:p>
        </w:tc>
        <w:tc>
          <w:tcPr>
            <w:tcW w:w="1" w:type="dxa"/>
            <w:vAlign w:val="center"/>
          </w:tcPr>
          <w:p w14:paraId="2063AB97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ormal</w:t>
            </w:r>
          </w:p>
        </w:tc>
        <w:tc>
          <w:tcPr>
            <w:tcW w:w="1" w:type="dxa"/>
          </w:tcPr>
          <w:p w14:paraId="2ABA8F0E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1" w:type="dxa"/>
            <w:vAlign w:val="center"/>
          </w:tcPr>
          <w:p w14:paraId="520EE5B3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</w:p>
        </w:tc>
      </w:tr>
      <w:tr w14:paraId="06EB64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" w:type="dxa"/>
            <w:vAlign w:val="center"/>
          </w:tcPr>
          <w:p w14:paraId="2546CF49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ontrol3</w:t>
            </w:r>
          </w:p>
        </w:tc>
        <w:tc>
          <w:tcPr>
            <w:tcW w:w="1" w:type="dxa"/>
            <w:vAlign w:val="center"/>
          </w:tcPr>
          <w:p w14:paraId="288AF09F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" w:type="dxa"/>
            <w:vAlign w:val="center"/>
          </w:tcPr>
          <w:p w14:paraId="753DDA14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" w:type="dxa"/>
            <w:vAlign w:val="center"/>
          </w:tcPr>
          <w:p w14:paraId="60E414B2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0.895</w:t>
            </w:r>
          </w:p>
        </w:tc>
        <w:tc>
          <w:tcPr>
            <w:tcW w:w="1" w:type="dxa"/>
          </w:tcPr>
          <w:p w14:paraId="28FACC01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Osteopenia</w:t>
            </w:r>
          </w:p>
        </w:tc>
        <w:tc>
          <w:tcPr>
            <w:tcW w:w="1" w:type="dxa"/>
            <w:vAlign w:val="center"/>
          </w:tcPr>
          <w:p w14:paraId="387105F3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ormal</w:t>
            </w:r>
          </w:p>
        </w:tc>
        <w:tc>
          <w:tcPr>
            <w:tcW w:w="1" w:type="dxa"/>
            <w:vAlign w:val="center"/>
          </w:tcPr>
          <w:p w14:paraId="62FE0EF8">
            <w:pPr>
              <w:spacing w:line="276" w:lineRule="auto"/>
              <w:jc w:val="both"/>
              <w:rPr>
                <w:rFonts w:ascii="Times New Roman" w:hAnsi="Times New Roman" w:eastAsia="等线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ormal</w:t>
            </w:r>
          </w:p>
        </w:tc>
        <w:tc>
          <w:tcPr>
            <w:tcW w:w="1" w:type="dxa"/>
          </w:tcPr>
          <w:p w14:paraId="47913C2D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1" w:type="dxa"/>
            <w:vAlign w:val="center"/>
          </w:tcPr>
          <w:p w14:paraId="29BE5C65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</w:p>
        </w:tc>
      </w:tr>
      <w:tr w14:paraId="5288D5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" w:type="dxa"/>
            <w:vAlign w:val="center"/>
          </w:tcPr>
          <w:p w14:paraId="0F7DA1F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ontrol4</w:t>
            </w:r>
          </w:p>
        </w:tc>
        <w:tc>
          <w:tcPr>
            <w:tcW w:w="1" w:type="dxa"/>
            <w:vAlign w:val="center"/>
          </w:tcPr>
          <w:p w14:paraId="61BA1B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" w:type="dxa"/>
            <w:vAlign w:val="center"/>
          </w:tcPr>
          <w:p w14:paraId="3BBBEB8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" w:type="dxa"/>
            <w:vAlign w:val="center"/>
          </w:tcPr>
          <w:p w14:paraId="3346C72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0.995</w:t>
            </w:r>
          </w:p>
        </w:tc>
        <w:tc>
          <w:tcPr>
            <w:tcW w:w="1" w:type="dxa"/>
            <w:vAlign w:val="center"/>
          </w:tcPr>
          <w:p w14:paraId="3D53C0D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ormal</w:t>
            </w:r>
          </w:p>
        </w:tc>
        <w:tc>
          <w:tcPr>
            <w:tcW w:w="1" w:type="dxa"/>
            <w:vAlign w:val="center"/>
          </w:tcPr>
          <w:p w14:paraId="511AF5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ormal</w:t>
            </w:r>
          </w:p>
        </w:tc>
        <w:tc>
          <w:tcPr>
            <w:tcW w:w="1" w:type="dxa"/>
            <w:vAlign w:val="center"/>
          </w:tcPr>
          <w:p w14:paraId="1242EB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ormal</w:t>
            </w:r>
          </w:p>
        </w:tc>
        <w:tc>
          <w:tcPr>
            <w:tcW w:w="1" w:type="dxa"/>
          </w:tcPr>
          <w:p w14:paraId="2C56AE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Good</w:t>
            </w:r>
          </w:p>
        </w:tc>
        <w:tc>
          <w:tcPr>
            <w:tcW w:w="1" w:type="dxa"/>
            <w:vAlign w:val="center"/>
          </w:tcPr>
          <w:p w14:paraId="1477C9E3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666B7131">
      <w:pPr>
        <w:pStyle w:val="7"/>
        <w:rPr>
          <w:rFonts w:eastAsia="宋体"/>
          <w:szCs w:val="21"/>
        </w:rPr>
      </w:pPr>
    </w:p>
    <w:p w14:paraId="7CFA0634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szCs w:val="21"/>
        </w:rPr>
        <w:t>Supplemental</w:t>
      </w:r>
      <w:r>
        <w:rPr>
          <w:rFonts w:ascii="Times New Roman" w:hAnsi="Times New Roman" w:cs="Times New Roman"/>
          <w:b/>
          <w:bCs/>
        </w:rPr>
        <w:t xml:space="preserve"> T</w:t>
      </w:r>
      <w:r>
        <w:rPr>
          <w:rFonts w:hint="eastAsia" w:ascii="Times New Roman" w:hAnsi="Times New Roman" w:cs="Times New Roman"/>
          <w:b/>
          <w:bCs/>
        </w:rPr>
        <w:t>able</w:t>
      </w:r>
      <w:r>
        <w:rPr>
          <w:rFonts w:ascii="Times New Roman" w:hAnsi="Times New Roman" w:cs="Times New Roman"/>
          <w:b/>
          <w:bCs/>
        </w:rPr>
        <w:t xml:space="preserve"> 3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color w:val="000000"/>
        </w:rPr>
        <w:t>Comparison of albumin level in patients with spinal tuberculosis and Low end of the medical reference value range</w:t>
      </w:r>
      <w:r>
        <w:rPr>
          <w:rFonts w:hint="eastAsia" w:ascii="Times New Roman" w:hAnsi="Times New Roman" w:cs="Times New Roman"/>
          <w:color w:val="000000"/>
        </w:rPr>
        <w:t xml:space="preserve"> </w:t>
      </w:r>
      <w:r>
        <w:rPr>
          <w:rFonts w:hint="eastAsia" w:ascii="Times New Roman" w:hAnsi="Times New Roman" w:cs="Times New Roman"/>
          <w:color w:val="000000"/>
          <w:kern w:val="2"/>
        </w:rPr>
        <w:t>(</w:t>
      </w:r>
      <w:r>
        <w:rPr>
          <w:rFonts w:ascii="Times New Roman" w:hAnsi="Times New Roman" w:cs="Times New Roman"/>
          <w:color w:val="000000"/>
          <w:kern w:val="2"/>
        </w:rPr>
        <w:t>M(Q1,Q3)</w:t>
      </w:r>
      <w:r>
        <w:rPr>
          <w:rFonts w:hint="eastAsia" w:ascii="Times New Roman" w:hAnsi="Times New Roman" w:cs="Times New Roman"/>
          <w:color w:val="000000"/>
          <w:kern w:val="2"/>
        </w:rPr>
        <w:t>)</w:t>
      </w:r>
      <w:r>
        <w:rPr>
          <w:rFonts w:ascii="Times New Roman" w:hAnsi="Times New Roman" w:cs="Times New Roman"/>
          <w:color w:val="000000"/>
          <w:kern w:val="2"/>
        </w:rPr>
        <w:t>.</w:t>
      </w:r>
    </w:p>
    <w:p w14:paraId="1ECCF161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022DAC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3754CCB6">
            <w:pPr>
              <w:ind w:right="120"/>
              <w:jc w:val="both"/>
              <w:rPr>
                <w:rFonts w:hint="eastAsia" w:cs="Times New Roman"/>
                <w:color w:val="000000"/>
              </w:rPr>
            </w:pPr>
          </w:p>
        </w:tc>
        <w:tc>
          <w:tcPr>
            <w:tcW w:w="2841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4B3E3DFB">
            <w:pPr>
              <w:jc w:val="both"/>
              <w:rPr>
                <w:rFonts w:hint="eastAsia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STB(n=53)</w:t>
            </w:r>
          </w:p>
        </w:tc>
        <w:tc>
          <w:tcPr>
            <w:tcW w:w="2841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2DDC942F">
            <w:pPr>
              <w:jc w:val="both"/>
              <w:rPr>
                <w:rFonts w:hint="eastAsia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P value</w:t>
            </w:r>
          </w:p>
        </w:tc>
      </w:tr>
      <w:tr w14:paraId="7689AF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4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D3744DD">
            <w:pPr>
              <w:jc w:val="both"/>
              <w:rPr>
                <w:rFonts w:hint="eastAsia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Albumin（g/L）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C598BAF">
            <w:pPr>
              <w:jc w:val="both"/>
              <w:rPr>
                <w:rFonts w:hint="eastAsia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37.90(36.25,40.80)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250884C">
            <w:pPr>
              <w:jc w:val="both"/>
              <w:rPr>
                <w:rFonts w:hint="eastAsia" w:cs="Times New Roman"/>
                <w:color w:val="000000"/>
              </w:rPr>
            </w:pPr>
            <w:r>
              <w:rPr>
                <w:rFonts w:hint="eastAsia" w:cs="Times New Roman"/>
                <w:color w:val="000000"/>
              </w:rPr>
              <w:t>0.0072</w:t>
            </w:r>
          </w:p>
        </w:tc>
      </w:tr>
    </w:tbl>
    <w:p w14:paraId="1B23ECD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4C429C72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3278AA2A">
      <w:pPr>
        <w:pStyle w:val="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1"/>
        </w:rPr>
        <w:t>Supplemental</w:t>
      </w:r>
      <w:r>
        <w:rPr>
          <w:rFonts w:ascii="Times New Roman" w:hAnsi="Times New Roman"/>
          <w:b/>
          <w:bCs/>
          <w:sz w:val="24"/>
          <w:szCs w:val="24"/>
        </w:rPr>
        <w:t xml:space="preserve"> T</w:t>
      </w:r>
      <w:r>
        <w:rPr>
          <w:rFonts w:hint="eastAsia" w:ascii="Times New Roman" w:hAnsi="Times New Roman"/>
          <w:b/>
          <w:bCs/>
          <w:sz w:val="24"/>
          <w:szCs w:val="24"/>
        </w:rPr>
        <w:t>able</w:t>
      </w:r>
      <w:r>
        <w:rPr>
          <w:rFonts w:ascii="Times New Roman" w:hAnsi="Times New Roman"/>
          <w:b/>
          <w:bCs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hint="eastAsia" w:ascii="Times New Roman" w:hAnsi="Times New Roman"/>
          <w:kern w:val="2"/>
          <w:sz w:val="24"/>
          <w:szCs w:val="24"/>
        </w:rPr>
        <w:t>Comparison of Albumin levels</w:t>
      </w:r>
      <w:r>
        <w:rPr>
          <w:rFonts w:ascii="Times New Roman" w:hAnsi="Times New Roman"/>
          <w:kern w:val="2"/>
          <w:sz w:val="24"/>
          <w:szCs w:val="24"/>
        </w:rPr>
        <w:t>(</w:t>
      </w:r>
      <w:r>
        <w:rPr>
          <w:rFonts w:hint="eastAsia" w:ascii="Times New Roman" w:hAnsi="Times New Roman"/>
          <w:kern w:val="2"/>
          <w:sz w:val="24"/>
          <w:szCs w:val="24"/>
        </w:rPr>
        <w:t>g/L)</w:t>
      </w:r>
      <w:r>
        <w:rPr>
          <w:rFonts w:ascii="Times New Roman" w:hAnsi="Times New Roman"/>
          <w:kern w:val="2"/>
          <w:sz w:val="24"/>
          <w:szCs w:val="24"/>
        </w:rPr>
        <w:t xml:space="preserve"> and BMI</w:t>
      </w:r>
      <w:r>
        <w:rPr>
          <w:rFonts w:hint="eastAsia" w:ascii="Times New Roman" w:hAnsi="Times New Roman"/>
          <w:kern w:val="2"/>
          <w:sz w:val="24"/>
          <w:szCs w:val="24"/>
        </w:rPr>
        <w:t xml:space="preserve"> between the two groups in the wound healing assay</w:t>
      </w:r>
      <w:r>
        <w:rPr>
          <w:rFonts w:hint="eastAsia" w:ascii="Times New Roman" w:hAnsi="Times New Roman" w:eastAsia="Times New Roman"/>
          <w:color w:val="auto"/>
          <w:sz w:val="24"/>
          <w:szCs w:val="24"/>
          <w:lang w:eastAsia="en-US"/>
        </w:rPr>
        <w:t xml:space="preserve"> (</w:t>
      </w:r>
      <w:r>
        <w:rPr>
          <w:rFonts w:ascii="Times New Roman" w:hAnsi="Times New Roman" w:eastAsia="Times New Roman"/>
          <w:color w:val="auto"/>
          <w:sz w:val="24"/>
          <w:szCs w:val="24"/>
          <w:lang w:eastAsia="en-US"/>
        </w:rPr>
        <w:fldChar w:fldCharType="begin"/>
      </w:r>
      <w:r>
        <w:rPr>
          <w:rFonts w:ascii="Times New Roman" w:hAnsi="Times New Roman" w:eastAsia="Times New Roman"/>
          <w:color w:val="auto"/>
          <w:sz w:val="24"/>
          <w:szCs w:val="24"/>
          <w:lang w:eastAsia="en-US"/>
        </w:rPr>
        <w:instrText xml:space="preserve">EQ \* jc2 \* hps12 \o\ad(\s\up 13(_),X)</w:instrText>
      </w:r>
      <w:r>
        <w:rPr>
          <w:rFonts w:ascii="Times New Roman" w:hAnsi="Times New Roman" w:eastAsia="Times New Roman"/>
          <w:color w:val="auto"/>
          <w:sz w:val="24"/>
          <w:szCs w:val="24"/>
          <w:lang w:eastAsia="en-US"/>
        </w:rPr>
        <w:fldChar w:fldCharType="end"/>
      </w:r>
      <w:r>
        <w:rPr>
          <w:rFonts w:hint="eastAsia" w:ascii="Times New Roman" w:hAnsi="Times New Roman" w:eastAsia="Times New Roman"/>
          <w:color w:val="auto"/>
          <w:sz w:val="24"/>
          <w:szCs w:val="24"/>
          <w:lang w:eastAsia="en-US"/>
        </w:rPr>
        <w:t>±s)</w:t>
      </w:r>
      <w:r>
        <w:rPr>
          <w:rFonts w:ascii="Times New Roman" w:hAnsi="Times New Roman"/>
          <w:kern w:val="2"/>
          <w:sz w:val="24"/>
          <w:szCs w:val="24"/>
        </w:rPr>
        <w:t>.</w:t>
      </w:r>
    </w:p>
    <w:tbl>
      <w:tblPr>
        <w:tblStyle w:val="8"/>
        <w:tblW w:w="8705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428"/>
        <w:gridCol w:w="2573"/>
        <w:gridCol w:w="1933"/>
      </w:tblGrid>
      <w:tr w14:paraId="77B36E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5A24E48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8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5460C02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STB(n=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5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2573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1EB8643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NSTB(n=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5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933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22E9A032">
            <w:pPr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P value</w:t>
            </w:r>
          </w:p>
        </w:tc>
      </w:tr>
      <w:tr w14:paraId="29FBDB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39A5605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Albumi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n(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g/L)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</w:tcPr>
          <w:p w14:paraId="186D647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39.26</w:t>
            </w:r>
            <w:r>
              <w:rPr>
                <w:rFonts w:hint="eastAsia" w:cs="Times New Roman"/>
                <w:color w:val="000000"/>
                <w:kern w:val="2"/>
              </w:rPr>
              <w:t>±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1.84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37B2E21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41.72</w:t>
            </w:r>
            <w:r>
              <w:rPr>
                <w:rFonts w:hint="eastAsia" w:cs="Times New Roman"/>
                <w:color w:val="000000"/>
                <w:kern w:val="2"/>
              </w:rPr>
              <w:t>±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2.84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14:paraId="6497AE05">
            <w:pPr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0.1425</w:t>
            </w:r>
          </w:p>
        </w:tc>
      </w:tr>
      <w:tr w14:paraId="7C7AA7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E28FCE2">
            <w:pPr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B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MI</w:t>
            </w:r>
          </w:p>
        </w:tc>
        <w:tc>
          <w:tcPr>
            <w:tcW w:w="242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57A382D">
            <w:pPr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3.37</w:t>
            </w:r>
            <w:r>
              <w:rPr>
                <w:rFonts w:hint="eastAsia" w:cs="Times New Roman"/>
                <w:color w:val="000000"/>
                <w:kern w:val="2"/>
              </w:rPr>
              <w:t>±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.87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CC9FA86">
            <w:pPr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4.14</w:t>
            </w:r>
            <w:r>
              <w:rPr>
                <w:rFonts w:hint="eastAsia" w:cs="Times New Roman"/>
                <w:color w:val="000000"/>
                <w:kern w:val="2"/>
              </w:rPr>
              <w:t>±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.36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B9CE143">
            <w:pPr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0.7141</w:t>
            </w:r>
          </w:p>
        </w:tc>
      </w:tr>
    </w:tbl>
    <w:p w14:paraId="0877A89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718BAEC0">
      <w:pPr>
        <w:pStyle w:val="2"/>
        <w:jc w:val="both"/>
        <w:rPr>
          <w:color w:val="000000"/>
          <w:kern w:val="2"/>
        </w:rPr>
      </w:pPr>
      <w:r>
        <w:rPr>
          <w:rFonts w:eastAsia="宋体"/>
          <w:b/>
          <w:bCs/>
          <w:szCs w:val="21"/>
        </w:rPr>
        <w:t>Supplemental</w:t>
      </w:r>
      <w:r>
        <w:rPr>
          <w:b/>
          <w:bCs/>
        </w:rPr>
        <w:t xml:space="preserve"> Table 5. </w:t>
      </w:r>
      <w:r>
        <w:rPr>
          <w:rFonts w:hint="eastAsia"/>
          <w:color w:val="000000"/>
          <w:kern w:val="2"/>
        </w:rPr>
        <w:t>Comparison of Albumin levels</w:t>
      </w:r>
      <w:r>
        <w:rPr>
          <w:color w:val="000000"/>
          <w:kern w:val="2"/>
        </w:rPr>
        <w:t>(</w:t>
      </w:r>
      <w:r>
        <w:rPr>
          <w:rFonts w:hint="eastAsia"/>
          <w:color w:val="000000"/>
          <w:kern w:val="2"/>
        </w:rPr>
        <w:t>g/L)</w:t>
      </w:r>
      <w:r>
        <w:rPr>
          <w:color w:val="000000"/>
          <w:kern w:val="2"/>
        </w:rPr>
        <w:t xml:space="preserve"> and BMI </w:t>
      </w:r>
      <w:r>
        <w:rPr>
          <w:rFonts w:hint="eastAsia"/>
          <w:color w:val="000000"/>
          <w:kern w:val="2"/>
        </w:rPr>
        <w:t>between the two groups in th</w:t>
      </w:r>
      <w:r>
        <w:rPr>
          <w:color w:val="000000"/>
          <w:kern w:val="2"/>
        </w:rPr>
        <w:t xml:space="preserve">e </w:t>
      </w:r>
      <w:r>
        <w:rPr>
          <w:rFonts w:hint="eastAsia"/>
          <w:color w:val="000000"/>
          <w:kern w:val="2"/>
        </w:rPr>
        <w:t>osteogenesis induces differentiation (</w:t>
      </w:r>
      <w:r>
        <w:fldChar w:fldCharType="begin"/>
      </w:r>
      <w:r>
        <w:instrText xml:space="preserve">EQ \* jc2 \* hps12 \o\ad(\s\up 11(</w:instrText>
      </w:r>
      <w:r>
        <w:rPr>
          <w:sz w:val="12"/>
          <w:szCs w:val="12"/>
        </w:rPr>
        <w:instrText xml:space="preserve">_</w:instrText>
      </w:r>
      <w:r>
        <w:instrText xml:space="preserve">),X)</w:instrText>
      </w:r>
      <w:r>
        <w:fldChar w:fldCharType="end"/>
      </w:r>
      <w:r>
        <w:rPr>
          <w:rFonts w:hint="eastAsia" w:ascii="宋体" w:hAnsi="宋体"/>
          <w:color w:val="000000"/>
          <w:kern w:val="2"/>
        </w:rPr>
        <w:t>±</w:t>
      </w:r>
      <w:r>
        <w:rPr>
          <w:rFonts w:hint="eastAsia"/>
          <w:color w:val="000000"/>
          <w:kern w:val="2"/>
        </w:rPr>
        <w:t>s)</w:t>
      </w:r>
      <w:r>
        <w:rPr>
          <w:color w:val="000000"/>
          <w:kern w:val="2"/>
        </w:rPr>
        <w:t>.</w:t>
      </w:r>
    </w:p>
    <w:tbl>
      <w:tblPr>
        <w:tblStyle w:val="8"/>
        <w:tblW w:w="8705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428"/>
        <w:gridCol w:w="2573"/>
        <w:gridCol w:w="1933"/>
      </w:tblGrid>
      <w:tr w14:paraId="47F4F9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16BBEC4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8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4264CC7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STB(n=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2573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3005D00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NSTB(n=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933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6A0B20C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P value</w:t>
            </w:r>
          </w:p>
        </w:tc>
      </w:tr>
      <w:tr w14:paraId="6E4517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C0875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Albumi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n(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g/L)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</w:tcPr>
          <w:p w14:paraId="0B84889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8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90</w:t>
            </w:r>
            <w:r>
              <w:rPr>
                <w:rFonts w:hint="eastAsia" w:cs="Times New Roman"/>
                <w:color w:val="000000"/>
                <w:kern w:val="2"/>
              </w:rPr>
              <w:t>±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2.14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767977C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40.77</w:t>
            </w:r>
            <w:r>
              <w:rPr>
                <w:rFonts w:hint="eastAsia" w:cs="Times New Roman"/>
                <w:color w:val="000000"/>
                <w:kern w:val="2"/>
              </w:rPr>
              <w:t>±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2.50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14:paraId="2CF5D6F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0.3808</w:t>
            </w:r>
          </w:p>
        </w:tc>
      </w:tr>
      <w:tr w14:paraId="2B88F3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B922C94">
            <w:pPr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B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MI</w:t>
            </w:r>
          </w:p>
        </w:tc>
        <w:tc>
          <w:tcPr>
            <w:tcW w:w="242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1C52878">
            <w:pPr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2.63</w:t>
            </w:r>
            <w:r>
              <w:rPr>
                <w:rFonts w:hint="eastAsia" w:cs="Times New Roman"/>
                <w:color w:val="000000"/>
                <w:kern w:val="2"/>
              </w:rPr>
              <w:t>±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.81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3AE636D">
            <w:pPr>
              <w:jc w:val="both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3.39</w:t>
            </w:r>
            <w:r>
              <w:rPr>
                <w:rFonts w:hint="eastAsia" w:cs="Times New Roman"/>
                <w:color w:val="000000"/>
                <w:kern w:val="2"/>
              </w:rPr>
              <w:t>±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.00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42932A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.8274</w:t>
            </w:r>
          </w:p>
        </w:tc>
      </w:tr>
    </w:tbl>
    <w:p w14:paraId="08E98CD8">
      <w:pPr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02CCE149">
      <w:pPr>
        <w:pStyle w:val="2"/>
        <w:jc w:val="both"/>
        <w:rPr>
          <w:color w:val="000000"/>
          <w:kern w:val="2"/>
        </w:rPr>
      </w:pPr>
      <w:r>
        <w:rPr>
          <w:rFonts w:eastAsia="宋体"/>
          <w:b/>
          <w:bCs/>
          <w:szCs w:val="21"/>
        </w:rPr>
        <w:t>Supplemental</w:t>
      </w:r>
      <w:r>
        <w:rPr>
          <w:b/>
          <w:bCs/>
        </w:rPr>
        <w:t xml:space="preserve"> Table 6. </w:t>
      </w:r>
      <w:r>
        <w:rPr>
          <w:rFonts w:hint="eastAsia"/>
          <w:color w:val="000000"/>
          <w:kern w:val="2"/>
        </w:rPr>
        <w:t xml:space="preserve">Comparison of </w:t>
      </w:r>
      <w:r>
        <w:rPr>
          <w:color w:val="000000"/>
          <w:kern w:val="2"/>
        </w:rPr>
        <w:t xml:space="preserve">BMI </w:t>
      </w:r>
      <w:r>
        <w:rPr>
          <w:rFonts w:hint="eastAsia"/>
          <w:color w:val="000000"/>
          <w:kern w:val="2"/>
        </w:rPr>
        <w:t>between the two groups (</w:t>
      </w:r>
      <w:r>
        <w:fldChar w:fldCharType="begin"/>
      </w:r>
      <w:r>
        <w:instrText xml:space="preserve">EQ \* jc2 \* hps12 \o\ad(\s\up 11(</w:instrText>
      </w:r>
      <w:r>
        <w:rPr>
          <w:sz w:val="12"/>
          <w:szCs w:val="12"/>
        </w:rPr>
        <w:instrText xml:space="preserve">_</w:instrText>
      </w:r>
      <w:r>
        <w:instrText xml:space="preserve">),X)</w:instrText>
      </w:r>
      <w:r>
        <w:fldChar w:fldCharType="end"/>
      </w:r>
      <w:r>
        <w:rPr>
          <w:rFonts w:hint="eastAsia" w:ascii="宋体" w:hAnsi="宋体"/>
          <w:color w:val="000000"/>
          <w:kern w:val="2"/>
        </w:rPr>
        <w:t>±</w:t>
      </w:r>
      <w:r>
        <w:rPr>
          <w:rFonts w:hint="eastAsia"/>
          <w:color w:val="000000"/>
          <w:kern w:val="2"/>
        </w:rPr>
        <w:t>s)</w:t>
      </w:r>
      <w:r>
        <w:rPr>
          <w:color w:val="000000"/>
          <w:kern w:val="2"/>
        </w:rPr>
        <w:t>.</w:t>
      </w:r>
    </w:p>
    <w:tbl>
      <w:tblPr>
        <w:tblStyle w:val="8"/>
        <w:tblW w:w="8705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428"/>
        <w:gridCol w:w="2573"/>
        <w:gridCol w:w="1933"/>
      </w:tblGrid>
      <w:tr w14:paraId="0572E6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08EB647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8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4979225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STB(n=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53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2573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4728160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NSTB(n=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55</w:t>
            </w: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)</w:t>
            </w:r>
          </w:p>
        </w:tc>
        <w:tc>
          <w:tcPr>
            <w:tcW w:w="1933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67E2DE3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</w:rPr>
              <w:t>P value</w:t>
            </w:r>
          </w:p>
        </w:tc>
      </w:tr>
      <w:tr w14:paraId="099A78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3F2474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BMI</w:t>
            </w:r>
          </w:p>
        </w:tc>
        <w:tc>
          <w:tcPr>
            <w:tcW w:w="242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0A5C5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22.30</w:t>
            </w:r>
            <w:r>
              <w:rPr>
                <w:rFonts w:hint="eastAsia" w:cs="Times New Roman"/>
                <w:color w:val="000000"/>
                <w:kern w:val="2"/>
              </w:rPr>
              <w:t>±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3.63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29808F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24.19</w:t>
            </w:r>
            <w:r>
              <w:rPr>
                <w:rFonts w:hint="eastAsia" w:cs="Times New Roman"/>
                <w:color w:val="000000"/>
                <w:kern w:val="2"/>
              </w:rPr>
              <w:t>±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3.57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D9BB5C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0.0074</w:t>
            </w:r>
          </w:p>
        </w:tc>
      </w:tr>
    </w:tbl>
    <w:p w14:paraId="061835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9BBB7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18A6B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1"/>
        </w:rPr>
        <w:t>Supplemental</w:t>
      </w:r>
      <w:r>
        <w:rPr>
          <w:rFonts w:ascii="Times New Roman" w:hAnsi="Times New Roman" w:cs="Times New Roman"/>
          <w:b/>
          <w:bCs/>
        </w:rPr>
        <w:t xml:space="preserve"> T</w:t>
      </w:r>
      <w:r>
        <w:rPr>
          <w:rFonts w:hint="eastAsia" w:ascii="Times New Roman" w:hAnsi="Times New Roman" w:cs="Times New Roman"/>
          <w:b/>
          <w:bCs/>
        </w:rPr>
        <w:t>able</w:t>
      </w:r>
      <w:r>
        <w:rPr>
          <w:rFonts w:ascii="Times New Roman" w:hAnsi="Times New Roman" w:cs="Times New Roman"/>
          <w:b/>
          <w:bCs/>
        </w:rPr>
        <w:t xml:space="preserve"> 7</w:t>
      </w:r>
      <w:r>
        <w:rPr>
          <w:rFonts w:ascii="Times New Roman" w:hAnsi="Times New Roman" w:cs="Times New Roman"/>
        </w:rPr>
        <w:t>. Binary logistic regression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2790"/>
        <w:gridCol w:w="2962"/>
      </w:tblGrid>
      <w:tr w14:paraId="510130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11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164877B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75255A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3117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3513BB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 (B, 95CI)</w:t>
            </w:r>
          </w:p>
        </w:tc>
      </w:tr>
      <w:tr w14:paraId="1497A8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35BAE9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MI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E959A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.082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C42AA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.895(0.789,1.014)</w:t>
            </w:r>
          </w:p>
        </w:tc>
      </w:tr>
      <w:tr w14:paraId="16B08F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11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92010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MD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E2A99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3545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.000(0.000,0.013)</w:t>
            </w:r>
          </w:p>
        </w:tc>
      </w:tr>
    </w:tbl>
    <w:p w14:paraId="0E8D2B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0857C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67BC7"/>
    <w:rsid w:val="40F6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US"/>
    </w:rPr>
  </w:style>
  <w:style w:type="table" w:customStyle="1" w:styleId="5">
    <w:name w:val="三线表"/>
    <w:basedOn w:val="3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6">
    <w:name w:val="font21"/>
    <w:basedOn w:val="4"/>
    <w:qFormat/>
    <w:uiPriority w:val="0"/>
    <w:rPr>
      <w:rFonts w:hint="eastAsia" w:ascii="等线" w:hAnsi="等线" w:eastAsia="等线"/>
      <w:b/>
      <w:bCs/>
      <w:color w:val="000000"/>
      <w:sz w:val="20"/>
      <w:szCs w:val="20"/>
      <w:u w:val="none"/>
    </w:rPr>
  </w:style>
  <w:style w:type="paragraph" w:customStyle="1" w:styleId="7">
    <w:name w:val="EndNote Bibliography"/>
    <w:basedOn w:val="1"/>
    <w:qFormat/>
    <w:uiPriority w:val="0"/>
    <w:pPr>
      <w:widowControl w:val="0"/>
      <w:spacing w:line="480" w:lineRule="auto"/>
      <w:jc w:val="both"/>
    </w:pPr>
    <w:rPr>
      <w:rFonts w:ascii="Times New Roman" w:hAnsi="Times New Roman" w:eastAsia="等线" w:cs="Times New Roman"/>
      <w:kern w:val="2"/>
      <w:szCs w:val="22"/>
    </w:rPr>
  </w:style>
  <w:style w:type="table" w:customStyle="1" w:styleId="8">
    <w:name w:val="三线"/>
    <w:basedOn w:val="3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9">
    <w:name w:val="p1"/>
    <w:basedOn w:val="1"/>
    <w:qFormat/>
    <w:uiPriority w:val="0"/>
    <w:pPr>
      <w:jc w:val="center"/>
    </w:pPr>
    <w:rPr>
      <w:rFonts w:ascii="Arial" w:hAnsi="Arial" w:cs="Times New Roman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2026-02-03T14:01:00Z</dcterms:created>
  <dc:creator>四叶草</dc:creator>
  <cp:lastModifiedBy>四叶草</cp:lastModifiedBy>
  <dcterms:modified xsi:type="dcterms:W3CDTF">2026-02-03T14:04:59Z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1482B2307E8A40298A33256B66FC1913_11</vt:lpwstr>
  </property>
  <property fmtid="{D5CDD505-2E9C-101B-9397-08002B2CF9AE}" pid="4" name="KSOTemplateDocerSaveRecord">
    <vt:lpwstr>eyJoZGlkIjoiZjQ0ZTk1MjIwZGZiNjNhODUyM2YyZDRhMTIxNDg3NDkiLCJ1c2VySWQiOiI1NDUxNTQ2NjgifQ==</vt:lpwstr>
  </property>
</Properties>
</file>