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4946F5" w14:textId="77777777" w:rsidR="00551C7D" w:rsidRPr="00551C7D" w:rsidRDefault="00551C7D" w:rsidP="00551C7D">
      <w:pPr>
        <w:rPr>
          <w:lang w:val="en-US"/>
        </w:rPr>
      </w:pPr>
      <w:bookmarkStart w:id="0" w:name="Xf8d5aba99aebf7f2597730a8eeba0b560913d56"/>
      <w:r w:rsidRPr="00551C7D">
        <w:rPr>
          <w:lang w:val="en-US"/>
        </w:rPr>
        <w:t>Supplementary Table S1. Summary statistics for genetic diversity parameters by biome type</w:t>
      </w:r>
      <w:bookmarkEnd w:id="0"/>
    </w:p>
    <w:tbl>
      <w:tblPr>
        <w:tblW w:w="4999" w:type="pct"/>
        <w:tblLook w:val="07E0" w:firstRow="1" w:lastRow="1" w:firstColumn="1" w:lastColumn="1" w:noHBand="1" w:noVBand="1"/>
      </w:tblPr>
      <w:tblGrid>
        <w:gridCol w:w="1179"/>
        <w:gridCol w:w="1061"/>
        <w:gridCol w:w="1381"/>
        <w:gridCol w:w="1305"/>
        <w:gridCol w:w="674"/>
        <w:gridCol w:w="674"/>
        <w:gridCol w:w="674"/>
        <w:gridCol w:w="674"/>
        <w:gridCol w:w="674"/>
        <w:gridCol w:w="730"/>
      </w:tblGrid>
      <w:tr w:rsidR="00551C7D" w:rsidRPr="00551C7D" w14:paraId="71B01C40" w14:textId="77777777">
        <w:tc>
          <w:tcPr>
            <w:tcW w:w="0" w:type="auto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hideMark/>
          </w:tcPr>
          <w:p w14:paraId="22341519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Biome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hideMark/>
          </w:tcPr>
          <w:p w14:paraId="431A2FBB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No. Studies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hideMark/>
          </w:tcPr>
          <w:p w14:paraId="5EA5F5FE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No. Populations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hideMark/>
          </w:tcPr>
          <w:p w14:paraId="1FDB020B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No. Individuals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hideMark/>
          </w:tcPr>
          <w:p w14:paraId="2FEA21A2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He (Mean ± SD)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hideMark/>
          </w:tcPr>
          <w:p w14:paraId="44192230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He Range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hideMark/>
          </w:tcPr>
          <w:p w14:paraId="13415937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Ho (Mean ± SD)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hideMark/>
          </w:tcPr>
          <w:p w14:paraId="4D085B49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Ho Range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hideMark/>
          </w:tcPr>
          <w:p w14:paraId="54A2E439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FIS (Mean ± SD)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hideMark/>
          </w:tcPr>
          <w:p w14:paraId="081A3D58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F</w:t>
            </w:r>
            <w:r w:rsidRPr="00551C7D">
              <w:rPr>
                <w:vertAlign w:val="subscript"/>
                <w:lang w:val="en-US"/>
              </w:rPr>
              <w:t xml:space="preserve">ST </w:t>
            </w:r>
            <w:r w:rsidRPr="00551C7D">
              <w:rPr>
                <w:lang w:val="en-US"/>
              </w:rPr>
              <w:t>(within biome)</w:t>
            </w:r>
          </w:p>
        </w:tc>
      </w:tr>
      <w:tr w:rsidR="00551C7D" w:rsidRPr="00551C7D" w14:paraId="46715F9D" w14:textId="77777777"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hideMark/>
          </w:tcPr>
          <w:p w14:paraId="0C38C7CD" w14:textId="77777777" w:rsidR="00551C7D" w:rsidRPr="00551C7D" w:rsidRDefault="00551C7D" w:rsidP="00551C7D">
            <w:pPr>
              <w:rPr>
                <w:bCs/>
                <w:lang w:val="en-US"/>
              </w:rPr>
            </w:pPr>
            <w:r w:rsidRPr="00551C7D">
              <w:rPr>
                <w:bCs/>
                <w:lang w:val="en-US"/>
              </w:rPr>
              <w:t>Desert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hideMark/>
          </w:tcPr>
          <w:p w14:paraId="7955C362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hideMark/>
          </w:tcPr>
          <w:p w14:paraId="6A35847B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52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hideMark/>
          </w:tcPr>
          <w:p w14:paraId="22284285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982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hideMark/>
          </w:tcPr>
          <w:p w14:paraId="7D8CA801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0.68 ± 0.03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hideMark/>
          </w:tcPr>
          <w:p w14:paraId="18161757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0.64-0.73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hideMark/>
          </w:tcPr>
          <w:p w14:paraId="228A2A84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0.61 ± 0.03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hideMark/>
          </w:tcPr>
          <w:p w14:paraId="298DCF7D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0.57-0.66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hideMark/>
          </w:tcPr>
          <w:p w14:paraId="405DB777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0.12 ± 0.01</w:t>
            </w:r>
          </w:p>
        </w:tc>
        <w:tc>
          <w:tcPr>
            <w:tcW w:w="0" w:type="auto"/>
            <w:tcBorders>
              <w:top w:val="single" w:sz="2" w:space="0" w:color="auto"/>
              <w:left w:val="nil"/>
              <w:bottom w:val="nil"/>
              <w:right w:val="nil"/>
            </w:tcBorders>
            <w:hideMark/>
          </w:tcPr>
          <w:p w14:paraId="66542DE4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0.09 ± 0.01</w:t>
            </w:r>
          </w:p>
        </w:tc>
      </w:tr>
      <w:tr w:rsidR="00551C7D" w:rsidRPr="00551C7D" w14:paraId="21A38A35" w14:textId="77777777">
        <w:tc>
          <w:tcPr>
            <w:tcW w:w="0" w:type="auto"/>
            <w:hideMark/>
          </w:tcPr>
          <w:p w14:paraId="066DF76F" w14:textId="77777777" w:rsidR="00551C7D" w:rsidRPr="00551C7D" w:rsidRDefault="00551C7D" w:rsidP="00551C7D">
            <w:pPr>
              <w:rPr>
                <w:bCs/>
                <w:lang w:val="en-US"/>
              </w:rPr>
            </w:pPr>
            <w:r w:rsidRPr="00551C7D">
              <w:rPr>
                <w:bCs/>
                <w:lang w:val="en-US"/>
              </w:rPr>
              <w:t>Savannah</w:t>
            </w:r>
          </w:p>
        </w:tc>
        <w:tc>
          <w:tcPr>
            <w:tcW w:w="0" w:type="auto"/>
            <w:hideMark/>
          </w:tcPr>
          <w:p w14:paraId="43BA184B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3</w:t>
            </w:r>
          </w:p>
        </w:tc>
        <w:tc>
          <w:tcPr>
            <w:tcW w:w="0" w:type="auto"/>
            <w:hideMark/>
          </w:tcPr>
          <w:p w14:paraId="5542CD36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45</w:t>
            </w:r>
          </w:p>
        </w:tc>
        <w:tc>
          <w:tcPr>
            <w:tcW w:w="0" w:type="auto"/>
            <w:hideMark/>
          </w:tcPr>
          <w:p w14:paraId="7EC773E5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487</w:t>
            </w:r>
          </w:p>
        </w:tc>
        <w:tc>
          <w:tcPr>
            <w:tcW w:w="0" w:type="auto"/>
            <w:hideMark/>
          </w:tcPr>
          <w:p w14:paraId="44B60BE1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0.84 ± 0.08</w:t>
            </w:r>
          </w:p>
        </w:tc>
        <w:tc>
          <w:tcPr>
            <w:tcW w:w="0" w:type="auto"/>
            <w:hideMark/>
          </w:tcPr>
          <w:p w14:paraId="16F2A1F7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0.75-0.94</w:t>
            </w:r>
          </w:p>
        </w:tc>
        <w:tc>
          <w:tcPr>
            <w:tcW w:w="0" w:type="auto"/>
            <w:hideMark/>
          </w:tcPr>
          <w:p w14:paraId="753C316E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0.79 ± 0.10</w:t>
            </w:r>
          </w:p>
        </w:tc>
        <w:tc>
          <w:tcPr>
            <w:tcW w:w="0" w:type="auto"/>
            <w:hideMark/>
          </w:tcPr>
          <w:p w14:paraId="21414BB7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0.68-0.87</w:t>
            </w:r>
          </w:p>
        </w:tc>
        <w:tc>
          <w:tcPr>
            <w:tcW w:w="0" w:type="auto"/>
            <w:hideMark/>
          </w:tcPr>
          <w:p w14:paraId="61025D9B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0.06 ± 0.02</w:t>
            </w:r>
          </w:p>
        </w:tc>
        <w:tc>
          <w:tcPr>
            <w:tcW w:w="0" w:type="auto"/>
            <w:hideMark/>
          </w:tcPr>
          <w:p w14:paraId="32CDF101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0.10 ± 0.01</w:t>
            </w:r>
          </w:p>
        </w:tc>
      </w:tr>
      <w:tr w:rsidR="00551C7D" w:rsidRPr="00551C7D" w14:paraId="41BC805C" w14:textId="77777777">
        <w:tc>
          <w:tcPr>
            <w:tcW w:w="0" w:type="auto"/>
            <w:hideMark/>
          </w:tcPr>
          <w:p w14:paraId="19F9DABD" w14:textId="77777777" w:rsidR="00551C7D" w:rsidRPr="00551C7D" w:rsidRDefault="00551C7D" w:rsidP="00551C7D">
            <w:pPr>
              <w:rPr>
                <w:bCs/>
                <w:lang w:val="en-US"/>
              </w:rPr>
            </w:pPr>
            <w:r w:rsidRPr="00551C7D">
              <w:rPr>
                <w:bCs/>
                <w:lang w:val="en-US"/>
              </w:rPr>
              <w:t>Mountainous</w:t>
            </w:r>
          </w:p>
        </w:tc>
        <w:tc>
          <w:tcPr>
            <w:tcW w:w="0" w:type="auto"/>
            <w:hideMark/>
          </w:tcPr>
          <w:p w14:paraId="21494314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3</w:t>
            </w:r>
          </w:p>
        </w:tc>
        <w:tc>
          <w:tcPr>
            <w:tcW w:w="0" w:type="auto"/>
            <w:hideMark/>
          </w:tcPr>
          <w:p w14:paraId="129F1582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18</w:t>
            </w:r>
          </w:p>
        </w:tc>
        <w:tc>
          <w:tcPr>
            <w:tcW w:w="0" w:type="auto"/>
            <w:hideMark/>
          </w:tcPr>
          <w:p w14:paraId="7C08DB63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378</w:t>
            </w:r>
          </w:p>
        </w:tc>
        <w:tc>
          <w:tcPr>
            <w:tcW w:w="0" w:type="auto"/>
            <w:hideMark/>
          </w:tcPr>
          <w:p w14:paraId="7AD569E2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0.68 ± 0.19</w:t>
            </w:r>
          </w:p>
        </w:tc>
        <w:tc>
          <w:tcPr>
            <w:tcW w:w="0" w:type="auto"/>
            <w:hideMark/>
          </w:tcPr>
          <w:p w14:paraId="684C0C4B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0.45-0.82</w:t>
            </w:r>
          </w:p>
        </w:tc>
        <w:tc>
          <w:tcPr>
            <w:tcW w:w="0" w:type="auto"/>
            <w:hideMark/>
          </w:tcPr>
          <w:p w14:paraId="48808990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0.56 ± 0.27</w:t>
            </w:r>
          </w:p>
        </w:tc>
        <w:tc>
          <w:tcPr>
            <w:tcW w:w="0" w:type="auto"/>
            <w:hideMark/>
          </w:tcPr>
          <w:p w14:paraId="062A3DDF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0.21-0.75</w:t>
            </w:r>
          </w:p>
        </w:tc>
        <w:tc>
          <w:tcPr>
            <w:tcW w:w="0" w:type="auto"/>
            <w:hideMark/>
          </w:tcPr>
          <w:p w14:paraId="1D943E59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0.18 ± 0.10</w:t>
            </w:r>
          </w:p>
        </w:tc>
        <w:tc>
          <w:tcPr>
            <w:tcW w:w="0" w:type="auto"/>
            <w:hideMark/>
          </w:tcPr>
          <w:p w14:paraId="5B28A7DC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0.12 ± 0.08</w:t>
            </w:r>
          </w:p>
        </w:tc>
      </w:tr>
      <w:tr w:rsidR="00551C7D" w:rsidRPr="00551C7D" w14:paraId="35EEF84D" w14:textId="77777777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795104D" w14:textId="77777777" w:rsidR="00551C7D" w:rsidRPr="00551C7D" w:rsidRDefault="00551C7D" w:rsidP="00551C7D">
            <w:pPr>
              <w:rPr>
                <w:bCs/>
                <w:lang w:val="en-US"/>
              </w:rPr>
            </w:pPr>
            <w:r w:rsidRPr="00551C7D">
              <w:rPr>
                <w:bCs/>
                <w:lang w:val="en-US"/>
              </w:rPr>
              <w:t>Overall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C9F53BC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75C0D37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173E07B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1,847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5779EEE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0.71 ± 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918FEE9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0.45-0.94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EF7DA3B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0.64 ± 0.15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57BDC02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0.21-0.87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BB3F2A6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0.12 ± 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1708D70" w14:textId="77777777" w:rsidR="00551C7D" w:rsidRPr="00551C7D" w:rsidRDefault="00551C7D" w:rsidP="00551C7D">
            <w:pPr>
              <w:rPr>
                <w:lang w:val="en-US"/>
              </w:rPr>
            </w:pPr>
            <w:r w:rsidRPr="00551C7D">
              <w:rPr>
                <w:lang w:val="en-US"/>
              </w:rPr>
              <w:t>0.09 ± 0.02</w:t>
            </w:r>
          </w:p>
        </w:tc>
      </w:tr>
    </w:tbl>
    <w:p w14:paraId="2BB86A0E" w14:textId="77777777" w:rsidR="00551C7D" w:rsidRPr="00551C7D" w:rsidRDefault="00551C7D" w:rsidP="00551C7D">
      <w:pPr>
        <w:rPr>
          <w:lang w:val="en-US"/>
        </w:rPr>
      </w:pPr>
      <w:r w:rsidRPr="00551C7D">
        <w:rPr>
          <w:bCs/>
          <w:lang w:val="en-US"/>
        </w:rPr>
        <w:t>Abbreviations</w:t>
      </w:r>
      <w:r w:rsidRPr="00551C7D">
        <w:rPr>
          <w:b/>
          <w:lang w:val="en-US"/>
        </w:rPr>
        <w:t>:</w:t>
      </w:r>
      <w:r w:rsidRPr="00551C7D">
        <w:rPr>
          <w:lang w:val="en-US"/>
        </w:rPr>
        <w:t xml:space="preserve"> H</w:t>
      </w:r>
      <w:r w:rsidRPr="00551C7D">
        <w:rPr>
          <w:vertAlign w:val="subscript"/>
          <w:lang w:val="en-US"/>
        </w:rPr>
        <w:t>e</w:t>
      </w:r>
      <w:r w:rsidRPr="00551C7D">
        <w:rPr>
          <w:lang w:val="en-US"/>
        </w:rPr>
        <w:t xml:space="preserve"> = expected heterozygosity; H</w:t>
      </w:r>
      <w:r w:rsidRPr="00551C7D">
        <w:rPr>
          <w:vertAlign w:val="subscript"/>
          <w:lang w:val="en-US"/>
        </w:rPr>
        <w:t>o</w:t>
      </w:r>
      <w:r w:rsidRPr="00551C7D">
        <w:rPr>
          <w:lang w:val="en-US"/>
        </w:rPr>
        <w:t xml:space="preserve"> = observed heterozygosity; F</w:t>
      </w:r>
      <w:r w:rsidRPr="00551C7D">
        <w:rPr>
          <w:vertAlign w:val="subscript"/>
          <w:lang w:val="en-US"/>
        </w:rPr>
        <w:t xml:space="preserve">IS </w:t>
      </w:r>
      <w:r w:rsidRPr="00551C7D">
        <w:rPr>
          <w:lang w:val="en-US"/>
        </w:rPr>
        <w:t>= inbreeding coefficient; F</w:t>
      </w:r>
      <w:r w:rsidRPr="00551C7D">
        <w:rPr>
          <w:vertAlign w:val="subscript"/>
          <w:lang w:val="en-US"/>
        </w:rPr>
        <w:t>ST</w:t>
      </w:r>
      <w:r w:rsidRPr="00551C7D">
        <w:rPr>
          <w:lang w:val="en-US"/>
        </w:rPr>
        <w:t xml:space="preserve"> = fixation index; SD = standard deviation.</w:t>
      </w:r>
    </w:p>
    <w:p w14:paraId="5CC96AE2" w14:textId="77777777" w:rsidR="00551C7D" w:rsidRPr="00551C7D" w:rsidRDefault="00551C7D" w:rsidP="00551C7D">
      <w:pPr>
        <w:rPr>
          <w:lang w:val="en-US"/>
        </w:rPr>
      </w:pPr>
      <w:r w:rsidRPr="00551C7D">
        <w:rPr>
          <w:bCs/>
          <w:lang w:val="en-US"/>
        </w:rPr>
        <w:t>Statistical comparisons: One</w:t>
      </w:r>
      <w:r w:rsidRPr="00551C7D">
        <w:rPr>
          <w:lang w:val="en-US"/>
        </w:rPr>
        <w:t>-way ANOVA revealed significant differences among biomes for H</w:t>
      </w:r>
      <w:r w:rsidRPr="00551C7D">
        <w:rPr>
          <w:vertAlign w:val="subscript"/>
          <w:lang w:val="en-US"/>
        </w:rPr>
        <w:t>e</w:t>
      </w:r>
      <w:r w:rsidRPr="00551C7D">
        <w:rPr>
          <w:lang w:val="en-US"/>
        </w:rPr>
        <w:t xml:space="preserve"> (F=15.7, p&lt;0.001), Ho (F=18.3, p&lt;0.001), and FIS (F=8.9, p=0.002). Post-hoc Tukey HSD tests showed savannah populations have significantly higher He and Ho than both desert (p=0.002) and mountainous (p&lt;0.001) populations. Mountainous populations show significantly higher FIS than both desert (p=0.01) and savannah (p&lt;0.001) populations.</w:t>
      </w:r>
    </w:p>
    <w:p w14:paraId="36164B1A" w14:textId="77777777" w:rsidR="00551C7D" w:rsidRPr="00551C7D" w:rsidRDefault="00551C7D" w:rsidP="00551C7D">
      <w:pPr>
        <w:rPr>
          <w:lang w:val="en-US"/>
        </w:rPr>
      </w:pPr>
      <w:r w:rsidRPr="00551C7D">
        <w:rPr>
          <w:bCs/>
          <w:lang w:val="en-US"/>
        </w:rPr>
        <w:t>Key findings: -</w:t>
      </w:r>
      <w:r w:rsidRPr="00551C7D">
        <w:rPr>
          <w:lang w:val="en-US"/>
        </w:rPr>
        <w:t xml:space="preserve"> Savannah biome maintains highest genetic diversity (H</w:t>
      </w:r>
      <w:r w:rsidRPr="00551C7D">
        <w:rPr>
          <w:vertAlign w:val="subscript"/>
          <w:lang w:val="en-US"/>
        </w:rPr>
        <w:t xml:space="preserve">e </w:t>
      </w:r>
      <w:r w:rsidRPr="00551C7D">
        <w:rPr>
          <w:lang w:val="en-US"/>
        </w:rPr>
        <w:t>= 0.84) with lowest inbreeding (F</w:t>
      </w:r>
      <w:r w:rsidRPr="00551C7D">
        <w:rPr>
          <w:vertAlign w:val="subscript"/>
          <w:lang w:val="en-US"/>
        </w:rPr>
        <w:t>IS</w:t>
      </w:r>
      <w:r w:rsidRPr="00551C7D">
        <w:rPr>
          <w:lang w:val="en-US"/>
        </w:rPr>
        <w:t xml:space="preserve"> = 0.06) - Desert populations show moderate, stable diversity (H</w:t>
      </w:r>
      <w:r w:rsidRPr="00551C7D">
        <w:rPr>
          <w:vertAlign w:val="subscript"/>
          <w:lang w:val="en-US"/>
        </w:rPr>
        <w:t>e</w:t>
      </w:r>
      <w:r w:rsidRPr="00551C7D">
        <w:rPr>
          <w:lang w:val="en-US"/>
        </w:rPr>
        <w:t xml:space="preserve"> = 0.68) with moderate inbreeding (F</w:t>
      </w:r>
      <w:r w:rsidRPr="00551C7D">
        <w:rPr>
          <w:vertAlign w:val="subscript"/>
          <w:lang w:val="en-US"/>
        </w:rPr>
        <w:t>IS</w:t>
      </w:r>
      <w:r w:rsidRPr="00551C7D">
        <w:rPr>
          <w:lang w:val="en-US"/>
        </w:rPr>
        <w:t xml:space="preserve"> = 0.12) - Mountainous populations show highest variability (SD = 0.19 for H</w:t>
      </w:r>
      <w:r w:rsidRPr="00551C7D">
        <w:rPr>
          <w:vertAlign w:val="subscript"/>
          <w:lang w:val="en-US"/>
        </w:rPr>
        <w:t>e</w:t>
      </w:r>
      <w:r w:rsidRPr="00551C7D">
        <w:rPr>
          <w:lang w:val="en-US"/>
        </w:rPr>
        <w:t>) and highest inbreeding (F</w:t>
      </w:r>
      <w:r w:rsidRPr="00551C7D">
        <w:rPr>
          <w:vertAlign w:val="subscript"/>
          <w:lang w:val="en-US"/>
        </w:rPr>
        <w:t>IS</w:t>
      </w:r>
      <w:r w:rsidRPr="00551C7D">
        <w:rPr>
          <w:lang w:val="en-US"/>
        </w:rPr>
        <w:t xml:space="preserve"> = 0.18) - Within-biome differentiation is moderate and similar across biomes (F</w:t>
      </w:r>
      <w:r w:rsidRPr="00551C7D">
        <w:rPr>
          <w:vertAlign w:val="subscript"/>
          <w:lang w:val="en-US"/>
        </w:rPr>
        <w:t>ST</w:t>
      </w:r>
      <w:r w:rsidRPr="00551C7D">
        <w:rPr>
          <w:lang w:val="en-US"/>
        </w:rPr>
        <w:t xml:space="preserve"> = 0.09-0.12)</w:t>
      </w:r>
    </w:p>
    <w:p w14:paraId="31360F8B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C7D"/>
    <w:rsid w:val="00551C7D"/>
    <w:rsid w:val="006E22DC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89845"/>
  <w15:chartTrackingRefBased/>
  <w15:docId w15:val="{F4A91C92-3ED1-4BF9-B50B-90F73038E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1C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1C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1C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1C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1C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1C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1C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1C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1C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1C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1C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1C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1C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1C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1C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1C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1C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1C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1C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1C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1C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1C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1C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1C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1C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1C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1C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1C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1C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234</Words>
  <Characters>1336</Characters>
  <Application>Microsoft Office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2026-03-24T12:43:00Z</dcterms:created>
  <dcterms:modified xsi:type="dcterms:W3CDTF">2026-03-24T12:43:00Z</dcterms:modified>
</cp:coreProperties>
</file>